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B1CBEF">
      <w:pPr>
        <w:spacing w:before="156" w:beforeLines="50" w:after="156" w:afterLines="50" w:line="360" w:lineRule="auto"/>
        <w:jc w:val="center"/>
        <w:rPr>
          <w:rFonts w:hint="eastAsia" w:ascii="黑体" w:hAnsi="黑体" w:eastAsia="黑体" w:cs="黑体"/>
          <w:b w:val="0"/>
          <w:bCs/>
          <w:sz w:val="36"/>
          <w:szCs w:val="36"/>
          <w:lang w:val="en-US" w:eastAsia="zh-CN"/>
        </w:rPr>
      </w:pPr>
    </w:p>
    <w:p w14:paraId="7409E185">
      <w:pPr>
        <w:spacing w:before="156" w:beforeLines="50" w:after="156" w:afterLines="50" w:line="360" w:lineRule="auto"/>
        <w:jc w:val="center"/>
        <w:rPr>
          <w:rFonts w:hint="eastAsia" w:ascii="黑体" w:hAnsi="黑体" w:eastAsia="黑体" w:cs="黑体"/>
          <w:b w:val="0"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6"/>
          <w:szCs w:val="36"/>
          <w:lang w:val="en-US" w:eastAsia="zh-CN"/>
        </w:rPr>
        <w:t>2026年输电管理一所激光清障仪维修服务</w:t>
      </w:r>
    </w:p>
    <w:p w14:paraId="4D0548E6">
      <w:pPr>
        <w:spacing w:before="156" w:beforeLines="50" w:after="156" w:afterLines="50" w:line="360" w:lineRule="auto"/>
        <w:jc w:val="center"/>
        <w:rPr>
          <w:rFonts w:hint="eastAsia" w:ascii="黑体" w:hAnsi="黑体" w:eastAsia="黑体" w:cs="黑体"/>
          <w:b w:val="0"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6"/>
          <w:szCs w:val="36"/>
          <w:lang w:val="en-US" w:eastAsia="zh-CN"/>
        </w:rPr>
        <w:t>技术规范书</w:t>
      </w:r>
    </w:p>
    <w:p w14:paraId="69E10B5A">
      <w:pPr>
        <w:spacing w:line="420" w:lineRule="exact"/>
        <w:jc w:val="center"/>
        <w:rPr>
          <w:rFonts w:ascii="Arial" w:hAnsi="Arial"/>
          <w:b/>
          <w:sz w:val="32"/>
        </w:rPr>
      </w:pPr>
    </w:p>
    <w:p w14:paraId="786CEDBA">
      <w:pPr>
        <w:spacing w:line="420" w:lineRule="exact"/>
        <w:jc w:val="center"/>
        <w:rPr>
          <w:rFonts w:ascii="Arial" w:hAnsi="Arial"/>
          <w:b/>
          <w:sz w:val="32"/>
        </w:rPr>
      </w:pPr>
    </w:p>
    <w:p w14:paraId="624325D8">
      <w:pPr>
        <w:spacing w:line="420" w:lineRule="exact"/>
        <w:jc w:val="center"/>
        <w:rPr>
          <w:rFonts w:ascii="Arial" w:hAnsi="Arial"/>
          <w:b/>
          <w:sz w:val="32"/>
        </w:rPr>
      </w:pPr>
    </w:p>
    <w:p w14:paraId="47DBB54B">
      <w:pPr>
        <w:spacing w:line="420" w:lineRule="exact"/>
        <w:jc w:val="center"/>
        <w:rPr>
          <w:rFonts w:ascii="Arial" w:hAnsi="Arial"/>
          <w:b/>
          <w:sz w:val="32"/>
        </w:rPr>
      </w:pPr>
    </w:p>
    <w:p w14:paraId="61EC1B91">
      <w:pPr>
        <w:spacing w:line="420" w:lineRule="exact"/>
        <w:jc w:val="center"/>
        <w:rPr>
          <w:rFonts w:ascii="Arial" w:hAnsi="Arial"/>
          <w:b/>
          <w:sz w:val="32"/>
        </w:rPr>
      </w:pPr>
    </w:p>
    <w:p w14:paraId="1A72064D">
      <w:pPr>
        <w:spacing w:line="420" w:lineRule="exact"/>
        <w:jc w:val="center"/>
        <w:rPr>
          <w:rFonts w:ascii="Arial" w:hAnsi="Arial"/>
          <w:b/>
          <w:sz w:val="32"/>
        </w:rPr>
      </w:pPr>
    </w:p>
    <w:p w14:paraId="1B06A308">
      <w:pPr>
        <w:spacing w:line="420" w:lineRule="exact"/>
        <w:jc w:val="center"/>
        <w:rPr>
          <w:rFonts w:hint="eastAsia" w:ascii="Arial" w:hAnsi="Arial"/>
          <w:b/>
          <w:sz w:val="32"/>
        </w:rPr>
      </w:pPr>
    </w:p>
    <w:p w14:paraId="007DEA5C">
      <w:pPr>
        <w:spacing w:line="420" w:lineRule="exact"/>
        <w:jc w:val="center"/>
        <w:rPr>
          <w:rFonts w:hint="eastAsia" w:ascii="Arial" w:hAnsi="Arial"/>
          <w:b/>
          <w:sz w:val="32"/>
        </w:rPr>
      </w:pPr>
    </w:p>
    <w:p w14:paraId="1E82491C">
      <w:pPr>
        <w:spacing w:line="420" w:lineRule="exact"/>
        <w:jc w:val="center"/>
        <w:rPr>
          <w:rFonts w:ascii="Arial" w:hAnsi="Arial"/>
          <w:b/>
          <w:sz w:val="32"/>
        </w:rPr>
      </w:pPr>
    </w:p>
    <w:p w14:paraId="3A0586DB">
      <w:pPr>
        <w:spacing w:line="420" w:lineRule="exact"/>
        <w:jc w:val="center"/>
        <w:rPr>
          <w:rFonts w:ascii="Arial" w:hAnsi="Arial"/>
          <w:b/>
          <w:sz w:val="32"/>
        </w:rPr>
      </w:pPr>
    </w:p>
    <w:p w14:paraId="132B1AD7">
      <w:pPr>
        <w:spacing w:line="420" w:lineRule="exact"/>
        <w:jc w:val="center"/>
        <w:rPr>
          <w:rFonts w:ascii="Arial" w:hAnsi="Arial"/>
          <w:b/>
          <w:sz w:val="32"/>
        </w:rPr>
      </w:pPr>
    </w:p>
    <w:p w14:paraId="3B649643">
      <w:pPr>
        <w:spacing w:line="420" w:lineRule="exact"/>
        <w:jc w:val="center"/>
        <w:rPr>
          <w:rFonts w:ascii="Arial" w:hAnsi="Arial"/>
          <w:b/>
          <w:sz w:val="32"/>
        </w:rPr>
      </w:pPr>
    </w:p>
    <w:p w14:paraId="18E97D86">
      <w:pPr>
        <w:spacing w:line="420" w:lineRule="exact"/>
        <w:jc w:val="center"/>
        <w:rPr>
          <w:rFonts w:ascii="Arial" w:hAnsi="Arial"/>
          <w:b/>
          <w:sz w:val="32"/>
        </w:rPr>
      </w:pPr>
    </w:p>
    <w:p w14:paraId="72FCB1B0">
      <w:pPr>
        <w:jc w:val="center"/>
        <w:rPr>
          <w:rFonts w:hint="eastAsia" w:ascii="宋体" w:hAnsi="宋体"/>
          <w:b/>
          <w:sz w:val="32"/>
        </w:rPr>
      </w:pPr>
      <w:r>
        <w:rPr>
          <w:rFonts w:hint="eastAsia" w:ascii="宋体" w:hAnsi="宋体"/>
          <w:b/>
          <w:sz w:val="32"/>
        </w:rPr>
        <w:t xml:space="preserve"> </w:t>
      </w:r>
    </w:p>
    <w:p w14:paraId="03EA3BBD">
      <w:pPr>
        <w:jc w:val="center"/>
        <w:rPr>
          <w:rFonts w:hint="eastAsia" w:ascii="宋体" w:hAnsi="宋体"/>
          <w:b/>
          <w:sz w:val="32"/>
        </w:rPr>
      </w:pPr>
    </w:p>
    <w:p w14:paraId="75A06557">
      <w:pPr>
        <w:jc w:val="center"/>
        <w:rPr>
          <w:rFonts w:hint="eastAsia" w:ascii="宋体" w:hAnsi="宋体"/>
          <w:b/>
          <w:sz w:val="32"/>
        </w:rPr>
      </w:pPr>
    </w:p>
    <w:p w14:paraId="4A013099">
      <w:pPr>
        <w:jc w:val="center"/>
        <w:rPr>
          <w:rFonts w:hint="eastAsia" w:ascii="宋体" w:hAnsi="宋体"/>
          <w:b/>
          <w:sz w:val="32"/>
        </w:rPr>
      </w:pPr>
    </w:p>
    <w:p w14:paraId="4FC5C383">
      <w:pPr>
        <w:jc w:val="center"/>
        <w:rPr>
          <w:rFonts w:hint="eastAsia" w:ascii="宋体" w:hAnsi="宋体"/>
          <w:b/>
          <w:sz w:val="32"/>
        </w:rPr>
      </w:pPr>
    </w:p>
    <w:p w14:paraId="2C7AA8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/>
          <w:b/>
          <w:sz w:val="32"/>
          <w:highlight w:val="none"/>
        </w:rPr>
      </w:pPr>
      <w:r>
        <w:rPr>
          <w:rFonts w:hint="eastAsia" w:ascii="宋体" w:hAnsi="宋体"/>
          <w:b/>
          <w:sz w:val="32"/>
          <w:highlight w:val="none"/>
        </w:rPr>
        <w:t>广西电网公司河池供电局</w:t>
      </w:r>
    </w:p>
    <w:p w14:paraId="1258FD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/>
          <w:b/>
          <w:sz w:val="32"/>
        </w:rPr>
      </w:pPr>
      <w:r>
        <w:rPr>
          <w:rFonts w:hint="eastAsia" w:ascii="宋体" w:hAnsi="宋体"/>
          <w:b/>
          <w:sz w:val="32"/>
          <w:lang w:val="en-US" w:eastAsia="zh-CN"/>
        </w:rPr>
        <w:t>2</w:t>
      </w:r>
      <w:r>
        <w:rPr>
          <w:rFonts w:hint="eastAsia" w:ascii="宋体" w:hAnsi="宋体"/>
          <w:b/>
          <w:sz w:val="32"/>
        </w:rPr>
        <w:t>0</w:t>
      </w:r>
      <w:r>
        <w:rPr>
          <w:rFonts w:hint="eastAsia" w:ascii="宋体" w:hAnsi="宋体"/>
          <w:b/>
          <w:sz w:val="32"/>
          <w:lang w:val="en-US" w:eastAsia="zh-CN"/>
        </w:rPr>
        <w:t>26</w:t>
      </w:r>
      <w:r>
        <w:rPr>
          <w:rFonts w:hint="eastAsia" w:ascii="宋体" w:hAnsi="宋体"/>
          <w:b/>
          <w:sz w:val="32"/>
        </w:rPr>
        <w:t>年</w:t>
      </w:r>
      <w:r>
        <w:rPr>
          <w:rFonts w:hint="eastAsia" w:ascii="宋体" w:hAnsi="宋体"/>
          <w:b/>
          <w:sz w:val="32"/>
          <w:lang w:val="en-US" w:eastAsia="zh-CN"/>
        </w:rPr>
        <w:t>07</w:t>
      </w:r>
      <w:r>
        <w:rPr>
          <w:rFonts w:hint="eastAsia" w:ascii="宋体" w:hAnsi="宋体"/>
          <w:b/>
          <w:sz w:val="32"/>
        </w:rPr>
        <w:t>月</w:t>
      </w:r>
    </w:p>
    <w:p w14:paraId="5629FDDD">
      <w:pPr>
        <w:rPr>
          <w:rFonts w:hint="eastAsia" w:ascii="宋体" w:hAnsi="宋体"/>
          <w:b/>
          <w:sz w:val="32"/>
        </w:rPr>
      </w:pPr>
      <w:r>
        <w:rPr>
          <w:rFonts w:hint="eastAsia" w:ascii="宋体" w:hAnsi="宋体"/>
          <w:b/>
          <w:sz w:val="32"/>
        </w:rPr>
        <w:br w:type="page"/>
      </w:r>
    </w:p>
    <w:p w14:paraId="0F85CD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b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sz w:val="21"/>
          <w:szCs w:val="21"/>
        </w:rPr>
        <w:t>1、总则</w:t>
      </w:r>
    </w:p>
    <w:p w14:paraId="6B4B69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1.1本技术规范书提出的是最低限度的技术要求，并未对一切技术细节作出规定，也未充分引述有关标准和规范的条文，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投标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方应提供符合本规范书的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招标文件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。</w:t>
      </w:r>
    </w:p>
    <w:p w14:paraId="3565C4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1.2如果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投标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方没有以书面形式对本规范书的条文提出异议，则意味着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投标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方提供的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产品、服务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完全符合本规范的要求。如有异议，不管是多么细微，都应在报价书中以“与规范书的差异”为标题的专门章节加以详细描述。</w:t>
      </w:r>
    </w:p>
    <w:p w14:paraId="46CDC9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1.3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本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技术规范经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招投标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双方确认后作为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技术服务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合同的技术附件，与合同正文具有同等法律效力。</w:t>
      </w:r>
    </w:p>
    <w:p w14:paraId="4282E7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1.4本技术规范未尽事宜，由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招投标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双方协商确定。</w:t>
      </w:r>
    </w:p>
    <w:p w14:paraId="12ED4E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textAlignment w:val="auto"/>
        <w:rPr>
          <w:rFonts w:hint="default" w:ascii="宋体" w:hAnsi="宋体" w:eastAsiaTheme="minorEastAsia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/>
          <w:b/>
          <w:bCs/>
          <w:sz w:val="21"/>
          <w:szCs w:val="21"/>
        </w:rPr>
        <w:t>2．</w:t>
      </w:r>
      <w:r>
        <w:rPr>
          <w:rFonts w:hint="eastAsia" w:ascii="宋体" w:hAnsi="宋体"/>
          <w:b/>
          <w:bCs/>
          <w:sz w:val="21"/>
          <w:szCs w:val="21"/>
          <w:lang w:val="en-US" w:eastAsia="zh-CN"/>
        </w:rPr>
        <w:t>工作范围</w:t>
      </w:r>
    </w:p>
    <w:p w14:paraId="7964AC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2.1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项目概况</w:t>
      </w:r>
    </w:p>
    <w:p w14:paraId="278A9A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河池供电局输电管理一所1台激光清障仪本体、2个配套电源返厂维修。</w:t>
      </w:r>
    </w:p>
    <w:p w14:paraId="05C886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2.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2激光清障仪配套电池等部件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维修范围</w:t>
      </w:r>
    </w:p>
    <w:p w14:paraId="5B5C5B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2.2.1 维修范围涵盖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但不限于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激光清障仪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的故障诊断、零部件更换、电路调试、校准检测等，包括仪器因正常磨损、故障损坏、性能下降等原因导致的无法正常使用或精度不达标的情况。</w:t>
      </w:r>
    </w:p>
    <w:p w14:paraId="67EC94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2.2.2 主要维修仪器类型：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激光清障仪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。</w:t>
      </w:r>
    </w:p>
    <w:p w14:paraId="62807C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20" w:firstLineChars="200"/>
        <w:jc w:val="lef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2.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3时间安排</w:t>
      </w:r>
    </w:p>
    <w:p w14:paraId="233732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维修方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应在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一个月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内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维修完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全部问题。</w:t>
      </w:r>
    </w:p>
    <w:p w14:paraId="283767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textAlignment w:val="auto"/>
        <w:rPr>
          <w:rFonts w:hint="default" w:ascii="宋体" w:hAnsi="宋体" w:eastAsiaTheme="minorEastAsia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/>
          <w:b/>
          <w:bCs/>
          <w:sz w:val="21"/>
          <w:szCs w:val="21"/>
          <w:lang w:val="en-US" w:eastAsia="zh-CN"/>
        </w:rPr>
        <w:t>3</w:t>
      </w:r>
      <w:r>
        <w:rPr>
          <w:rFonts w:hint="eastAsia" w:ascii="宋体" w:hAnsi="宋体"/>
          <w:b/>
          <w:bCs/>
          <w:sz w:val="21"/>
          <w:szCs w:val="21"/>
        </w:rPr>
        <w:t>．</w:t>
      </w:r>
      <w:r>
        <w:rPr>
          <w:rFonts w:hint="eastAsia" w:ascii="宋体" w:hAnsi="宋体"/>
          <w:b/>
          <w:bCs/>
          <w:sz w:val="21"/>
          <w:szCs w:val="21"/>
          <w:lang w:val="en-US" w:eastAsia="zh-CN"/>
        </w:rPr>
        <w:t>技术要求</w:t>
      </w:r>
    </w:p>
    <w:p w14:paraId="382AF2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.1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故障诊断要求</w:t>
      </w:r>
    </w:p>
    <w:p w14:paraId="1BF8AF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20" w:firstLineChars="200"/>
        <w:jc w:val="lef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维修方应配备专业的检测设备和技术人员，对送修的仪器进行全面、准确的故障诊断，出具对应的故障分析报告，明确故障部位、故障原因及维修方案。对于复杂故障，维修方应与使用单位沟通，共同分析故障原因，必要时提供现场诊断服务。</w:t>
      </w:r>
    </w:p>
    <w:p w14:paraId="6F0011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20" w:firstLineChars="200"/>
        <w:jc w:val="lef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3.2零部件更换要求</w:t>
      </w:r>
    </w:p>
    <w:p w14:paraId="7759D9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20" w:firstLineChars="200"/>
        <w:jc w:val="lef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维修方应配备专业的检测设备和技术人员，对送修的仪器进行全面、准确的故障诊断，出具对应的故障分析报告，明确故障部位、故障原因及维修方案。对于复杂故障，维修方应与使用单位沟通，共同分析故障原因，必要时提供现场诊断服务。</w:t>
      </w:r>
    </w:p>
    <w:p w14:paraId="449E04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20" w:firstLineChars="200"/>
        <w:jc w:val="lef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3.2.1更换的零部件应优先选用原厂正品配件，若采用替代配件，需保证替代配件的性能参数不低于原厂配件标准。</w:t>
      </w:r>
    </w:p>
    <w:p w14:paraId="238101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20" w:firstLineChars="200"/>
        <w:jc w:val="lef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3.2.2更换的零部件应有产品合格证，且在有效期内，严禁使用假冒伪劣、报废或不合格零部件。</w:t>
      </w:r>
    </w:p>
    <w:p w14:paraId="34DE34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20" w:firstLineChars="200"/>
        <w:jc w:val="lef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3.2.3零部件更换后，应进行固定和密封处理，确保连接可靠、无松动，满足仪器在运输、使用过程中的稳定性要求。</w:t>
      </w:r>
    </w:p>
    <w:p w14:paraId="214FD3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20" w:firstLineChars="200"/>
        <w:jc w:val="lef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3.3维修工艺要求</w:t>
      </w:r>
    </w:p>
    <w:p w14:paraId="57C6A7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20" w:firstLineChars="200"/>
        <w:jc w:val="lef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3.3.1电路维修应遵循电气安全规范，焊接工艺符合行业标准，焊点牢固、光滑，无虚焊、假焊现象；布线整齐、规范，无交叉干扰，线缆标识清晰。</w:t>
      </w:r>
    </w:p>
    <w:p w14:paraId="609A98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20" w:firstLineChars="200"/>
        <w:jc w:val="lef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3.3.2电池逆变器更换后空载及带载测试合格，输出电压稳定，无异常发热、异响。</w:t>
      </w:r>
    </w:p>
    <w:p w14:paraId="0490FF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20" w:firstLineChars="200"/>
        <w:jc w:val="lef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3.3.3正反向6+1*1合束器更换后光路校准精准，激光合束均匀，无光斑偏移、漏光现象。</w:t>
      </w:r>
    </w:p>
    <w:p w14:paraId="77A594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20" w:firstLineChars="200"/>
        <w:jc w:val="lef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3.3.4模块化调Q控制板更换后调试调Q信号、触发时序正常，配合整机测试出光稳定，无脉冲跳变。</w:t>
      </w:r>
    </w:p>
    <w:p w14:paraId="4DE3C3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20" w:firstLineChars="200"/>
        <w:jc w:val="lef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3.3.5支架更换后应保证支架无变形、无裂纹，各伸缩节灵活无卡顿，锁紧装置可靠有效；安装后支架垂直度达标，支撑稳固，无晃动，能有效承载激光清障仪重量，满足设备作业时的稳定性要求。</w:t>
      </w:r>
    </w:p>
    <w:p w14:paraId="7B27A7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left"/>
        <w:textAlignment w:val="auto"/>
        <w:rPr>
          <w:rFonts w:hint="eastAsia" w:asciiTheme="minorEastAsia" w:hAnsiTheme="minorEastAsia" w:cstheme="minorEastAsia"/>
          <w:b/>
          <w:bCs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1"/>
          <w:szCs w:val="21"/>
          <w:lang w:val="en-US" w:eastAsia="zh-CN"/>
        </w:rPr>
        <w:t>4.质量保证与售后服务</w:t>
      </w:r>
    </w:p>
    <w:p w14:paraId="7C7191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20" w:firstLineChars="200"/>
        <w:jc w:val="lef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4.1维修后的激光清障仪配套电池等部件质量保证期为1年，自验收合格之日起计算。在质保期内，因维修质量问题导致仪器故障的，维修方应免费返修。</w:t>
      </w:r>
    </w:p>
    <w:p w14:paraId="7EE5D2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20" w:firstLineChars="200"/>
        <w:jc w:val="lef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4.2售后服务：维修方应提供7×24小时的技术支持，接到使用单位故障报修后，应及时响应，如需现场服务，应及时派技术人员到达现场。</w:t>
      </w:r>
    </w:p>
    <w:p w14:paraId="595374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20" w:firstLineChars="200"/>
        <w:jc w:val="lef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4.3维修方应定期对使用单位进行回访，了解仪器使用情况，提供维护保养建议，协助使用单位延长仪器使用寿命。</w:t>
      </w:r>
    </w:p>
    <w:p w14:paraId="02777B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left"/>
        <w:textAlignment w:val="auto"/>
        <w:rPr>
          <w:rFonts w:hint="eastAsia" w:asciiTheme="minorEastAsia" w:hAnsiTheme="minorEastAsia" w:cstheme="minorEastAsia"/>
          <w:b/>
          <w:bCs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1"/>
          <w:szCs w:val="21"/>
          <w:lang w:val="en-US" w:eastAsia="zh-CN"/>
        </w:rPr>
        <w:t>5.安全与环保要求</w:t>
      </w:r>
    </w:p>
    <w:p w14:paraId="712A56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20" w:firstLineChars="200"/>
        <w:jc w:val="lef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5.1中标方应遵守安全生产相关法律法规，制定安全操作规程，配备必要的安全防护设备，确保维修人员人身安全和仪器设备安全。</w:t>
      </w:r>
    </w:p>
    <w:p w14:paraId="21B9F9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20" w:firstLineChars="200"/>
        <w:jc w:val="left"/>
        <w:textAlignment w:val="auto"/>
        <w:rPr>
          <w:rFonts w:hint="eastAsia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5.2维修过程中产生的废旧零部件、电子废料等应按照环保要求分类处理，严禁随意丢弃，避免造成环境污染。</w:t>
      </w:r>
    </w:p>
    <w:p w14:paraId="48DBA9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left"/>
        <w:textAlignment w:val="auto"/>
        <w:rPr>
          <w:rFonts w:hint="eastAsia" w:asciiTheme="minorEastAsia" w:hAnsiTheme="minorEastAsia" w:cstheme="minorEastAsia"/>
          <w:b/>
          <w:bCs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1"/>
          <w:szCs w:val="21"/>
          <w:lang w:val="en-US" w:eastAsia="zh-CN"/>
        </w:rPr>
        <w:t>6.其他</w:t>
      </w:r>
    </w:p>
    <w:p w14:paraId="0A471D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20" w:firstLineChars="200"/>
        <w:jc w:val="left"/>
        <w:textAlignment w:val="auto"/>
        <w:rPr>
          <w:rFonts w:hint="eastAsia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如有需说明的其他问题，中标方应通过书面形式提交，并盖章。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E83F44"/>
    <w:rsid w:val="1A4B5338"/>
    <w:rsid w:val="299E145A"/>
    <w:rsid w:val="2ACF254B"/>
    <w:rsid w:val="3EEC313D"/>
    <w:rsid w:val="54DA669C"/>
    <w:rsid w:val="629C332A"/>
    <w:rsid w:val="633E5F3F"/>
    <w:rsid w:val="7CE83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400" w:lineRule="exact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14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2026-05-12T02:32:00Z</dcterms:created>
  <dc:creator>Administrator</dc:creator>
  <cp:lastModifiedBy>韦茜</cp:lastModifiedBy>
  <dcterms:modified xsi:type="dcterms:W3CDTF">2026-07-16T04:00:36Z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F2F21C2F37C741AC90E63CC21862EF79_13</vt:lpwstr>
  </property>
  <property fmtid="{D5CDD505-2E9C-101B-9397-08002B2CF9AE}" pid="4" name="KSOTemplateDocerSaveRecord">
    <vt:lpwstr>eyJoZGlkIjoiODE4YTQ2N2ZmODllNTIwNzA5ODFlYzEwYjZmYTdmOTkiLCJ1c2VySWQiOiIzMTcxNDg5NTgifQ==</vt:lpwstr>
  </property>
</Properties>
</file>