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DD98B">
      <w:pPr>
        <w:spacing w:line="360" w:lineRule="auto"/>
        <w:rPr>
          <w:rFonts w:hint="eastAsia" w:ascii="宋体" w:hAnsi="宋体" w:cs="宋体"/>
        </w:rPr>
      </w:pPr>
      <w:r>
        <w:rPr>
          <w:rFonts w:hint="eastAsia" w:ascii="宋体" w:hAnsi="宋体" w:cs="宋体"/>
        </w:rPr>
        <w:drawing>
          <wp:anchor distT="0" distB="0" distL="114300" distR="114300" simplePos="0" relativeHeight="251659264" behindDoc="1" locked="0" layoutInCell="1" allowOverlap="1">
            <wp:simplePos x="0" y="0"/>
            <wp:positionH relativeFrom="page">
              <wp:posOffset>23495</wp:posOffset>
            </wp:positionH>
            <wp:positionV relativeFrom="paragraph">
              <wp:posOffset>-1125855</wp:posOffset>
            </wp:positionV>
            <wp:extent cx="7569835" cy="7228840"/>
            <wp:effectExtent l="0" t="0" r="12065" b="10160"/>
            <wp:wrapNone/>
            <wp:docPr id="1" name="图片 4"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说明: 未命名"/>
                    <pic:cNvPicPr>
                      <a:picLocks noChangeAspect="1"/>
                    </pic:cNvPicPr>
                  </pic:nvPicPr>
                  <pic:blipFill>
                    <a:blip r:embed="rId6" cstate="print"/>
                    <a:stretch>
                      <a:fillRect/>
                    </a:stretch>
                  </pic:blipFill>
                  <pic:spPr>
                    <a:xfrm>
                      <a:off x="0" y="0"/>
                      <a:ext cx="7569835" cy="7228840"/>
                    </a:xfrm>
                    <a:prstGeom prst="rect">
                      <a:avLst/>
                    </a:prstGeom>
                    <a:noFill/>
                    <a:ln>
                      <a:noFill/>
                    </a:ln>
                  </pic:spPr>
                </pic:pic>
              </a:graphicData>
            </a:graphic>
          </wp:anchor>
        </w:drawing>
      </w:r>
    </w:p>
    <w:p w14:paraId="2888D75B">
      <w:pPr>
        <w:spacing w:line="360" w:lineRule="auto"/>
        <w:rPr>
          <w:rFonts w:hint="eastAsia" w:ascii="宋体" w:hAnsi="宋体" w:cs="宋体"/>
        </w:rPr>
      </w:pPr>
      <w:r>
        <w:rPr>
          <w:rFonts w:hint="eastAsia" w:ascii="宋体" w:hAnsi="宋体" w:cs="宋体"/>
        </w:rPr>
        <w:drawing>
          <wp:anchor distT="0" distB="0" distL="114300" distR="114300" simplePos="0" relativeHeight="251660288" behindDoc="0" locked="0" layoutInCell="1" allowOverlap="1">
            <wp:simplePos x="0" y="0"/>
            <wp:positionH relativeFrom="page">
              <wp:posOffset>366395</wp:posOffset>
            </wp:positionH>
            <wp:positionV relativeFrom="paragraph">
              <wp:posOffset>286385</wp:posOffset>
            </wp:positionV>
            <wp:extent cx="3459480" cy="813435"/>
            <wp:effectExtent l="0" t="0" r="7620" b="5715"/>
            <wp:wrapNone/>
            <wp:docPr id="2" name="图片 1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4" descr="说明: 中国南方电网公司---横向标准组合"/>
                    <pic:cNvPicPr>
                      <a:picLocks noChangeAspect="1"/>
                    </pic:cNvPicPr>
                  </pic:nvPicPr>
                  <pic:blipFill>
                    <a:blip r:embed="rId7" cstate="print"/>
                    <a:stretch>
                      <a:fillRect/>
                    </a:stretch>
                  </pic:blipFill>
                  <pic:spPr>
                    <a:xfrm>
                      <a:off x="0" y="0"/>
                      <a:ext cx="3459480" cy="813435"/>
                    </a:xfrm>
                    <a:prstGeom prst="rect">
                      <a:avLst/>
                    </a:prstGeom>
                    <a:noFill/>
                    <a:ln>
                      <a:noFill/>
                    </a:ln>
                  </pic:spPr>
                </pic:pic>
              </a:graphicData>
            </a:graphic>
          </wp:anchor>
        </w:drawing>
      </w:r>
    </w:p>
    <w:p w14:paraId="6C69BC41">
      <w:pPr>
        <w:spacing w:line="360" w:lineRule="auto"/>
        <w:rPr>
          <w:rFonts w:hint="eastAsia" w:ascii="宋体" w:hAnsi="宋体" w:cs="宋体"/>
        </w:rPr>
      </w:pPr>
    </w:p>
    <w:p w14:paraId="4451912C">
      <w:pPr>
        <w:spacing w:line="360" w:lineRule="auto"/>
        <w:rPr>
          <w:rFonts w:hint="eastAsia" w:ascii="宋体" w:hAnsi="宋体" w:cs="宋体"/>
        </w:rPr>
      </w:pPr>
    </w:p>
    <w:p w14:paraId="3C98BEB1">
      <w:pPr>
        <w:pStyle w:val="10"/>
        <w:rPr>
          <w:rFonts w:hint="eastAsia" w:ascii="宋体" w:hAnsi="宋体" w:cs="宋体"/>
        </w:rPr>
      </w:pPr>
    </w:p>
    <w:p w14:paraId="74CA23C8">
      <w:pPr>
        <w:spacing w:line="360" w:lineRule="auto"/>
        <w:rPr>
          <w:rFonts w:hint="eastAsia" w:ascii="宋体" w:hAnsi="宋体" w:cs="宋体"/>
        </w:rPr>
      </w:pPr>
    </w:p>
    <w:p w14:paraId="13D9E871">
      <w:pPr>
        <w:spacing w:line="360" w:lineRule="auto"/>
        <w:rPr>
          <w:rFonts w:hint="eastAsia" w:ascii="宋体" w:hAnsi="宋体" w:cs="宋体"/>
        </w:rPr>
      </w:pPr>
    </w:p>
    <w:p w14:paraId="149D5A34">
      <w:pPr>
        <w:pStyle w:val="10"/>
        <w:jc w:val="both"/>
        <w:rPr>
          <w:rFonts w:hint="eastAsia" w:ascii="宋体" w:hAnsi="宋体" w:cs="宋体"/>
        </w:rPr>
      </w:pPr>
    </w:p>
    <w:p w14:paraId="177B99F1">
      <w:pPr>
        <w:spacing w:line="360" w:lineRule="auto"/>
        <w:ind w:right="84" w:rightChars="42"/>
        <w:jc w:val="left"/>
        <w:rPr>
          <w:rFonts w:hint="eastAsia" w:ascii="宋体" w:hAnsi="宋体" w:eastAsia="宋体" w:cs="宋体"/>
          <w:b/>
          <w:sz w:val="44"/>
          <w:szCs w:val="44"/>
          <w:highlight w:val="yellow"/>
          <w:lang w:eastAsia="zh-CN"/>
        </w:rPr>
      </w:pPr>
      <w:bookmarkStart w:id="0" w:name="_Toc13349"/>
      <w:bookmarkStart w:id="1" w:name="_Toc1537"/>
      <w:r>
        <w:rPr>
          <w:rFonts w:hint="eastAsia" w:ascii="宋体" w:hAnsi="宋体" w:cs="宋体"/>
          <w:b/>
          <w:sz w:val="44"/>
          <w:szCs w:val="44"/>
          <w:lang w:eastAsia="zh-CN"/>
        </w:rPr>
        <w:t>广东电力通信科技有限公司2026年广州地区、佛山地区办公楼设备改造专项物资采购</w:t>
      </w:r>
    </w:p>
    <w:p w14:paraId="29ED8F24">
      <w:pPr>
        <w:spacing w:line="360" w:lineRule="auto"/>
        <w:ind w:right="84" w:rightChars="42"/>
        <w:jc w:val="right"/>
        <w:outlineLvl w:val="0"/>
        <w:rPr>
          <w:rFonts w:hint="eastAsia" w:ascii="宋体" w:hAnsi="宋体" w:cs="宋体"/>
          <w:b/>
          <w:bCs/>
          <w:sz w:val="44"/>
          <w:szCs w:val="44"/>
        </w:rPr>
      </w:pPr>
    </w:p>
    <w:p w14:paraId="6E6B435B">
      <w:pPr>
        <w:spacing w:line="360" w:lineRule="auto"/>
        <w:ind w:right="84" w:rightChars="42"/>
        <w:jc w:val="right"/>
        <w:outlineLvl w:val="0"/>
        <w:rPr>
          <w:rFonts w:hint="eastAsia" w:ascii="宋体" w:hAnsi="宋体" w:cs="宋体"/>
          <w:b/>
          <w:bCs/>
          <w:sz w:val="44"/>
          <w:szCs w:val="44"/>
        </w:rPr>
      </w:pPr>
      <w:r>
        <w:rPr>
          <w:rFonts w:hint="eastAsia" w:ascii="宋体" w:hAnsi="宋体" w:cs="宋体"/>
          <w:b/>
          <w:bCs/>
          <w:sz w:val="44"/>
          <w:szCs w:val="44"/>
        </w:rPr>
        <w:t>技术规范书</w:t>
      </w:r>
      <w:bookmarkEnd w:id="0"/>
      <w:bookmarkEnd w:id="1"/>
    </w:p>
    <w:p w14:paraId="499065F3">
      <w:pPr>
        <w:pStyle w:val="10"/>
        <w:rPr>
          <w:rFonts w:hint="eastAsia" w:ascii="宋体" w:hAnsi="宋体" w:cs="宋体"/>
        </w:rPr>
      </w:pPr>
    </w:p>
    <w:p w14:paraId="1677930B">
      <w:pPr>
        <w:spacing w:line="360" w:lineRule="auto"/>
        <w:rPr>
          <w:rFonts w:hint="eastAsia" w:ascii="宋体" w:hAnsi="宋体" w:cs="宋体"/>
        </w:rPr>
      </w:pPr>
    </w:p>
    <w:p w14:paraId="22BA3074">
      <w:pPr>
        <w:spacing w:line="360" w:lineRule="auto"/>
        <w:rPr>
          <w:rFonts w:hint="eastAsia" w:ascii="宋体" w:hAnsi="宋体" w:cs="宋体"/>
        </w:rPr>
      </w:pPr>
    </w:p>
    <w:p w14:paraId="1407D83D">
      <w:pPr>
        <w:pStyle w:val="10"/>
        <w:rPr>
          <w:rFonts w:hint="eastAsia" w:ascii="宋体" w:hAnsi="宋体" w:cs="宋体"/>
        </w:rPr>
      </w:pPr>
    </w:p>
    <w:p w14:paraId="61E759B6">
      <w:pPr>
        <w:spacing w:line="360" w:lineRule="auto"/>
        <w:rPr>
          <w:rFonts w:hint="eastAsia" w:ascii="宋体" w:hAnsi="宋体" w:cs="宋体"/>
        </w:rPr>
      </w:pPr>
    </w:p>
    <w:p w14:paraId="108F8E8C">
      <w:pPr>
        <w:pStyle w:val="10"/>
        <w:rPr>
          <w:rFonts w:hint="eastAsia" w:ascii="宋体" w:hAnsi="宋体" w:cs="宋体"/>
        </w:rPr>
      </w:pPr>
    </w:p>
    <w:p w14:paraId="11C87B5A">
      <w:pPr>
        <w:pStyle w:val="10"/>
        <w:rPr>
          <w:rFonts w:hint="eastAsia" w:ascii="宋体" w:hAnsi="宋体" w:cs="宋体"/>
        </w:rPr>
      </w:pPr>
    </w:p>
    <w:p w14:paraId="3AE66EC2">
      <w:pPr>
        <w:pStyle w:val="10"/>
        <w:rPr>
          <w:rFonts w:hint="eastAsia" w:ascii="宋体" w:hAnsi="宋体" w:cs="宋体"/>
        </w:rPr>
      </w:pPr>
    </w:p>
    <w:p w14:paraId="6A333EFD">
      <w:pPr>
        <w:spacing w:line="360" w:lineRule="auto"/>
        <w:rPr>
          <w:rFonts w:hint="eastAsia" w:ascii="宋体" w:hAnsi="宋体" w:cs="宋体"/>
        </w:rPr>
      </w:pPr>
    </w:p>
    <w:p w14:paraId="4762DC5D">
      <w:pPr>
        <w:spacing w:line="360" w:lineRule="auto"/>
        <w:rPr>
          <w:rFonts w:hint="eastAsia" w:ascii="宋体" w:hAnsi="宋体" w:cs="宋体"/>
        </w:rPr>
      </w:pPr>
    </w:p>
    <w:p w14:paraId="1B41414C">
      <w:pPr>
        <w:spacing w:line="360" w:lineRule="auto"/>
        <w:rPr>
          <w:rFonts w:hint="eastAsia" w:ascii="宋体" w:hAnsi="宋体" w:cs="宋体"/>
        </w:rPr>
      </w:pPr>
    </w:p>
    <w:p w14:paraId="551DFBD2">
      <w:pPr>
        <w:spacing w:line="360" w:lineRule="auto"/>
        <w:jc w:val="center"/>
        <w:rPr>
          <w:rFonts w:hint="eastAsia" w:ascii="宋体" w:hAnsi="宋体" w:cs="宋体"/>
          <w:b/>
          <w:color w:val="000000"/>
          <w:sz w:val="30"/>
          <w:szCs w:val="30"/>
        </w:rPr>
      </w:pPr>
      <w:r>
        <w:rPr>
          <w:rFonts w:hint="eastAsia" w:ascii="宋体" w:hAnsi="宋体" w:cs="宋体"/>
          <w:b/>
          <w:color w:val="000000"/>
          <w:sz w:val="30"/>
          <w:szCs w:val="30"/>
        </w:rPr>
        <w:t>2026年</w:t>
      </w:r>
      <w:r>
        <w:rPr>
          <w:rFonts w:hint="eastAsia" w:ascii="宋体" w:hAnsi="宋体" w:cs="宋体"/>
          <w:b/>
          <w:color w:val="000000"/>
          <w:sz w:val="30"/>
          <w:szCs w:val="30"/>
          <w:lang w:val="en-US" w:eastAsia="zh-CN"/>
        </w:rPr>
        <w:t>5</w:t>
      </w:r>
      <w:r>
        <w:rPr>
          <w:rFonts w:hint="eastAsia" w:ascii="宋体" w:hAnsi="宋体" w:cs="宋体"/>
          <w:b/>
          <w:color w:val="000000"/>
          <w:sz w:val="30"/>
          <w:szCs w:val="30"/>
        </w:rPr>
        <w:t>月</w:t>
      </w:r>
    </w:p>
    <w:p w14:paraId="30541006">
      <w:pPr>
        <w:spacing w:line="360" w:lineRule="auto"/>
        <w:rPr>
          <w:rFonts w:hint="eastAsia" w:ascii="宋体" w:hAnsi="宋体" w:cs="宋体"/>
        </w:rPr>
      </w:pPr>
    </w:p>
    <w:p w14:paraId="17D4797F">
      <w:pPr>
        <w:spacing w:line="360" w:lineRule="auto"/>
        <w:jc w:val="center"/>
        <w:rPr>
          <w:rFonts w:hint="eastAsia" w:ascii="宋体" w:hAnsi="宋体" w:cs="宋体"/>
          <w:b/>
          <w:sz w:val="30"/>
          <w:szCs w:val="30"/>
        </w:rPr>
        <w:sectPr>
          <w:pgSz w:w="11906" w:h="16838"/>
          <w:pgMar w:top="1440" w:right="1800" w:bottom="1440" w:left="1800" w:header="851" w:footer="992" w:gutter="0"/>
          <w:pgNumType w:fmt="lowerRoman" w:start="1"/>
          <w:cols w:space="720" w:num="1"/>
          <w:docGrid w:type="lines" w:linePitch="312" w:charSpace="0"/>
        </w:sectPr>
      </w:pPr>
    </w:p>
    <w:p w14:paraId="489838E2">
      <w:pPr>
        <w:spacing w:line="360" w:lineRule="auto"/>
        <w:jc w:val="center"/>
        <w:rPr>
          <w:rFonts w:hint="eastAsia" w:ascii="宋体" w:hAnsi="宋体" w:cs="宋体"/>
          <w:b/>
          <w:sz w:val="32"/>
        </w:rPr>
      </w:pPr>
      <w:bookmarkStart w:id="2" w:name="_Toc121113453"/>
      <w:r>
        <w:rPr>
          <w:rFonts w:hint="eastAsia" w:ascii="宋体" w:hAnsi="宋体" w:cs="宋体"/>
          <w:b/>
          <w:sz w:val="32"/>
        </w:rPr>
        <w:t>技术规范</w:t>
      </w:r>
      <w:bookmarkStart w:id="3" w:name="_Toc64999087"/>
      <w:bookmarkStart w:id="4" w:name="_Toc158522107"/>
      <w:bookmarkStart w:id="5" w:name="_Toc407417350"/>
      <w:bookmarkStart w:id="6" w:name="_Toc65987661"/>
      <w:bookmarkStart w:id="7" w:name="_Toc81280736"/>
      <w:bookmarkStart w:id="8" w:name="_Toc82166586"/>
      <w:bookmarkStart w:id="9" w:name="_Toc535231674"/>
      <w:bookmarkStart w:id="10" w:name="_Toc64999647"/>
      <w:bookmarkStart w:id="11" w:name="_Toc407982378"/>
      <w:bookmarkStart w:id="12" w:name="_Toc407415863"/>
    </w:p>
    <w:p w14:paraId="4EE43478">
      <w:pPr>
        <w:pStyle w:val="11"/>
        <w:spacing w:before="0" w:after="0" w:line="360" w:lineRule="auto"/>
        <w:jc w:val="left"/>
        <w:rPr>
          <w:rFonts w:hint="eastAsia" w:ascii="宋体" w:hAnsi="宋体" w:cs="宋体"/>
        </w:rPr>
      </w:pPr>
      <w:bookmarkStart w:id="13" w:name="_Toc16513"/>
      <w:bookmarkStart w:id="14" w:name="_Toc164012985"/>
      <w:bookmarkStart w:id="15" w:name="_Toc414"/>
      <w:r>
        <w:rPr>
          <w:rFonts w:hint="eastAsia" w:ascii="宋体" w:hAnsi="宋体" w:cs="宋体"/>
        </w:rPr>
        <w:t>1.总则</w:t>
      </w:r>
      <w:bookmarkEnd w:id="13"/>
      <w:bookmarkEnd w:id="14"/>
      <w:bookmarkEnd w:id="15"/>
    </w:p>
    <w:p w14:paraId="291AF7F8">
      <w:pPr>
        <w:spacing w:line="360" w:lineRule="auto"/>
        <w:ind w:firstLine="480" w:firstLineChars="200"/>
        <w:rPr>
          <w:rFonts w:hint="eastAsia" w:ascii="宋体" w:hAnsi="宋体" w:cs="宋体"/>
          <w:sz w:val="24"/>
        </w:rPr>
      </w:pPr>
      <w:r>
        <w:rPr>
          <w:rFonts w:hint="eastAsia" w:ascii="宋体" w:hAnsi="宋体" w:cs="宋体"/>
          <w:sz w:val="24"/>
        </w:rPr>
        <w:t>本技术规范是对设备的相关规定和要求，投标方应仔细阅读并遵循以下内容进行投标。</w:t>
      </w:r>
    </w:p>
    <w:p w14:paraId="4DA2FE36">
      <w:pPr>
        <w:spacing w:line="360" w:lineRule="auto"/>
        <w:ind w:firstLine="482" w:firstLineChars="200"/>
        <w:rPr>
          <w:rFonts w:hint="eastAsia" w:ascii="宋体" w:hAnsi="宋体" w:cs="宋体"/>
          <w:b/>
          <w:bCs/>
          <w:sz w:val="24"/>
        </w:rPr>
      </w:pPr>
      <w:r>
        <w:rPr>
          <w:rFonts w:hint="eastAsia" w:ascii="宋体" w:hAnsi="宋体" w:cs="宋体"/>
          <w:b/>
          <w:bCs/>
          <w:sz w:val="24"/>
        </w:rPr>
        <w:t>1.1 一般规定</w:t>
      </w:r>
    </w:p>
    <w:p w14:paraId="15BCB7AE">
      <w:pPr>
        <w:numPr>
          <w:ilvl w:val="255"/>
          <w:numId w:val="0"/>
        </w:numPr>
        <w:spacing w:line="360" w:lineRule="auto"/>
        <w:ind w:firstLine="475" w:firstLineChars="198"/>
        <w:rPr>
          <w:rFonts w:hint="eastAsia" w:ascii="宋体" w:hAnsi="宋体" w:cs="宋体"/>
          <w:bCs/>
          <w:sz w:val="24"/>
        </w:rPr>
      </w:pPr>
      <w:r>
        <w:rPr>
          <w:rFonts w:hint="eastAsia" w:ascii="宋体" w:hAnsi="宋体" w:cs="宋体"/>
          <w:bCs/>
          <w:sz w:val="24"/>
        </w:rPr>
        <w:t>本文件为</w:t>
      </w:r>
      <w:r>
        <w:rPr>
          <w:rFonts w:hint="eastAsia" w:ascii="宋体" w:hAnsi="宋体" w:cs="宋体"/>
          <w:bCs/>
          <w:sz w:val="24"/>
          <w:szCs w:val="24"/>
        </w:rPr>
        <w:t>《</w:t>
      </w:r>
      <w:r>
        <w:rPr>
          <w:rFonts w:hint="eastAsia" w:ascii="宋体" w:hAnsi="宋体" w:cs="宋体"/>
          <w:sz w:val="24"/>
          <w:szCs w:val="24"/>
          <w:highlight w:val="none"/>
          <w:lang w:eastAsia="zh-CN"/>
        </w:rPr>
        <w:t>广东电力通信科技有限公司2026年广州地区、佛山地区办公楼设备改造专项</w:t>
      </w:r>
      <w:r>
        <w:rPr>
          <w:rFonts w:hint="eastAsia" w:ascii="宋体" w:hAnsi="宋体" w:cs="宋体"/>
          <w:sz w:val="24"/>
          <w:szCs w:val="24"/>
          <w:highlight w:val="none"/>
        </w:rPr>
        <w:t>物资采购</w:t>
      </w:r>
      <w:r>
        <w:rPr>
          <w:rFonts w:hint="eastAsia" w:ascii="宋体" w:hAnsi="宋体" w:cs="宋体"/>
          <w:bCs/>
          <w:sz w:val="24"/>
          <w:szCs w:val="24"/>
        </w:rPr>
        <w:t>》</w:t>
      </w:r>
      <w:r>
        <w:rPr>
          <w:rFonts w:hint="eastAsia" w:ascii="宋体" w:hAnsi="宋体" w:cs="宋体"/>
          <w:bCs/>
          <w:sz w:val="24"/>
        </w:rPr>
        <w:t>设备招标技术规范书。本技术规范书适用于本项目所需采购的硬件，及供货设备的功能设计、结构、性能、试验等方面的技术要求。</w:t>
      </w:r>
    </w:p>
    <w:p w14:paraId="1C683BF8">
      <w:pPr>
        <w:numPr>
          <w:ilvl w:val="255"/>
          <w:numId w:val="0"/>
        </w:numPr>
        <w:spacing w:line="360" w:lineRule="auto"/>
        <w:ind w:firstLine="475" w:firstLineChars="198"/>
        <w:rPr>
          <w:rFonts w:hint="eastAsia" w:ascii="宋体" w:hAnsi="宋体" w:cs="宋体"/>
          <w:bCs/>
          <w:sz w:val="24"/>
        </w:rPr>
      </w:pPr>
      <w:r>
        <w:rPr>
          <w:rFonts w:hint="eastAsia" w:ascii="宋体" w:hAnsi="宋体" w:cs="宋体"/>
          <w:bCs/>
          <w:sz w:val="24"/>
        </w:rPr>
        <w:t>本项目为系统集成项目，以最终系统运行可靠、稳定、高效、方便和系统对接兼容效果为最终目的，投标方应提供系统所涉及所有的设备（含招标设备或材料）的运输、集成、</w:t>
      </w:r>
      <w:r>
        <w:rPr>
          <w:rFonts w:hint="eastAsia" w:ascii="宋体" w:hAnsi="宋体" w:cs="宋体"/>
          <w:bCs/>
          <w:sz w:val="24"/>
          <w:lang w:val="en-US" w:eastAsia="zh-CN"/>
        </w:rPr>
        <w:t>技术支持及督导</w:t>
      </w:r>
      <w:r>
        <w:rPr>
          <w:rFonts w:hint="eastAsia" w:ascii="宋体" w:hAnsi="宋体" w:cs="宋体"/>
          <w:bCs/>
          <w:sz w:val="24"/>
        </w:rPr>
        <w:t>、电缆敷设连接实施、调试等。</w:t>
      </w:r>
    </w:p>
    <w:p w14:paraId="083BC23E">
      <w:pPr>
        <w:numPr>
          <w:ilvl w:val="255"/>
          <w:numId w:val="0"/>
        </w:numPr>
        <w:spacing w:line="360" w:lineRule="auto"/>
        <w:ind w:firstLine="475" w:firstLineChars="198"/>
        <w:rPr>
          <w:rFonts w:hint="eastAsia" w:ascii="宋体" w:hAnsi="宋体" w:cs="宋体"/>
          <w:bCs/>
          <w:sz w:val="24"/>
        </w:rPr>
      </w:pPr>
      <w:r>
        <w:rPr>
          <w:rFonts w:hint="eastAsia" w:ascii="宋体" w:hAnsi="宋体" w:cs="宋体"/>
          <w:bCs/>
          <w:sz w:val="24"/>
        </w:rPr>
        <w:t>本技术规范书应视为保证项目所需服务与设备的最低要求，如有遗漏，投标方应予以补充，否则一旦中标将认为投标方认同遗漏部分并免费提供。</w:t>
      </w:r>
    </w:p>
    <w:p w14:paraId="2B939F0F">
      <w:pPr>
        <w:numPr>
          <w:ilvl w:val="255"/>
          <w:numId w:val="0"/>
        </w:numPr>
        <w:spacing w:line="360" w:lineRule="auto"/>
        <w:ind w:firstLine="475" w:firstLineChars="198"/>
        <w:rPr>
          <w:rFonts w:hint="eastAsia" w:ascii="宋体" w:hAnsi="宋体" w:cs="宋体"/>
          <w:bCs/>
          <w:sz w:val="24"/>
        </w:rPr>
      </w:pPr>
      <w:r>
        <w:rPr>
          <w:rFonts w:hint="eastAsia" w:ascii="宋体" w:hAnsi="宋体" w:cs="宋体"/>
          <w:bCs/>
          <w:sz w:val="24"/>
        </w:rPr>
        <w:t>所供产品的技术参数要求必须符合（满足或高于）采购供货清单（含配套设备）的通用（无“▲”号）技术参数要求（3.技术性能指标要求），标“▲”号技术参数为关键技术参数，不满足将影响技术评分要求。</w:t>
      </w:r>
    </w:p>
    <w:p w14:paraId="12825F81">
      <w:pPr>
        <w:spacing w:line="360" w:lineRule="auto"/>
        <w:ind w:firstLine="482" w:firstLineChars="200"/>
        <w:rPr>
          <w:rFonts w:hint="eastAsia" w:ascii="宋体" w:hAnsi="宋体" w:cs="宋体"/>
          <w:b/>
          <w:bCs/>
          <w:sz w:val="24"/>
        </w:rPr>
      </w:pPr>
      <w:r>
        <w:rPr>
          <w:rFonts w:hint="eastAsia" w:ascii="宋体" w:hAnsi="宋体" w:cs="宋体"/>
          <w:b/>
          <w:bCs/>
          <w:sz w:val="24"/>
        </w:rPr>
        <w:t>1.2 标准和性能</w:t>
      </w:r>
    </w:p>
    <w:p w14:paraId="31B87DDC">
      <w:pPr>
        <w:numPr>
          <w:ilvl w:val="255"/>
          <w:numId w:val="0"/>
        </w:numPr>
        <w:spacing w:line="360" w:lineRule="auto"/>
        <w:ind w:firstLine="475" w:firstLineChars="198"/>
        <w:rPr>
          <w:rFonts w:hint="eastAsia" w:ascii="宋体" w:hAnsi="宋体" w:cs="宋体"/>
          <w:bCs/>
          <w:sz w:val="24"/>
        </w:rPr>
      </w:pPr>
      <w:r>
        <w:rPr>
          <w:rFonts w:hint="eastAsia" w:ascii="宋体" w:hAnsi="宋体" w:cs="宋体"/>
          <w:bCs/>
          <w:sz w:val="24"/>
        </w:rPr>
        <w:t>投标方需确保本次投标中所有产品</w:t>
      </w:r>
      <w:bookmarkStart w:id="16" w:name="OLE_LINK7"/>
      <w:r>
        <w:rPr>
          <w:rFonts w:hint="eastAsia" w:ascii="宋体" w:hAnsi="宋体" w:cs="宋体"/>
          <w:bCs/>
          <w:sz w:val="24"/>
        </w:rPr>
        <w:t>（含第三方硬件、软件）</w:t>
      </w:r>
      <w:bookmarkEnd w:id="16"/>
      <w:r>
        <w:rPr>
          <w:rFonts w:hint="eastAsia" w:ascii="宋体" w:hAnsi="宋体" w:cs="宋体"/>
          <w:bCs/>
          <w:sz w:val="24"/>
        </w:rPr>
        <w:t>均满足国家及行业有关的知识产权、专利权等相关的法律和法规，并出具承诺函，如因此产生的一切法律纠纷由投标方负全部责任。</w:t>
      </w:r>
    </w:p>
    <w:p w14:paraId="54161D06">
      <w:pPr>
        <w:numPr>
          <w:ilvl w:val="255"/>
          <w:numId w:val="0"/>
        </w:numPr>
        <w:spacing w:line="360" w:lineRule="auto"/>
        <w:ind w:firstLine="475" w:firstLineChars="198"/>
        <w:rPr>
          <w:rFonts w:hint="eastAsia" w:ascii="宋体" w:hAnsi="宋体" w:cs="宋体"/>
          <w:bCs/>
          <w:sz w:val="24"/>
        </w:rPr>
      </w:pPr>
      <w:r>
        <w:rPr>
          <w:rFonts w:hint="eastAsia" w:ascii="宋体" w:hAnsi="宋体" w:cs="宋体"/>
          <w:bCs/>
          <w:sz w:val="24"/>
        </w:rPr>
        <w:t>投标方所提供的系统必须满足南方电网公司、广东电网有限责任公司制定的相关技术规范</w:t>
      </w:r>
      <w:bookmarkStart w:id="17" w:name="_Toc136427283"/>
      <w:bookmarkEnd w:id="17"/>
      <w:bookmarkStart w:id="18" w:name="_Toc136427379"/>
      <w:bookmarkEnd w:id="18"/>
      <w:r>
        <w:rPr>
          <w:rFonts w:hint="eastAsia" w:ascii="宋体" w:hAnsi="宋体" w:cs="宋体"/>
          <w:bCs/>
          <w:sz w:val="24"/>
        </w:rPr>
        <w:t>。</w:t>
      </w:r>
    </w:p>
    <w:p w14:paraId="4B60E5D7">
      <w:pPr>
        <w:widowControl/>
        <w:spacing w:line="360" w:lineRule="auto"/>
        <w:ind w:firstLine="375"/>
        <w:jc w:val="left"/>
        <w:rPr>
          <w:rFonts w:hint="eastAsia" w:ascii="宋体" w:hAnsi="宋体" w:cs="宋体"/>
          <w:sz w:val="24"/>
        </w:rPr>
      </w:pPr>
      <w:r>
        <w:rPr>
          <w:rFonts w:hint="eastAsia" w:ascii="宋体" w:hAnsi="宋体" w:cs="宋体"/>
          <w:sz w:val="24"/>
        </w:rPr>
        <w:t>投标方设计原则包括</w:t>
      </w:r>
      <w:r>
        <w:rPr>
          <w:rFonts w:hint="eastAsia" w:ascii="宋体" w:hAnsi="宋体" w:cs="宋体"/>
          <w:snapToGrid w:val="0"/>
          <w:sz w:val="24"/>
        </w:rPr>
        <w:t>先进性、实用性、集成性、可扩展性、灵活性、安全性、可靠性、经济性和兼容性等，主要内容如下：</w:t>
      </w:r>
    </w:p>
    <w:p w14:paraId="5CDAD39E">
      <w:pPr>
        <w:widowControl/>
        <w:spacing w:line="360" w:lineRule="auto"/>
        <w:ind w:firstLine="360"/>
        <w:jc w:val="left"/>
        <w:rPr>
          <w:rFonts w:hint="eastAsia" w:ascii="宋体" w:hAnsi="宋体" w:cs="宋体"/>
          <w:snapToGrid w:val="0"/>
          <w:sz w:val="24"/>
        </w:rPr>
      </w:pPr>
      <w:r>
        <w:rPr>
          <w:rFonts w:hint="eastAsia" w:ascii="宋体" w:hAnsi="宋体" w:cs="宋体"/>
          <w:sz w:val="24"/>
        </w:rPr>
        <w:t>（1）先进性：</w:t>
      </w:r>
      <w:r>
        <w:rPr>
          <w:rFonts w:hint="eastAsia" w:ascii="宋体" w:hAnsi="宋体" w:cs="宋体"/>
          <w:snapToGrid w:val="0"/>
          <w:sz w:val="24"/>
        </w:rPr>
        <w:t>系统应到国际先进水平，</w:t>
      </w:r>
      <w:r>
        <w:rPr>
          <w:rFonts w:hint="eastAsia" w:ascii="宋体" w:hAnsi="宋体" w:cs="宋体"/>
          <w:sz w:val="24"/>
        </w:rPr>
        <w:t>支持最新的国际标准和国内外有关的规范要求，</w:t>
      </w:r>
      <w:r>
        <w:rPr>
          <w:rFonts w:hint="eastAsia" w:ascii="宋体" w:hAnsi="宋体" w:cs="宋体"/>
          <w:snapToGrid w:val="0"/>
          <w:sz w:val="24"/>
        </w:rPr>
        <w:t>并且是应用成熟的系统</w:t>
      </w:r>
      <w:r>
        <w:rPr>
          <w:rFonts w:hint="eastAsia" w:ascii="宋体" w:hAnsi="宋体" w:cs="宋体"/>
          <w:sz w:val="24"/>
        </w:rPr>
        <w:t>。</w:t>
      </w:r>
    </w:p>
    <w:p w14:paraId="2F2C99F7">
      <w:pPr>
        <w:widowControl/>
        <w:tabs>
          <w:tab w:val="left" w:pos="360"/>
        </w:tabs>
        <w:spacing w:line="360" w:lineRule="auto"/>
        <w:ind w:firstLine="375"/>
        <w:jc w:val="left"/>
        <w:rPr>
          <w:rFonts w:hint="eastAsia" w:ascii="宋体" w:hAnsi="宋体" w:cs="宋体"/>
          <w:snapToGrid w:val="0"/>
          <w:sz w:val="24"/>
        </w:rPr>
      </w:pPr>
      <w:r>
        <w:rPr>
          <w:rFonts w:hint="eastAsia" w:ascii="宋体" w:hAnsi="宋体" w:cs="宋体"/>
          <w:sz w:val="24"/>
        </w:rPr>
        <w:t>（2）实用性：系统操作应用灵活方便，易于掌握，系统的各种功能贴近应用，便于实际常规应用操作。</w:t>
      </w:r>
    </w:p>
    <w:p w14:paraId="76DADE14">
      <w:pPr>
        <w:widowControl/>
        <w:tabs>
          <w:tab w:val="left" w:pos="360"/>
        </w:tabs>
        <w:spacing w:line="360" w:lineRule="auto"/>
        <w:ind w:firstLine="375"/>
        <w:jc w:val="left"/>
        <w:rPr>
          <w:rFonts w:hint="eastAsia" w:ascii="宋体" w:hAnsi="宋体" w:cs="宋体"/>
          <w:snapToGrid w:val="0"/>
          <w:sz w:val="24"/>
        </w:rPr>
      </w:pPr>
      <w:r>
        <w:rPr>
          <w:rFonts w:hint="eastAsia" w:ascii="宋体" w:hAnsi="宋体" w:cs="宋体"/>
          <w:sz w:val="24"/>
        </w:rPr>
        <w:t>（3）集成性：</w:t>
      </w:r>
      <w:r>
        <w:rPr>
          <w:rFonts w:hint="eastAsia" w:ascii="宋体" w:hAnsi="宋体" w:cs="宋体"/>
          <w:snapToGrid w:val="0"/>
          <w:sz w:val="24"/>
        </w:rPr>
        <w:t>在高度集成小型化前提下，应具有多种功能，</w:t>
      </w:r>
      <w:r>
        <w:rPr>
          <w:rFonts w:hint="eastAsia" w:ascii="宋体" w:hAnsi="宋体" w:cs="宋体"/>
          <w:sz w:val="24"/>
        </w:rPr>
        <w:t>便于相关设备接入，各设备的功能，在系统集成后能充分发挥，能一体化协作。</w:t>
      </w:r>
    </w:p>
    <w:p w14:paraId="23B65552">
      <w:pPr>
        <w:widowControl/>
        <w:tabs>
          <w:tab w:val="left" w:pos="360"/>
          <w:tab w:val="left" w:pos="540"/>
        </w:tabs>
        <w:spacing w:line="360" w:lineRule="auto"/>
        <w:ind w:firstLine="375"/>
        <w:jc w:val="left"/>
        <w:rPr>
          <w:rFonts w:hint="eastAsia" w:ascii="宋体" w:hAnsi="宋体" w:cs="宋体"/>
          <w:snapToGrid w:val="0"/>
          <w:sz w:val="24"/>
        </w:rPr>
      </w:pPr>
      <w:r>
        <w:rPr>
          <w:rFonts w:hint="eastAsia" w:ascii="宋体" w:hAnsi="宋体" w:cs="宋体"/>
          <w:sz w:val="24"/>
        </w:rPr>
        <w:t>（4）可扩展性：</w:t>
      </w:r>
      <w:r>
        <w:rPr>
          <w:rFonts w:hint="eastAsia" w:ascii="宋体" w:hAnsi="宋体" w:cs="宋体"/>
          <w:snapToGrid w:val="0"/>
          <w:sz w:val="24"/>
        </w:rPr>
        <w:t xml:space="preserve">系统设计要考虑今后网络及视频的发展，系统应具有较强的扩展性。 </w:t>
      </w:r>
    </w:p>
    <w:p w14:paraId="2806A796">
      <w:pPr>
        <w:widowControl/>
        <w:tabs>
          <w:tab w:val="left" w:pos="360"/>
          <w:tab w:val="left" w:pos="1495"/>
        </w:tabs>
        <w:spacing w:line="360" w:lineRule="auto"/>
        <w:ind w:firstLine="375"/>
        <w:jc w:val="left"/>
        <w:rPr>
          <w:rFonts w:hint="eastAsia" w:ascii="宋体" w:hAnsi="宋体" w:cs="宋体"/>
          <w:snapToGrid w:val="0"/>
          <w:sz w:val="24"/>
        </w:rPr>
      </w:pPr>
      <w:r>
        <w:rPr>
          <w:rFonts w:hint="eastAsia" w:ascii="宋体" w:hAnsi="宋体" w:cs="宋体"/>
          <w:sz w:val="24"/>
        </w:rPr>
        <w:t>（5）灵活性：</w:t>
      </w:r>
      <w:r>
        <w:rPr>
          <w:rFonts w:hint="eastAsia" w:ascii="宋体" w:hAnsi="宋体" w:cs="宋体"/>
          <w:snapToGrid w:val="0"/>
          <w:sz w:val="24"/>
        </w:rPr>
        <w:t>能够适应多功能的要求，达到提高工作效率、节省人力物力和能源的目的。系统参数配置少，调整少，自动化程度高，使用方便，操作简单。</w:t>
      </w:r>
    </w:p>
    <w:p w14:paraId="17AC0FAD">
      <w:pPr>
        <w:widowControl/>
        <w:tabs>
          <w:tab w:val="left" w:pos="0"/>
          <w:tab w:val="left" w:pos="360"/>
        </w:tabs>
        <w:spacing w:line="360" w:lineRule="auto"/>
        <w:ind w:firstLine="375"/>
        <w:jc w:val="left"/>
        <w:rPr>
          <w:rFonts w:hint="eastAsia" w:ascii="宋体" w:hAnsi="宋体" w:cs="宋体"/>
          <w:snapToGrid w:val="0"/>
          <w:sz w:val="24"/>
        </w:rPr>
      </w:pPr>
      <w:r>
        <w:rPr>
          <w:rFonts w:hint="eastAsia" w:ascii="宋体" w:hAnsi="宋体" w:cs="宋体"/>
          <w:sz w:val="24"/>
        </w:rPr>
        <w:t>（6）安全性：结构、系统设计本身具有安全机制，支持加密，系统各环节具备权限及访问控制机制。</w:t>
      </w:r>
    </w:p>
    <w:p w14:paraId="37EF3FDA">
      <w:pPr>
        <w:widowControl/>
        <w:tabs>
          <w:tab w:val="left" w:pos="360"/>
        </w:tabs>
        <w:spacing w:line="360" w:lineRule="auto"/>
        <w:ind w:firstLine="375"/>
        <w:jc w:val="left"/>
        <w:rPr>
          <w:rFonts w:hint="eastAsia" w:ascii="宋体" w:hAnsi="宋体" w:cs="宋体"/>
          <w:snapToGrid w:val="0"/>
          <w:sz w:val="24"/>
        </w:rPr>
      </w:pPr>
      <w:r>
        <w:rPr>
          <w:rFonts w:hint="eastAsia" w:ascii="宋体" w:hAnsi="宋体" w:cs="宋体"/>
          <w:sz w:val="24"/>
        </w:rPr>
        <w:t>（7）可靠性：</w:t>
      </w:r>
      <w:r>
        <w:rPr>
          <w:rFonts w:hint="eastAsia" w:ascii="宋体" w:hAnsi="宋体" w:cs="宋体"/>
          <w:snapToGrid w:val="0"/>
          <w:sz w:val="24"/>
        </w:rPr>
        <w:t>具备在规定条件和时间内完成用户所要求的功能的能力，能长期稳定的工作，满足7×24小时待机要求。系统启动快，系统掉电后再来电或网络传输中断后再恢复正常，系统恢复迅速。系统故障率低，维护维修方便。</w:t>
      </w:r>
    </w:p>
    <w:p w14:paraId="193EEEE2">
      <w:pPr>
        <w:widowControl/>
        <w:tabs>
          <w:tab w:val="left" w:pos="360"/>
        </w:tabs>
        <w:spacing w:line="360" w:lineRule="auto"/>
        <w:ind w:firstLine="375"/>
        <w:jc w:val="left"/>
        <w:rPr>
          <w:rFonts w:hint="eastAsia" w:ascii="宋体" w:hAnsi="宋体" w:cs="宋体"/>
          <w:snapToGrid w:val="0"/>
          <w:sz w:val="24"/>
        </w:rPr>
      </w:pPr>
      <w:r>
        <w:rPr>
          <w:rFonts w:hint="eastAsia" w:ascii="宋体" w:hAnsi="宋体" w:cs="宋体"/>
          <w:sz w:val="24"/>
        </w:rPr>
        <w:t>（8）经济性：</w:t>
      </w:r>
      <w:r>
        <w:rPr>
          <w:rFonts w:hint="eastAsia" w:ascii="宋体" w:hAnsi="宋体" w:cs="宋体"/>
          <w:snapToGrid w:val="0"/>
          <w:sz w:val="24"/>
        </w:rPr>
        <w:t>综合考虑系统的性能和价格，包括系统运行后经济效益预算的可能收益，</w:t>
      </w:r>
      <w:r>
        <w:rPr>
          <w:rFonts w:hint="eastAsia" w:ascii="宋体" w:hAnsi="宋体" w:cs="宋体"/>
          <w:sz w:val="24"/>
        </w:rPr>
        <w:t>系统的易扩容，能够与相关单位进行对接等。</w:t>
      </w:r>
    </w:p>
    <w:p w14:paraId="24B1496F">
      <w:pPr>
        <w:widowControl/>
        <w:tabs>
          <w:tab w:val="left" w:pos="360"/>
        </w:tabs>
        <w:spacing w:line="360" w:lineRule="auto"/>
        <w:ind w:firstLine="375"/>
        <w:jc w:val="left"/>
        <w:rPr>
          <w:rFonts w:hint="eastAsia" w:ascii="宋体" w:hAnsi="宋体" w:cs="宋体"/>
          <w:sz w:val="24"/>
        </w:rPr>
      </w:pPr>
      <w:r>
        <w:rPr>
          <w:rFonts w:hint="eastAsia" w:ascii="宋体" w:hAnsi="宋体" w:cs="宋体"/>
          <w:sz w:val="24"/>
        </w:rPr>
        <w:t>（9）兼容性：系统具有和业界相关产品有良好的兼容性。充分考虑和纵向上级单位系统连接的兼容性，确保充分发挥视频系统的特点。考虑和现有视频的兼容和互通性。</w:t>
      </w:r>
    </w:p>
    <w:p w14:paraId="21A242A0">
      <w:pPr>
        <w:spacing w:line="360" w:lineRule="auto"/>
        <w:ind w:firstLine="482" w:firstLineChars="200"/>
        <w:rPr>
          <w:rFonts w:hint="eastAsia" w:ascii="宋体" w:hAnsi="宋体" w:cs="宋体"/>
          <w:b/>
          <w:bCs/>
          <w:sz w:val="24"/>
        </w:rPr>
      </w:pPr>
      <w:r>
        <w:rPr>
          <w:rFonts w:hint="eastAsia" w:ascii="宋体" w:hAnsi="宋体" w:cs="宋体"/>
          <w:b/>
          <w:bCs/>
          <w:sz w:val="24"/>
        </w:rPr>
        <w:t>1.3 投标方的职责</w:t>
      </w:r>
    </w:p>
    <w:p w14:paraId="01812666">
      <w:pPr>
        <w:widowControl/>
        <w:tabs>
          <w:tab w:val="left" w:pos="360"/>
        </w:tabs>
        <w:spacing w:line="360" w:lineRule="auto"/>
        <w:ind w:firstLine="375"/>
        <w:jc w:val="left"/>
        <w:rPr>
          <w:rFonts w:hint="eastAsia" w:ascii="宋体" w:hAnsi="宋体" w:cs="宋体"/>
          <w:sz w:val="24"/>
        </w:rPr>
      </w:pPr>
      <w:r>
        <w:rPr>
          <w:rFonts w:hint="eastAsia" w:ascii="宋体" w:hAnsi="宋体" w:cs="宋体"/>
          <w:sz w:val="24"/>
        </w:rPr>
        <w:t>投标方应根据招标方标书的实际需求和招标方现场的实际情况，提出性能最佳、运行最稳定、能够保证投标所提供的设备与材料是崭新、原产、完整和可用的，系统设备能够安全、可靠的运行。若发现由于投标方提供的设备材料不完整，如：为降低标价故意省去该冗余的电路配置部分，或故意省去用户不了解的某些零、配件，从而导致系统功能无法实现或不能完全实现，投标方应免费提供。</w:t>
      </w:r>
    </w:p>
    <w:p w14:paraId="2C854474">
      <w:pPr>
        <w:widowControl/>
        <w:tabs>
          <w:tab w:val="left" w:pos="360"/>
        </w:tabs>
        <w:spacing w:line="360" w:lineRule="auto"/>
        <w:ind w:firstLine="375"/>
        <w:jc w:val="left"/>
        <w:rPr>
          <w:rFonts w:hint="eastAsia" w:ascii="宋体" w:hAnsi="宋体" w:cs="宋体"/>
          <w:sz w:val="24"/>
        </w:rPr>
      </w:pPr>
      <w:r>
        <w:rPr>
          <w:rFonts w:hint="eastAsia" w:ascii="宋体" w:hAnsi="宋体" w:cs="宋体"/>
          <w:sz w:val="24"/>
        </w:rPr>
        <w:t>投标方应完成以下职责：</w:t>
      </w:r>
    </w:p>
    <w:p w14:paraId="6ABBE50C">
      <w:pPr>
        <w:pStyle w:val="12"/>
        <w:numPr>
          <w:ilvl w:val="0"/>
          <w:numId w:val="7"/>
        </w:numPr>
        <w:spacing w:line="360" w:lineRule="auto"/>
        <w:ind w:left="400"/>
        <w:rPr>
          <w:rFonts w:hint="eastAsia" w:ascii="宋体" w:hAnsi="宋体" w:cs="宋体"/>
          <w:sz w:val="24"/>
        </w:rPr>
      </w:pPr>
      <w:r>
        <w:rPr>
          <w:rFonts w:hint="eastAsia" w:ascii="宋体" w:hAnsi="宋体" w:cs="宋体"/>
          <w:sz w:val="24"/>
        </w:rPr>
        <w:t>详细分析了解招标书。</w:t>
      </w:r>
    </w:p>
    <w:p w14:paraId="0B5C0CA9">
      <w:pPr>
        <w:pStyle w:val="12"/>
        <w:numPr>
          <w:ilvl w:val="0"/>
          <w:numId w:val="7"/>
        </w:numPr>
        <w:spacing w:line="360" w:lineRule="auto"/>
        <w:ind w:left="400"/>
        <w:rPr>
          <w:rFonts w:hint="eastAsia" w:ascii="宋体" w:hAnsi="宋体" w:cs="宋体"/>
          <w:sz w:val="24"/>
        </w:rPr>
      </w:pPr>
      <w:r>
        <w:rPr>
          <w:rFonts w:hint="eastAsia" w:ascii="宋体" w:hAnsi="宋体" w:cs="宋体"/>
          <w:sz w:val="24"/>
        </w:rPr>
        <w:t>负责设备的采购、包装并运输到交货点；负责设备的安装</w:t>
      </w:r>
      <w:r>
        <w:rPr>
          <w:rFonts w:hint="eastAsia" w:ascii="宋体" w:hAnsi="宋体" w:cs="宋体"/>
          <w:sz w:val="24"/>
          <w:lang w:val="en-US" w:eastAsia="zh-CN"/>
        </w:rPr>
        <w:t>指导和参与</w:t>
      </w:r>
      <w:r>
        <w:rPr>
          <w:rFonts w:hint="eastAsia" w:ascii="宋体" w:hAnsi="宋体" w:cs="宋体"/>
          <w:sz w:val="24"/>
        </w:rPr>
        <w:t>调试及售后维护。</w:t>
      </w:r>
    </w:p>
    <w:p w14:paraId="78BBA465">
      <w:pPr>
        <w:pStyle w:val="12"/>
        <w:numPr>
          <w:ilvl w:val="0"/>
          <w:numId w:val="7"/>
        </w:numPr>
        <w:spacing w:line="360" w:lineRule="auto"/>
        <w:ind w:left="400"/>
        <w:rPr>
          <w:rFonts w:hint="eastAsia" w:ascii="宋体" w:hAnsi="宋体" w:cs="宋体"/>
          <w:sz w:val="24"/>
        </w:rPr>
      </w:pPr>
      <w:r>
        <w:rPr>
          <w:rFonts w:hint="eastAsia" w:ascii="宋体" w:hAnsi="宋体" w:cs="宋体"/>
          <w:sz w:val="24"/>
        </w:rPr>
        <w:t>负责供货范围内设备的投运、试验验收和质保期内的故障排除。</w:t>
      </w:r>
    </w:p>
    <w:p w14:paraId="576F67FA">
      <w:pPr>
        <w:spacing w:line="360" w:lineRule="auto"/>
        <w:ind w:firstLine="482" w:firstLineChars="200"/>
        <w:rPr>
          <w:rFonts w:hint="eastAsia" w:ascii="宋体" w:hAnsi="宋体" w:cs="宋体"/>
          <w:b/>
          <w:bCs/>
          <w:sz w:val="24"/>
        </w:rPr>
      </w:pPr>
      <w:r>
        <w:rPr>
          <w:rFonts w:hint="eastAsia" w:ascii="宋体" w:hAnsi="宋体" w:cs="宋体"/>
          <w:b/>
          <w:bCs/>
          <w:sz w:val="24"/>
        </w:rPr>
        <w:t>1.3 投标报价要求</w:t>
      </w:r>
    </w:p>
    <w:p w14:paraId="78064237">
      <w:pPr>
        <w:widowControl/>
        <w:tabs>
          <w:tab w:val="left" w:pos="360"/>
        </w:tabs>
        <w:spacing w:line="360" w:lineRule="auto"/>
        <w:ind w:firstLine="375"/>
        <w:jc w:val="left"/>
        <w:rPr>
          <w:rFonts w:hint="eastAsia" w:ascii="宋体" w:hAnsi="宋体" w:cs="宋体"/>
          <w:sz w:val="24"/>
        </w:rPr>
      </w:pPr>
      <w:r>
        <w:rPr>
          <w:rFonts w:hint="eastAsia" w:ascii="宋体" w:hAnsi="宋体" w:cs="宋体"/>
          <w:sz w:val="24"/>
        </w:rPr>
        <w:t>由投标方所提供的设备部件间的连线均应视为设备内部布线，隐含于设备报价中。设备与外部的所有连接接口件应成套配置。</w:t>
      </w:r>
    </w:p>
    <w:p w14:paraId="5E4C19B3">
      <w:pPr>
        <w:rPr>
          <w:rFonts w:hint="eastAsia" w:ascii="宋体" w:hAnsi="宋体" w:cs="宋体"/>
        </w:rPr>
      </w:pPr>
      <w:bookmarkStart w:id="19" w:name="_Toc164012986"/>
      <w:bookmarkStart w:id="20" w:name="_Toc14652"/>
      <w:bookmarkStart w:id="21" w:name="_Toc11726"/>
      <w:r>
        <w:rPr>
          <w:rFonts w:hint="eastAsia" w:ascii="宋体" w:hAnsi="宋体" w:cs="宋体"/>
        </w:rPr>
        <w:br w:type="page"/>
      </w:r>
    </w:p>
    <w:p w14:paraId="5F03B665">
      <w:pPr>
        <w:pStyle w:val="11"/>
        <w:spacing w:before="0" w:after="0" w:line="360" w:lineRule="auto"/>
        <w:jc w:val="left"/>
        <w:rPr>
          <w:rFonts w:hint="eastAsia" w:ascii="宋体" w:hAnsi="宋体" w:cs="宋体"/>
        </w:rPr>
      </w:pPr>
      <w:r>
        <w:rPr>
          <w:rFonts w:hint="eastAsia" w:ascii="宋体" w:hAnsi="宋体" w:cs="宋体"/>
        </w:rPr>
        <w:t>2.</w:t>
      </w:r>
      <w:bookmarkEnd w:id="19"/>
      <w:bookmarkStart w:id="22" w:name="_Toc251537657"/>
      <w:bookmarkStart w:id="23" w:name="_Toc163638836"/>
      <w:r>
        <w:rPr>
          <w:rFonts w:hint="eastAsia" w:ascii="宋体" w:hAnsi="宋体" w:cs="宋体"/>
        </w:rPr>
        <w:t>概述</w:t>
      </w:r>
      <w:bookmarkEnd w:id="20"/>
      <w:bookmarkEnd w:id="21"/>
    </w:p>
    <w:p w14:paraId="55CE56A0">
      <w:pPr>
        <w:spacing w:line="360" w:lineRule="auto"/>
        <w:ind w:firstLine="480" w:firstLineChars="200"/>
        <w:rPr>
          <w:rFonts w:hint="eastAsia" w:ascii="宋体" w:hAnsi="宋体" w:cs="宋体"/>
          <w:sz w:val="24"/>
          <w:lang w:val="en-US" w:eastAsia="zh-CN"/>
        </w:rPr>
      </w:pPr>
      <w:r>
        <w:rPr>
          <w:rFonts w:hint="eastAsia" w:ascii="宋体" w:hAnsi="宋体" w:cs="宋体"/>
          <w:sz w:val="24"/>
          <w:lang w:val="en-US" w:eastAsia="zh-CN"/>
        </w:rPr>
        <w:t>1、为满足广东电力通信科技有限公司2026年广州地区、佛山地区办公楼设备改造专项物资采购承接项目开展需要，按以下招标范围进行相应的物资招标。</w:t>
      </w:r>
    </w:p>
    <w:p w14:paraId="29428200">
      <w:pPr>
        <w:spacing w:line="360" w:lineRule="auto"/>
        <w:ind w:firstLine="480" w:firstLineChars="200"/>
        <w:rPr>
          <w:rFonts w:hint="default" w:ascii="宋体" w:hAnsi="宋体" w:cs="宋体"/>
          <w:sz w:val="24"/>
          <w:lang w:val="en-US" w:eastAsia="zh-CN"/>
        </w:rPr>
      </w:pPr>
      <w:r>
        <w:rPr>
          <w:rFonts w:hint="eastAsia" w:ascii="宋体" w:hAnsi="宋体" w:cs="宋体"/>
          <w:sz w:val="24"/>
          <w:lang w:val="en-US" w:eastAsia="zh-CN"/>
        </w:rPr>
        <w:t>2、负责供货范围内的物资采购、包装并运输到交货点；负责设备的安装指导和调试督导等技术服务，以及售后维护。</w:t>
      </w:r>
    </w:p>
    <w:p w14:paraId="684DFE8F">
      <w:pPr>
        <w:spacing w:line="360" w:lineRule="auto"/>
        <w:rPr>
          <w:rFonts w:hint="eastAsia" w:ascii="宋体" w:hAnsi="宋体" w:cs="宋体"/>
          <w:sz w:val="24"/>
        </w:rPr>
      </w:pPr>
    </w:p>
    <w:bookmarkEnd w:id="22"/>
    <w:bookmarkEnd w:id="23"/>
    <w:p w14:paraId="517B4555">
      <w:pPr>
        <w:pStyle w:val="11"/>
        <w:numPr>
          <w:ilvl w:val="0"/>
          <w:numId w:val="8"/>
        </w:numPr>
        <w:spacing w:before="0" w:after="0" w:line="360" w:lineRule="auto"/>
        <w:jc w:val="left"/>
        <w:rPr>
          <w:rFonts w:hint="eastAsia" w:ascii="宋体" w:hAnsi="宋体" w:cs="宋体"/>
        </w:rPr>
      </w:pPr>
      <w:bookmarkStart w:id="24" w:name="_Toc508746981"/>
      <w:bookmarkStart w:id="25" w:name="_Toc1368"/>
      <w:bookmarkStart w:id="26" w:name="_Toc87"/>
      <w:r>
        <w:rPr>
          <w:rFonts w:hint="eastAsia" w:ascii="宋体" w:hAnsi="宋体" w:cs="宋体"/>
        </w:rPr>
        <w:t>技术性能指标要求</w:t>
      </w:r>
      <w:bookmarkEnd w:id="24"/>
      <w:bookmarkEnd w:id="25"/>
      <w:bookmarkEnd w:id="26"/>
    </w:p>
    <w:tbl>
      <w:tblPr>
        <w:tblStyle w:val="24"/>
        <w:tblW w:w="5460" w:type="pct"/>
        <w:tblInd w:w="-24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0"/>
        <w:gridCol w:w="1691"/>
        <w:gridCol w:w="5910"/>
        <w:gridCol w:w="1794"/>
      </w:tblGrid>
      <w:tr w14:paraId="0275A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ADC11">
            <w:pPr>
              <w:keepNext w:val="0"/>
              <w:keepLines w:val="0"/>
              <w:widowControl/>
              <w:suppressLineNumbers w:val="0"/>
              <w:jc w:val="center"/>
              <w:textAlignment w:val="center"/>
              <w:rPr>
                <w:rFonts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序号</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8A96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物资/材料名称</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FE82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规格/参数</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6CCF3">
            <w:pPr>
              <w:jc w:val="center"/>
              <w:rPr>
                <w:rFonts w:hint="default" w:ascii="仿宋" w:hAnsi="仿宋" w:eastAsia="仿宋" w:cs="仿宋"/>
                <w:i w:val="0"/>
                <w:iCs w:val="0"/>
                <w:color w:val="000000"/>
                <w:sz w:val="20"/>
                <w:szCs w:val="20"/>
                <w:u w:val="none"/>
              </w:rPr>
            </w:pPr>
          </w:p>
        </w:tc>
      </w:tr>
      <w:tr w14:paraId="61A37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8160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2E43F">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谈话专用流媒体解码终端</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A6723">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 xml:space="preserve">1.采用H.264、H.265视频硬件编解码芯片，Linux系统分布式架构设计，可扩展任意数量节点无需服务器和控制节点，保证系统运行的流畅性； </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2.具备1个电源指示灯、1个视频信号指示灯、1 个网络状态及信号传输状态灯、1个恢复出厂设置按键、3个USB 2. 0接口、1个千兆网口，1路千兆光口，2路HDMI视频输入输出接口、2路3.5mm音频输入输出接口，1路RS232接口，1路RS485接口，3路IR/IO。</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3.支持节点OLED显示屏状态显示，可以显示节点名称、ip地址、运行状态等。</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4.音频输入: 音频输入接口,内嵌音频同步或异步输入,支持音量调节,支持同步、异步和混音三种方式;支持多路音频混音播放，且无损音质；</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5.音频输出:1路HDMI/DP内嵌+1路3.5mm模拟输出接口,支持最多混音16路信号,支持音量调节,48KHz 16bit采样率，双声道无损音质；</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6.音频参数：支持输入采集模式切换为模拟/数字/混音三种；支持音频编码输出AAC-LC/G.711/G.726格式，8-48KHZ采样率，单/双声道模式；</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7.支持H.264和H.265的IPC编码摄像机，IPC网络摄像机信号接入直接输出显示到大屏，无需第三方转码服务器，支持云台的拉近，推远，左右旋转等。</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8.系统场景能提供一键恢复功能；节点设备具备可编程存储能力，可在断电重启后自动恢复系统到断电前状态，如：音量大小、大屏开关、信号位置、灯光环境等；</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9.支持单播和组播传输音视频码流；</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10.支持设备在线升级以及在线点名操作,支持批量重启或修改设备网络参数，一键恢复出厂设置；</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11.支持查看节点状况：版本信息、设备的IP、音视频状态、CPU与内存的使用情况、网络速率、运行时长等。</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12.网络接口:标准RJ45接口和SPF光纤接口,1000Mbps速率,全双工,支持手动切换通讯接口类型，支持光网热备份；</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13.支持POE与外部DC12V供电双供电模式；</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14.设备功耗≤10W；</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15.工作温度-10℃~60℃ ,工作湿度10%~90%无凝结；</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16.支持1路HDMI输出，输出信号分辨率最高支持3840x2160@30Hz,向下兼容；</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17.支持输出接口模式HDMI/DVI切换，支持输出分辨率、颜色空间切换；</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18.支持LED、DID、LCD、DLP 拼接、漫游、拖拽、自定义分割、多图层叠加显示，单屏同时支持最大32路视频窗口显示及叠加；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19.支持LED自定义时序分辨率输出，最大输出时序带宽148.5MHz，输出分辨率360x240 ~ 3840x2160；</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20.支持LED无缝拼接，无错位吃像素现象，支持LED大屏精准定位，可解决LED屏上精准开窗功能；</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21.支持LED实时同步，同步效果媲美传统集中式拼接处理器；</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22.支持输出图像色彩调节，可手动调节亮度、对比度、色度、饱和度等参数；</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23.支持OSD字幕叠加,可调节字幕大小、底色、字色、滚动速度；</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24.支持高清底图，支持超高清GIS地图点对点大屏显示；</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33932">
            <w:pPr>
              <w:jc w:val="center"/>
              <w:rPr>
                <w:rFonts w:hint="default" w:ascii="仿宋" w:hAnsi="仿宋" w:eastAsia="仿宋" w:cs="仿宋"/>
                <w:i w:val="0"/>
                <w:iCs w:val="0"/>
                <w:color w:val="000000"/>
                <w:sz w:val="20"/>
                <w:szCs w:val="20"/>
                <w:u w:val="none"/>
              </w:rPr>
            </w:pPr>
          </w:p>
        </w:tc>
      </w:tr>
      <w:tr w14:paraId="33123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E636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7964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指挥智控系统</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F691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1.系统支持控制审查调查室内设备电源控制、大屏显示内容进行切换、显示布局进行切换；</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2.实时视频观看审查调查室内全景摄像机画面；</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3.可远程控制指挥中心画面布局、显示内容等；</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A4036">
            <w:pPr>
              <w:jc w:val="center"/>
              <w:rPr>
                <w:rFonts w:hint="default" w:ascii="仿宋" w:hAnsi="仿宋" w:eastAsia="仿宋" w:cs="仿宋"/>
                <w:i w:val="0"/>
                <w:iCs w:val="0"/>
                <w:color w:val="000000"/>
                <w:sz w:val="20"/>
                <w:szCs w:val="20"/>
                <w:u w:val="none"/>
              </w:rPr>
            </w:pPr>
          </w:p>
        </w:tc>
      </w:tr>
      <w:tr w14:paraId="5D495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0B09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0867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有线指挥控制平板电脑</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5CD5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1.核心处理器：国产双核处理器</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2.运行内存：≥2GB</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3.存储：≥64GB</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4.尺寸：≥10.1寸</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5.数据传输：RJ45网络传输</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134C7">
            <w:pPr>
              <w:jc w:val="center"/>
              <w:rPr>
                <w:rFonts w:hint="default" w:ascii="仿宋" w:hAnsi="仿宋" w:eastAsia="仿宋" w:cs="仿宋"/>
                <w:i w:val="0"/>
                <w:iCs w:val="0"/>
                <w:color w:val="000000"/>
                <w:sz w:val="20"/>
                <w:szCs w:val="20"/>
                <w:u w:val="none"/>
              </w:rPr>
            </w:pPr>
          </w:p>
        </w:tc>
      </w:tr>
      <w:tr w14:paraId="6FD4C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EA55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45CD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谈话指挥客户端</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C4A1C">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1.可依据案由、约谈、数量、结案率等相关数据进行饼状图、树状图等可视化方式进行数据统计展示及导出所需数据统计报告；</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2.可实时观看现场音视频实况，</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3.可实时观看现场笔录内容</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4.可远程与讯问室办案人员进行语音受令。</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2702B">
            <w:pPr>
              <w:jc w:val="center"/>
              <w:rPr>
                <w:rFonts w:hint="default" w:ascii="仿宋" w:hAnsi="仿宋" w:eastAsia="仿宋" w:cs="仿宋"/>
                <w:i w:val="0"/>
                <w:iCs w:val="0"/>
                <w:color w:val="000000"/>
                <w:sz w:val="20"/>
                <w:szCs w:val="20"/>
                <w:u w:val="none"/>
              </w:rPr>
            </w:pPr>
          </w:p>
        </w:tc>
      </w:tr>
      <w:tr w14:paraId="7F3AB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8D5B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2433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谈话受令屏</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A72E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≥34英寸，≥21:9，IPS 直面屏;可实现同时显示笔录界面内容以及谈话受令界面内容</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40DAA">
            <w:pPr>
              <w:jc w:val="center"/>
              <w:rPr>
                <w:rFonts w:hint="default" w:ascii="仿宋" w:hAnsi="仿宋" w:eastAsia="仿宋" w:cs="仿宋"/>
                <w:i w:val="0"/>
                <w:iCs w:val="0"/>
                <w:color w:val="000000"/>
                <w:sz w:val="20"/>
                <w:szCs w:val="20"/>
                <w:u w:val="none"/>
              </w:rPr>
            </w:pPr>
          </w:p>
        </w:tc>
      </w:tr>
      <w:tr w14:paraId="080EB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A397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0CC53">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谈话专用流媒体编码终端</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7B8E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1.采用H.264、H.265视频硬件编解码芯片，Linux系统分布式架构设计，可扩展任意数量节点无需服务器和控制节点，保证系统运行的流畅性；</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2.具备1个电源指示灯、1个视频信号指示灯、1 个网络状态及信号传输状态灯、1个恢复出厂设置按键、3个USB 2. 0接口、1个千兆网口，1路千兆光口，2路HDMI视频输入输出接口、2路3.5mm音频输入输出接口，1路RS232接口，1路RS485接口，3路IR/IO。</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3.支持节点OLED显示屏状态显示，可以显示节点名称、ip地址、运行状态等。</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4.音频输入: 音频输入接口,内嵌音频同步或异步输入,支持音量调节,支持同步、异步和混音三种方式;支持多路音频混音播放，且无损音质；</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5.音频输出:1路HDMI/DP内嵌+1路3.5mm模拟输出接口,支持最多混音16路信号,支持音量调节,48KHz 16bit采样率，双声道无损音质；</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6.音频参数：支持输入采集模式切换为模拟/数字/混音三种；支持音频编码输出AAC-LC/G.711/G.726格式，8-48KHZ采样率，单/双声道模式；</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7.支持H.264和H.265的IPC编码摄像机，IPC网络摄像机信号接入直接输出显示到大屏，无需第三方转码服务器，支持云台的拉近，推远，左右旋转等。</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8.系统场景能提供一键恢复功能；节点设备具备可编程存储能力，可在断电重启后自动恢复系统到断电前状态，如：音量大小、大屏开关、信号位置、灯光环境等；</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9.支持单播和组播传输音视频码流；</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10.支持设备在线升级以及在线点名操作,支持批量重启或修改设备网络参数，一键恢复出厂设置；</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11.支持查看节点状况：版本信息、设备的IP、音视频状态、CPU与内存的使用情况、网络速率、运行时长等。</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12.网络接口:标准RJ45接口和SPF光纤接口,1000Mbps速率,全双工,支持手动切换通讯接口类型，支持光网热备份；</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13.支持POE与外部DC12V供电双供电模式；</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14.设备功耗≤10W；</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15.工作温度-10℃~60℃ ,工作湿度10%~90%无凝结；</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16.视频输入:1路HDMI输入，1路HDMI环出；</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17.输入信号分辨率最高支持3840x2160@30Hz,向下兼容，输入信号分辨率自适应；</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18.支持定码率传输,可调范围128kbps~40Mbps；</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19.支持环出接口模式HDMI/DVI切换，支持环出分辨率切换；</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20.支持视频裁剪，对裁剪的区域进行编码传输信号；</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21.支持多头显卡信号点对点采集编码，采集画面留存无撕裂；</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22.支持远程电脑开关机控制，通过I/O模式或者网络模式控制；</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23.支持设备名称、时间、台标等OSD叠加显示；支持双台标，可台标进行文字修改；</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24.支持大屏信号源的可视化回显；音频视频信号的同步及异步方式投放到大屏和坐席端；</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64430">
            <w:pPr>
              <w:jc w:val="center"/>
              <w:rPr>
                <w:rFonts w:hint="default" w:ascii="仿宋" w:hAnsi="仿宋" w:eastAsia="仿宋" w:cs="仿宋"/>
                <w:i w:val="0"/>
                <w:iCs w:val="0"/>
                <w:color w:val="000000"/>
                <w:sz w:val="20"/>
                <w:szCs w:val="20"/>
                <w:u w:val="none"/>
              </w:rPr>
            </w:pPr>
          </w:p>
        </w:tc>
      </w:tr>
      <w:tr w14:paraId="08C4E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A215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5628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报警联动系统</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8442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与谈话指挥应用系统联动</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0922A">
            <w:pPr>
              <w:jc w:val="center"/>
              <w:rPr>
                <w:rFonts w:hint="default" w:ascii="仿宋" w:hAnsi="仿宋" w:eastAsia="仿宋" w:cs="仿宋"/>
                <w:i w:val="0"/>
                <w:iCs w:val="0"/>
                <w:color w:val="000000"/>
                <w:sz w:val="20"/>
                <w:szCs w:val="20"/>
                <w:u w:val="none"/>
              </w:rPr>
            </w:pPr>
          </w:p>
        </w:tc>
      </w:tr>
      <w:tr w14:paraId="077C1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D2F4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9F49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审查调查谈话同步录音录像设备</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9CD5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▲1.设备性能：采用嵌入式+边缘计算双架构设计，综合算力达6 TOPS（每秒6万亿次运算）。（提供第三方检测机构出具的具有CMA或CNAS认证标志的检测报告加盖原厂公章或电子章）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2.设计结构：采用≤1U标准机架结构，满足仲裁场景机房空间集约化需求。兼容19英寸标准机柜安装。</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3.状态屏：内置≤1.4寸状态显示屏，支持（当前时间、开始录制时间、录像状态、IP状态、硬盘容量、可录制时间）显示。</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▲4.数据存储：支持可热插拔硬盘仓设计，支持记录过程不间断存储，标准配置≥1TB存储容量，最大支持8TB扩容。（提供第三方检测机构出具的具有CMA或CNAS认证标志的检测报告加盖原厂公章或电子章）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▲5.双刻录光驱设计，支持接力刻录、双光驱同步刻录模式。支持4.7GB单层/8.5GB双层DVD实时刻录，刻录时长1-24小时可调，适配不同记录时长需求，支持写入保护技术，确保原始数据不可篡改。</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▲6.三重安全防护机制：光盘自检与完整性校验、自动封盘防篡改。（提供第三方检测机构出具的具有CMA或CNAS认证标志的检测报告加盖原厂公章或电子章）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支持NFS、iSCSI7.视频接口：≥4路HD-SDI、≥1路HDMI、≥4路IPC输入高清视频接入，支持≥2路HDMI高清视频输出，内置画面合成，支持画中画、多画面分割等模式。</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8.音频接口：≥2路专业音频接口输入，≥2路音频输出（支持2路独立音频录制存储、回放、导出功能、录制音频格式为PCM-WAV  16K 16Bit，可以直接传输给语音平台进行语音转文字，语音分析等功能）。</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9.网络接口：≥4×千兆POE（IEEE 802.3bt，单端口最大≥15W供电），≥1千兆网络接口。</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10.控制接口：≥1×RS-232（支持设备联动控制）≥1×RS-485接口。</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11.其他接口：≥2×USB3.0、≥2×USB2.0。</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12.断电保护：支持异常断电数据保存。</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13.其他功能：支持权限功能管理、针对监控用户、操作用户、管理员、领导设置相对应权限、可设录像关联用户权限，确保设备数据安全不泄密。</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14.集中管理：支持集中管理功能、可以实现主动式后端管理存储案件数据备份、支持NFS、iSCSI。</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▲15.系统维护：支持网络检测、硬盘检测状态检测等多种系统维护管理功能。（提供第三方检测机构出具的具有CMA或CNAS认证标志的检测报告加盖原厂公章或电子章）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▲16.专业级视频编解码系统：采用H.264 High Profile与H.265双编码标准，支持智能码率自适应（512Kbps-16Mbps可调），硬件加速引擎实现8路高清音视频同步编码+4路高清音视频解码，适应不同网络带宽环境。（提供第三方检测机构出具的具有CMA或CNAS认证标志的检测报告加盖原厂公章或电子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17.网络通讯协议：支持H.323/SIP/RTSP/RTMP等主流协议，支持QoS服务质量保障。</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18.WEB服务系统：基于H5的零插件架构，支持多终端自适应（兼容国产操作系统）</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功能包括： 远程控制、实时直播观看、录像点播与下载、摄像机参数调节、录像重点标记等。</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D04E7">
            <w:pPr>
              <w:jc w:val="center"/>
              <w:rPr>
                <w:rFonts w:hint="default" w:ascii="仿宋" w:hAnsi="仿宋" w:eastAsia="仿宋" w:cs="仿宋"/>
                <w:i w:val="0"/>
                <w:iCs w:val="0"/>
                <w:color w:val="000000"/>
                <w:sz w:val="20"/>
                <w:szCs w:val="20"/>
                <w:u w:val="none"/>
              </w:rPr>
            </w:pPr>
          </w:p>
        </w:tc>
      </w:tr>
      <w:tr w14:paraId="19A3D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2238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885E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审查调查谈话记录应用系统</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82A1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▲1.系统嵌入在WPS或Office的工具栏中，用户任意打开流式软件在工具栏中可找到系统的功能辅助；（提供系统功能截图加盖原厂公章或电子章）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▲2.互联互通：系统支持与服务端互联互通，获取已创建的案件排期，用户直接选择案件即可快速约谈办案；（提供系统功能截图加盖原厂公章或电子章）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3.系统支持多用户登录，不同用户的案件信息无法进行调阅，领导权限可调阅所属部门的案件信息；</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▲4.登录系统后，流式软件工具栏中可找到讯问辅助功能，编辑区两侧弹出讯问辅助功能区；</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5.快速排期：提供简易式快速排期，便于针对案件进行数据存储，数据共享；</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▲6.排期管理：快速查询未约谈办案、正在约谈办案、历史约谈办案的信息记录，包括但不限于案件的录音录像文件、笔录文件(未签名)、笔录文件(已签名)；</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7.约谈办案签到：支持无缝对接人证对比设备，实现当事人进入约谈办案室前进行人证比对签到，签到信息可生成记录快速导入至笔录中；</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8.约谈办案纪律：快速语音播报讯问纪律，如有变动纪律内容，可随时进行修改后播报；</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9.一键讯问：用户单击开始约谈办案按钮后进入约谈办案状态，系统自动开启录音录像、笔录文件自动保存、如有语音转写功能自动开启语音转写；</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10.笔录编辑：笔录头部模板信息可根据案件信息自动填充，笔录编辑过程围绕着用户习惯设定，如需语音识别辅助，则选择语音转写模式即可；</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11.现场视频辅助显示：在编辑区左侧有录音录像功能辅助区，区域内可显示约谈办案现场合成画面与示证画面，双画面可实时切换显示，可通过按钮进行关闭或者打开辅助显示功能；</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12.状态显示：录音录像功能辅助区有状态显示区域，状态包括：服务器、本庭存储、本机录音录像状态、剩余容量等信息，笔录保存状态、示证状态、音频独立存储状态等；</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13.约谈办案录音录像：系统支持录音录像的停止与关闭功能，重点标记打点、信息叠加、画面切换等功能；</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14.互联网约谈办案：系统后台预设当事人信息，支持一键互联网约谈办案组网功能；</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15.证据展示：系统支持快速打开电子证据或实物证据，一键切换证据展示画面给被约谈办案人员观看；</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16.一键暂停：用户单击暂停按钮，进入暂停模式，暂停录音录像功能、暂停光盘刻录功能、暂停语音转写功能等；</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▲17.电子签名：可选择自行上传文书签名或当前笔录进行电子签名，签名位置用户可自定义设定，符合文书签名要求；（提供系统功能截图加盖原厂公章或电子章）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18.一键结束案件：用户单击结束按钮，结束当前案件的录音录像与笔录自动保存功能；</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19.选择案件：无需终止约谈办案，可快速打开另一个案件，进行多案件约谈办案功能；</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20.一键关闭：用户选择关闭按钮时，弹出是关闭系统或关闭约谈办案室内所有设备的提醒，可实现一键关闭约谈办案室内设备；</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21.可展示案件编号、承办人、案件类型、案由、当事人案件创建时间、案件介绍、承办部门、承办机构和证据材料。</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AFD08">
            <w:pPr>
              <w:jc w:val="center"/>
              <w:rPr>
                <w:rFonts w:hint="default" w:ascii="仿宋" w:hAnsi="仿宋" w:eastAsia="仿宋" w:cs="仿宋"/>
                <w:i w:val="0"/>
                <w:iCs w:val="0"/>
                <w:color w:val="000000"/>
                <w:sz w:val="20"/>
                <w:szCs w:val="20"/>
                <w:u w:val="none"/>
              </w:rPr>
            </w:pPr>
          </w:p>
        </w:tc>
      </w:tr>
      <w:tr w14:paraId="46185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8D9F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7EB9C">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紧急报警系统</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5E26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防区报警：支持探测器/紧急报警装置触发信号接收，进行入侵/紧急报警事件管理</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断电报警：当市电断电时，设备可通过蓄电池正常工作8小时以上，并将断电事件进行通知上报</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外接键盘：支持32个报警键盘接入，包括1个全局键盘和31个子系统键盘</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报警管理：支持报警键盘、客户端软件、中心平台进行报警管理操作</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报警指示：支持报警键盘、警号、继电器联动、中心平台上报等报警事件指示功能</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联动控制：支持报警事件联动，平台控制继电器输出，实现场景化联动输出，实现个性化管理</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事件上传：支持断网续传功能，设备离线状态下产生事件在与平台连接后会重新上传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子系统管理：支持8个子系统，实现对防区进行分区管理，支持外出布防、在家布防、撤防、消警、旁路等功能</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防区设置：支持即时防区、延时防区、紧急防区、超时防区等场景化防区类型设置</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配置管理：支持配置文件导出和导入功能，实现参数备份和快速移机</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BE5A4">
            <w:pPr>
              <w:jc w:val="center"/>
              <w:rPr>
                <w:rFonts w:hint="default" w:ascii="仿宋" w:hAnsi="仿宋" w:eastAsia="仿宋" w:cs="仿宋"/>
                <w:i w:val="0"/>
                <w:iCs w:val="0"/>
                <w:color w:val="000000"/>
                <w:sz w:val="20"/>
                <w:szCs w:val="20"/>
                <w:u w:val="none"/>
              </w:rPr>
            </w:pPr>
          </w:p>
        </w:tc>
      </w:tr>
      <w:tr w14:paraId="47156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6254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11</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AA98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谈话专用特写摄像机</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EFBC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1.配置高清镜头 , 实现高清效果。</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2.低畸变水平角度可达 95°，小镜头，大眼界。同时支持 EPTZ，以不动制动，放得更大，看得更清。</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3.支持 3G-SDI 接 口， 有 效 传 输 距 离 最 高 长 达 150 米（1080p25）。SDI、网络、USB 三路可同时输出。</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4.超高信噪比的全新 CMOS 图像传感器可有效降低在低照度情况下的图像噪声，同时应用 2D 和 3D 降噪算法，大幅降低了图像噪声，即便是超低照度情况下，依然保持画面干净5.清晰，图像信噪比高达 55dB 以上。</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6.支持 PoC 和 PoE一线通功能，电源、视频、音频、控制三线合一。</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C49DA">
            <w:pPr>
              <w:jc w:val="center"/>
              <w:rPr>
                <w:rFonts w:hint="default" w:ascii="仿宋" w:hAnsi="仿宋" w:eastAsia="仿宋" w:cs="仿宋"/>
                <w:i w:val="0"/>
                <w:iCs w:val="0"/>
                <w:color w:val="000000"/>
                <w:sz w:val="20"/>
                <w:szCs w:val="20"/>
                <w:u w:val="none"/>
              </w:rPr>
            </w:pPr>
          </w:p>
        </w:tc>
      </w:tr>
      <w:tr w14:paraId="52E25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47B7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12</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CDB29">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谈话专用全景摄像机</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9FC4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1）防护等级不低于IP67、IK10</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2）适应温度-30℃~60℃、湿度5~95%(无凝结)的工作环境；</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3）彩色最低照度≥0.005Lux (F1.2,AGC ON,1/30快门)，黑白最低照度≥0.0025Lux(F1.2,AGC ON,1/30快门)，0Lux(红外开启)；</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4）镜头焦距≥2.8mm，最大光圈≥F1.6；</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5）内置补光灯，支持混合补光，红外补光距离≥30m，白光补光距离≥20m；</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6）支持H.265/H.264高清低码流编码；</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7）支持移动侦测(人形检测）、遮挡检测功能；</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8）具有不低于1个RJ45以太网口、1个MicroSD卡插槽、内置麦克风，支持拾音；</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9）支持DC12V、PoE供电；</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10）图像尺寸≥2560×1440，帧率支持30/25fps可设置；</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11）图像传感器≥1/2.7''400万像素逐行扫描CMOS；。</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B4048">
            <w:pPr>
              <w:jc w:val="center"/>
              <w:rPr>
                <w:rFonts w:hint="default" w:ascii="仿宋" w:hAnsi="仿宋" w:eastAsia="仿宋" w:cs="仿宋"/>
                <w:i w:val="0"/>
                <w:iCs w:val="0"/>
                <w:color w:val="000000"/>
                <w:sz w:val="20"/>
                <w:szCs w:val="20"/>
                <w:u w:val="none"/>
              </w:rPr>
            </w:pPr>
          </w:p>
        </w:tc>
      </w:tr>
      <w:tr w14:paraId="63AAE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B70E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13</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742E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谈话指挥云台摄像机</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E2763">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1.采用 1/1.8 英寸、842 万像素的高品质 UHD CMOS 传感器，可实现4K（3840×2160）超高分辨率的优质图像。并且向下兼容 1080P/720P 等多种分辨率。</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2.采用高品质超高解析度的 4K 超高清长焦镜头，最大支持 12× 光学变焦， 同时广角端水平视场角达 60°。</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 xml:space="preserve">3.功耗低于 400mW 时摄像机自动休眠，保护设备安全，可随时唤醒使用。  </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 xml:space="preserve">4.多种控制方式，可使用 RS232、RS485、网络以及 USB 对摄像机进行控制。  </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5.支持本地存储功能，可实现 U 盘本地录制。</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 xml:space="preserve">6.支持 HDMI 1.4b 和 3G-SDI 接口，可直接输出非压缩数字视频。  </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 xml:space="preserve">7.超高信噪比的全新 CMOS 图像传感器可有效降低在低照度情况下的图像噪声。应用 3D 降噪功能可大幅降低图像噪声，即便是低照度情况下，依然 能保持画面干净清晰，图像信噪比高达55dB。  </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 xml:space="preserve">8.搭载智能曝光图像处理技术，有效解决投影、电视等设备光线对画面的影响。  </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9.能实现低延时、高质量、精确帧的音视频传输 , 并且实时发现 , 交互控制 , 弹性的IP制播工作模式 , 出色的应对网络视频制作需求。</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10.支持 HDMI 1.4b 高清输出，配备 3G-SDI 接口，3G-SDI 有效传输距离最远 长达 150 米（1080P30）。HDMI 或 3G-SDI、USB、LAN 可同时输出 3 路 高清数字信号。</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20D41">
            <w:pPr>
              <w:jc w:val="center"/>
              <w:rPr>
                <w:rFonts w:hint="default" w:ascii="仿宋" w:hAnsi="仿宋" w:eastAsia="仿宋" w:cs="仿宋"/>
                <w:i w:val="0"/>
                <w:iCs w:val="0"/>
                <w:color w:val="000000"/>
                <w:sz w:val="20"/>
                <w:szCs w:val="20"/>
                <w:u w:val="none"/>
              </w:rPr>
            </w:pPr>
          </w:p>
        </w:tc>
      </w:tr>
      <w:tr w14:paraId="75925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CC19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14</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7818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谈话专用指挥摄像机</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04A2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全功能USB接口，兼容USB3.0、USB2.0，支持音频，支持编码输出，支持UVC v1.1~1.5协议。</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 xml:space="preserve">采用全新一代1/2.8英寸、207万有效像素的高品质HD CMOS传感器，可实现最大1920x1080高分辨率的优质图像。 </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1080P下输出帧频可达60fps。</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采用72.5°高品质超广焦镜头，光学变焦达到12倍，并支持16倍数字变焦。</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超高性噪比的全新CMOS图像传感器可有效降低在低照度情况下的图像噪声，同时应用2D和3D降噪算法，大幅降低了图像噪声，即便是超低照度情况下，依然保持画面干净清晰，图像信噪比高达55dB以上。</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有线网络支持PoE供电，控制、供电、视频和音频仅需一条网线即可完成。</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多种控制方式，使用RS232，RS485、网络以及USB，对摄像机进行控制。</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输出H.264码流支持Slice和SVC编码模式，适应高端USB会议视频应用。</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同时支持两路码流输出 (YUY2、MJPEG、H.264任两路)，减轻主机编解码压力。</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支持USB3.0、网络接口可同时输出1080P视频。</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同时支持USB 5V供电，12V电源适配器供电和PoE供电。</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DB6E9">
            <w:pPr>
              <w:jc w:val="center"/>
              <w:rPr>
                <w:rFonts w:hint="default" w:ascii="仿宋" w:hAnsi="仿宋" w:eastAsia="仿宋" w:cs="仿宋"/>
                <w:i w:val="0"/>
                <w:iCs w:val="0"/>
                <w:color w:val="000000"/>
                <w:sz w:val="20"/>
                <w:szCs w:val="20"/>
                <w:u w:val="none"/>
              </w:rPr>
            </w:pPr>
          </w:p>
        </w:tc>
      </w:tr>
      <w:tr w14:paraId="5AB88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9290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15</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37BCC">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多功能指挥控制键盘</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9172C">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内置3英寸彩屏，通过拉流协议支持当前摄像机画面实时预览</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外置RS-232、RS422/485串口以及IP 网络接口，网络接口支持POE功能；HDMI输出</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可外接tally接口；</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FFBAE">
            <w:pPr>
              <w:jc w:val="center"/>
              <w:rPr>
                <w:rFonts w:hint="default" w:ascii="仿宋" w:hAnsi="仿宋" w:eastAsia="仿宋" w:cs="仿宋"/>
                <w:i w:val="0"/>
                <w:iCs w:val="0"/>
                <w:color w:val="000000"/>
                <w:sz w:val="20"/>
                <w:szCs w:val="20"/>
                <w:u w:val="none"/>
              </w:rPr>
            </w:pPr>
          </w:p>
        </w:tc>
      </w:tr>
      <w:tr w14:paraId="25A35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34A2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16</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1A98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阵列式全向音频采集器</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4EA73">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1.阵列规格:8MEMS 阵列</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2.拾音范围:10米</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3.声学功能:远场拾音、模态降噪、高保真、去混响</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4.指向性:全指向性</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5.灵敏度:≥50mV/Pa</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6.采用语音增强技术，让人声频段自动增强，体验“声”临其境。</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B3E77">
            <w:pPr>
              <w:jc w:val="center"/>
              <w:rPr>
                <w:rFonts w:hint="default" w:ascii="仿宋" w:hAnsi="仿宋" w:eastAsia="仿宋" w:cs="仿宋"/>
                <w:i w:val="0"/>
                <w:iCs w:val="0"/>
                <w:color w:val="000000"/>
                <w:sz w:val="20"/>
                <w:szCs w:val="20"/>
                <w:u w:val="none"/>
              </w:rPr>
            </w:pPr>
          </w:p>
        </w:tc>
      </w:tr>
      <w:tr w14:paraId="390D4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B72D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17</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4917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温湿度环境显示系统</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C879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1、支持显示温湿度、时间参数；</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2、温度测量精度不低于±0.5℃，湿度测量精度不低于±3%；</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3、时钟精度不低于2PPM；</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4、设备支持RS485接口；</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5、支持自动校准时钟或与计算机时间同步；</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6、支持DC12V低压供电；</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6A743">
            <w:pPr>
              <w:jc w:val="center"/>
              <w:rPr>
                <w:rFonts w:hint="default" w:ascii="仿宋" w:hAnsi="仿宋" w:eastAsia="仿宋" w:cs="仿宋"/>
                <w:i w:val="0"/>
                <w:iCs w:val="0"/>
                <w:color w:val="000000"/>
                <w:sz w:val="20"/>
                <w:szCs w:val="20"/>
                <w:u w:val="none"/>
              </w:rPr>
            </w:pPr>
          </w:p>
        </w:tc>
      </w:tr>
      <w:tr w14:paraId="14C0F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244F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18</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6D2A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监督谈话同步录音录像设备</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A7D5C">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1.设备性能：采用嵌入式+边缘计算双架构设计，综合算力达6 TOPS（每秒6万亿次运算）。</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2.设计结构：采用≤1U标准机架结构，满足仲裁场景机房空间集约化需求。兼容19英寸标准机柜安装。</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3.状态屏：内置≤1.4寸状态显示屏，支持（当前时间、开始录制时间、录像状态、IP状态、硬盘容量、可录制时间）显示。</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4.数据存储：支持可热插拔硬盘仓设计，支持记录过程不间断存储，标准配置≥1TB存储容量，最大支持8TB扩容。</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5.双刻录光驱设计，支持接力刻录、双光驱同步刻录模式。支持4.7GB单层/8.5GB双层DVD实时刻录，刻录时长1-24小时可调，适配不同记录时长需求，支持写入保护技术，确保原始数据不可篡改。</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6.三重安全防护机制：光盘自检与完整性校验、自动封盘防篡改。</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7.视频接口：≥4路HD-SDI、≥1路HDMI、≥4路IPC输入高清视频接入，支持≥2路HDMI高清视频输出，内置画面合成，支持画中画、多画面分割等模式。</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8.音频接口：≥2路专业音频接口输入，≥2路音频输出（支持2路独立音频录制存储、回放、导出功能、录制音频格式为PCM-WAV  16K 16Bit，可以直接传输给语音平台进行语音转文字，语音分析等功能）。</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9.网络接口：≥4×千兆POE（IEEE 802.3bt，单端口最大≥15W供电），≥1千兆网络接口。</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10.控制接口：≥1×RS-232（支持设备联动控制）≥1×RS-485接口。</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11.其他接口：≥2×USB3.0、≥2×USB2.0。</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12.断电保护：支持异常断电数据保存。</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13.其他功能：支持权限功能管理、针对监控用户、操作用户、管理员、领导设置相对应权限、可设录像关联用户权限，确保设备数据安全不泄密。</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14.集中管理：支持集中管理功能、可以实现主动式后端管理存储案件数据备份、支持NFS、iSCSI。</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15.系统维护：支持网络检测、硬盘检测状态检测等多种系统维护管理功能。</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15.音视频处理能力：</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专业级视频编解码系统：采用H.264 High Profile与H.265双编码标准，支持智能码率自适应（512Kbps-16Mbps可调），硬件加速引擎实现8路高清音视频同步编码+4路高清音视频解码，适应不同网络带宽环境。</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高保真音频处理：采用AAC-LC音频编码标准，48kHz采样率。</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智能画面合成系统：支持7种专业合成模式：单画面全屏显示、 画中画叠加 、 多画面分割（3/4/5/6/7画面），支持自定义布局模板保存与调用。</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智能录播系统：支持MP4通用格式封装，分段录制（支持断点续传）、自动合成功能（支持多段视频智能合并）、时间戳同步技术。</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16.网络通讯协议：支持H.323/SIP/RTSP/RTMP等主流协议，支持QoS服务质量保障。</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17.WEB服务系统：基于H5的零插件架构，支持多终端自适应（兼容国产操作系统）</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功能包括： 远程控制、实时直播观看、录像点播与下载、摄像机参数调节、录像重点标记等。</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1632C">
            <w:pPr>
              <w:jc w:val="center"/>
              <w:rPr>
                <w:rFonts w:hint="default" w:ascii="仿宋" w:hAnsi="仿宋" w:eastAsia="仿宋" w:cs="仿宋"/>
                <w:i w:val="0"/>
                <w:iCs w:val="0"/>
                <w:color w:val="000000"/>
                <w:sz w:val="20"/>
                <w:szCs w:val="20"/>
                <w:u w:val="none"/>
              </w:rPr>
            </w:pPr>
          </w:p>
        </w:tc>
      </w:tr>
      <w:tr w14:paraId="72A3B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BF10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19</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945D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约谈边缘计算应用终端</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9F0C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1.采用标准机架结构，满足司法场景机房空间集约化需求。兼容19英寸标准机柜安装。</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2.配备1.9英寸工业级高清显示屏，实时显示设备运行状态、系统参数及告警信息。</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3.支持可热插拔硬盘仓设计，支持记录过程不间断存储，标配1TB企业级存储硬盘，最大支持8TB扩容。</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4.双刻录光驱设计，支持接力刻录、双光驱同步刻录模式。支持4.7GB单层/8.5GB双层DVD实时刻录，刻录时长1-24小时可调，适配不同记录时长需求，支持写入保护技术，确保原始数据不可篡改。</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5.三重安全防护机制：光盘自检与完整性校验、自动封盘防篡改。</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6.视频接口：6路网络高清视频输入+2路HDMI高清视频输入。支持2路HDMI高清视频输出。内置画面合成，支持画中画、多画面分割等模式。</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7.音频接口：4路专业音频接口输入，2路音频输出。</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8.网络接口：4×千兆POE（IEEE 802.3bt，单端口最大15W供电）</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1×千兆LAN，1×SPF光口（10Gbps，最大传输距离80km）</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9.控制接口：2×RS-232（支持设备联动控制）1×RS-485接口。</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10.扩展接口：1×TTL调试接口、4×可编程GPIO、1×高速TF卡座、2×USB3.0、1×Type-C）。</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11.输入电压：AC 100-240V（50/60Hz）</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12.典型功耗：≤85W</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13.断电保护：支持异常断电数据保存</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14.工作温度：-10℃～60℃</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15.相对湿度：0-95%非冷凝</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16.抗震性能：通过5-500Hz随机振动测试</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266B9">
            <w:pPr>
              <w:jc w:val="center"/>
              <w:rPr>
                <w:rFonts w:hint="default" w:ascii="仿宋" w:hAnsi="仿宋" w:eastAsia="仿宋" w:cs="仿宋"/>
                <w:i w:val="0"/>
                <w:iCs w:val="0"/>
                <w:color w:val="000000"/>
                <w:sz w:val="20"/>
                <w:szCs w:val="20"/>
                <w:u w:val="none"/>
              </w:rPr>
            </w:pPr>
          </w:p>
        </w:tc>
      </w:tr>
      <w:tr w14:paraId="1B2C3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30C0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20</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1260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隐藏式摄像机</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05C13">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1.像素：高清1080P，25帧，音视频同步。快速聚焦功能，可提供优异的视频图像效果和快速聚焦体验。</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2.视频加密：录像图传编码加密，双码流软件架构</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3.网络模式: RJ45                                                                                                                                                                                                   4.包含隐蔽装饰</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DB4EF">
            <w:pPr>
              <w:jc w:val="center"/>
              <w:rPr>
                <w:rFonts w:hint="default" w:ascii="仿宋" w:hAnsi="仿宋" w:eastAsia="仿宋" w:cs="仿宋"/>
                <w:i w:val="0"/>
                <w:iCs w:val="0"/>
                <w:color w:val="000000"/>
                <w:sz w:val="20"/>
                <w:szCs w:val="20"/>
                <w:u w:val="none"/>
              </w:rPr>
            </w:pPr>
          </w:p>
        </w:tc>
      </w:tr>
      <w:tr w14:paraId="4ACA9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CD60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21</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C5BBF">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功率助推器</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3955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频响范围 20HZ-20KHZ,±1.5dB 输入灵敏度 0.5V</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平衡输入阻抗 10KΩ/un-Balanced 信噪比 95dB</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失真度 ≤0.2% 额定功放 600W*2 8Ω</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分离度 &gt;70dB 阻力系数 &gt;240</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转换速率 15V/uS</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A4C14">
            <w:pPr>
              <w:jc w:val="center"/>
              <w:rPr>
                <w:rFonts w:hint="default" w:ascii="仿宋" w:hAnsi="仿宋" w:eastAsia="仿宋" w:cs="仿宋"/>
                <w:i w:val="0"/>
                <w:iCs w:val="0"/>
                <w:color w:val="000000"/>
                <w:sz w:val="20"/>
                <w:szCs w:val="20"/>
                <w:u w:val="none"/>
              </w:rPr>
            </w:pPr>
          </w:p>
        </w:tc>
      </w:tr>
      <w:tr w14:paraId="2C647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E79D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22</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4818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柱形电声换能器</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60E6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1.频率范围：不低于80Hz~20kHz（-10dB）。</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2.驱动单元：不少于4×3"铁氧体全频单元。</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3.最大声压级：≥115dB。</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4.额定功率：≥100W。</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5.标称阻抗：8Ω。</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6.扩散角度（-6dB）：垂直≥20°，水平≥120°。</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7.扬声器需采用全频单元纯阵列技术设计，音柱系统严格使用统一规格的喇叭单元，不支持混合尺寸单元的组合应用方案。</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5CB79">
            <w:pPr>
              <w:jc w:val="center"/>
              <w:rPr>
                <w:rFonts w:hint="default" w:ascii="仿宋" w:hAnsi="仿宋" w:eastAsia="仿宋" w:cs="仿宋"/>
                <w:i w:val="0"/>
                <w:iCs w:val="0"/>
                <w:color w:val="000000"/>
                <w:sz w:val="20"/>
                <w:szCs w:val="20"/>
                <w:u w:val="none"/>
              </w:rPr>
            </w:pPr>
          </w:p>
        </w:tc>
      </w:tr>
      <w:tr w14:paraId="1633B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89F4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23</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0BC42">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多媒体插座</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3D0A3">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按现场需求配置对应插座接口。</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8335C">
            <w:pPr>
              <w:jc w:val="center"/>
              <w:rPr>
                <w:rFonts w:hint="default" w:ascii="仿宋" w:hAnsi="仿宋" w:eastAsia="仿宋" w:cs="仿宋"/>
                <w:i w:val="0"/>
                <w:iCs w:val="0"/>
                <w:color w:val="000000"/>
                <w:sz w:val="20"/>
                <w:szCs w:val="20"/>
                <w:u w:val="none"/>
              </w:rPr>
            </w:pPr>
          </w:p>
        </w:tc>
      </w:tr>
      <w:tr w14:paraId="23332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7F70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24</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7434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电源管理终端1</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DAF3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1.内置电源综合控制管理系统；</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2.面板翘板开关,BYPASS及单路开关；</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3.支持RS232控制接口，可接中控或电脑控制；</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4.支持网络控制接口；</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5.支持扩展控制接口，用于多台设备级联控制；</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6.额定输出电压:交流220V,50Hz；</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7.额定输出电流≥40A；</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8.可控制电源8路；</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9.每路动作延时时间:1秒(可自定义延迟时间)；</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10.供电电源:VAC 50 / 60Hz 30A；</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11.每路输出:指示灯；</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12.单路额定输出电源大于30A；</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EB921">
            <w:pPr>
              <w:jc w:val="center"/>
              <w:rPr>
                <w:rFonts w:hint="default" w:ascii="仿宋" w:hAnsi="仿宋" w:eastAsia="仿宋" w:cs="仿宋"/>
                <w:i w:val="0"/>
                <w:iCs w:val="0"/>
                <w:color w:val="000000"/>
                <w:sz w:val="20"/>
                <w:szCs w:val="20"/>
                <w:u w:val="none"/>
              </w:rPr>
            </w:pPr>
          </w:p>
        </w:tc>
      </w:tr>
      <w:tr w14:paraId="7509C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5898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25</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D2FB3">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人脸识别一体机</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C753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界面自定义：背景图片、酒店名称可自定义显示；</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图标功能：支持门铃、呼叫前台功能，以及房内有无人的显示，及图标显示规则配置。</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房态显示：支持显示立即清扫、请勿打扰，与房内客控系统进行对接显示。</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门禁管控：人脸识别核验控制房间门打开；</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操作系统：嵌入式Linux操作系统；</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屏幕参数： 7英寸触摸显示屏，屏幕比例9:16，屏幕分辨率600*1024；</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摄像头参数：采用宽动态200万双目摄像头；</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认证方式：支持人脸、刷卡、密码认证方式；</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人脸识别：采用深度学习算法，1:N人脸识别速度≤0.2s，人脸验证准确率≥99%；</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存储容量：本地支持10000人脸库、50000张卡，15万条事件记录；</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硬件接口：LAN*1、RS485*1、Wiegand * 1(支持双向)、typeC类型USB接口*1、电锁*1、门磁*1、报警输入*2、报警输出*1、开门按钮*1、SD卡槽*1（最大支持512GB）、3.5mm音频输出接口*1；</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通信方式及网络协议：有线网络；萤石协议/ISAPI/ISUP5.0；</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使用环境：IP65，室内外环境（室外使用必须搭配遮阳罩）；</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安装方式：壁挂安装（标配挂板，适配86底盒）；</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工作电压： DC12V~24V/2A（电源需另配）；</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E404C">
            <w:pPr>
              <w:jc w:val="center"/>
              <w:rPr>
                <w:rFonts w:hint="default" w:ascii="仿宋" w:hAnsi="仿宋" w:eastAsia="仿宋" w:cs="仿宋"/>
                <w:i w:val="0"/>
                <w:iCs w:val="0"/>
                <w:color w:val="000000"/>
                <w:sz w:val="20"/>
                <w:szCs w:val="20"/>
                <w:u w:val="none"/>
              </w:rPr>
            </w:pPr>
          </w:p>
        </w:tc>
      </w:tr>
      <w:tr w14:paraId="4245A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6295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26</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8D37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电插锁1</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9200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双开门，适用于木门、玻璃门、金属门等。</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9F1AA">
            <w:pPr>
              <w:jc w:val="center"/>
              <w:rPr>
                <w:rFonts w:hint="default" w:ascii="仿宋" w:hAnsi="仿宋" w:eastAsia="仿宋" w:cs="仿宋"/>
                <w:i w:val="0"/>
                <w:iCs w:val="0"/>
                <w:color w:val="000000"/>
                <w:sz w:val="20"/>
                <w:szCs w:val="20"/>
                <w:u w:val="none"/>
              </w:rPr>
            </w:pPr>
          </w:p>
        </w:tc>
      </w:tr>
      <w:tr w14:paraId="39B76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189C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27</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FB959">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电磁锁</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A14A3">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单开门，适用于木门、玻璃门、金属门、防火门等。</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05F34">
            <w:pPr>
              <w:jc w:val="center"/>
              <w:rPr>
                <w:rFonts w:hint="default" w:ascii="仿宋" w:hAnsi="仿宋" w:eastAsia="仿宋" w:cs="仿宋"/>
                <w:i w:val="0"/>
                <w:iCs w:val="0"/>
                <w:color w:val="000000"/>
                <w:sz w:val="20"/>
                <w:szCs w:val="20"/>
                <w:u w:val="none"/>
              </w:rPr>
            </w:pPr>
          </w:p>
        </w:tc>
      </w:tr>
      <w:tr w14:paraId="46868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187A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28</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F3CC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开门按钮1</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BAAE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材质：塑料面板；</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性能：最大耐电流1.25A，电压250V；</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输出：常开；</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0EF2D">
            <w:pPr>
              <w:jc w:val="center"/>
              <w:rPr>
                <w:rFonts w:hint="default" w:ascii="仿宋" w:hAnsi="仿宋" w:eastAsia="仿宋" w:cs="仿宋"/>
                <w:i w:val="0"/>
                <w:iCs w:val="0"/>
                <w:color w:val="000000"/>
                <w:sz w:val="20"/>
                <w:szCs w:val="20"/>
                <w:u w:val="none"/>
              </w:rPr>
            </w:pPr>
          </w:p>
        </w:tc>
      </w:tr>
      <w:tr w14:paraId="31ADE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BD88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29</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ED60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门禁电源</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2000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DC12V，5A</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328FD">
            <w:pPr>
              <w:jc w:val="center"/>
              <w:rPr>
                <w:rFonts w:hint="default" w:ascii="仿宋" w:hAnsi="仿宋" w:eastAsia="仿宋" w:cs="仿宋"/>
                <w:i w:val="0"/>
                <w:iCs w:val="0"/>
                <w:color w:val="000000"/>
                <w:sz w:val="20"/>
                <w:szCs w:val="20"/>
                <w:u w:val="none"/>
              </w:rPr>
            </w:pPr>
          </w:p>
        </w:tc>
      </w:tr>
      <w:tr w14:paraId="2B1B5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17D0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30</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397B2">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人脸识别固件升级</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479E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按现场需求定制。</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7FFE7">
            <w:pPr>
              <w:jc w:val="center"/>
              <w:rPr>
                <w:rFonts w:hint="default" w:ascii="仿宋" w:hAnsi="仿宋" w:eastAsia="仿宋" w:cs="仿宋"/>
                <w:i w:val="0"/>
                <w:iCs w:val="0"/>
                <w:color w:val="000000"/>
                <w:sz w:val="20"/>
                <w:szCs w:val="20"/>
                <w:u w:val="none"/>
              </w:rPr>
            </w:pPr>
          </w:p>
        </w:tc>
      </w:tr>
      <w:tr w14:paraId="61929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A03E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31</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D6E8C">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破玻按钮</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3BB5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标准结构：选用防火材料，绿色；</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电气性能：最大耐用电流3A@36VDC；</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适用门型：安全门、逃生门、安全系统等；</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尺寸：86*86*50mm</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接点输出：NO/NC/COM</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8C6DB">
            <w:pPr>
              <w:jc w:val="center"/>
              <w:rPr>
                <w:rFonts w:hint="default" w:ascii="仿宋" w:hAnsi="仿宋" w:eastAsia="仿宋" w:cs="仿宋"/>
                <w:i w:val="0"/>
                <w:iCs w:val="0"/>
                <w:color w:val="000000"/>
                <w:sz w:val="20"/>
                <w:szCs w:val="20"/>
                <w:u w:val="none"/>
              </w:rPr>
            </w:pPr>
          </w:p>
        </w:tc>
      </w:tr>
      <w:tr w14:paraId="4F53D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C70E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32</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8038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刷卡一体机</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264CC">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屏幕参数：2.8寸LCD非触摸显示屏</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按键属性：触摸按键</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认证方式：支持刷卡（ID卡卡号）、密码认证方式；</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存储容量：10万张卡、10万个密码和30万条事件记录；</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硬件接口：LAN*1、RS485*1、Wiegand*1(支持双向)、USB2.0*1、电锁*1、防拆*1、开门按钮*1、门磁*1、报警输入*2、报警（门铃）输出*1</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通信方式：有线网络、WiFi；</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使用环境：室内使用，不防水；</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安装方式：壁挂安装（标配挂板，适配86底盒）；</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工作电压：DC 12V/2A（电源需另配）；</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CF8D6">
            <w:pPr>
              <w:jc w:val="center"/>
              <w:rPr>
                <w:rFonts w:hint="default" w:ascii="仿宋" w:hAnsi="仿宋" w:eastAsia="仿宋" w:cs="仿宋"/>
                <w:i w:val="0"/>
                <w:iCs w:val="0"/>
                <w:color w:val="000000"/>
                <w:sz w:val="20"/>
                <w:szCs w:val="20"/>
                <w:u w:val="none"/>
              </w:rPr>
            </w:pPr>
          </w:p>
        </w:tc>
      </w:tr>
      <w:tr w14:paraId="02345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6AE5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33</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283E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卡片录入仪</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CA65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支持发卡类型：ID卡、IC卡、身份证物料卡号（序列号）、普通CPU卡、国密CPU卡；</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USB2.0接口；</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具有2个Sim卡尺寸的PSAM卡座；</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工作电压：DC 5V；</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工作电流：0.2A；</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31D35">
            <w:pPr>
              <w:jc w:val="center"/>
              <w:rPr>
                <w:rFonts w:hint="default" w:ascii="仿宋" w:hAnsi="仿宋" w:eastAsia="仿宋" w:cs="仿宋"/>
                <w:i w:val="0"/>
                <w:iCs w:val="0"/>
                <w:color w:val="000000"/>
                <w:sz w:val="20"/>
                <w:szCs w:val="20"/>
                <w:u w:val="none"/>
              </w:rPr>
            </w:pPr>
          </w:p>
        </w:tc>
      </w:tr>
      <w:tr w14:paraId="1D558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8100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34</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E759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通行卡</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5324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卡片类型：IC卡</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符合标准：ISO14443 标准</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卡片容量：1K byte</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工作频率：13.56MHz</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70BD2">
            <w:pPr>
              <w:jc w:val="center"/>
              <w:rPr>
                <w:rFonts w:hint="default" w:ascii="仿宋" w:hAnsi="仿宋" w:eastAsia="仿宋" w:cs="仿宋"/>
                <w:i w:val="0"/>
                <w:iCs w:val="0"/>
                <w:color w:val="000000"/>
                <w:sz w:val="20"/>
                <w:szCs w:val="20"/>
                <w:u w:val="none"/>
              </w:rPr>
            </w:pPr>
          </w:p>
        </w:tc>
      </w:tr>
      <w:tr w14:paraId="65C9B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6FA4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35</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74F6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超高清摄像机1</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7A25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1.▲成像元器件≥全画幅Exmor R CMOS传感器，传感器有效像素不低于 1030万像素。(需提供官网截图或产品彩页并加盖原厂公章）。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2.可更换镜头卡口：E卡口</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3.信号系统：DCI 4K：4096*2160/59.94p、50p、29.97p、25p、24p、23.98p</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QFHD：3840*2160/59.94p、50p、29.97p、25p、23.98p</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FHD：1920*1080/59.94p、50p、29.97p、25p、24p、23.98p;</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4.感光度：双基础ISO 800/12800，最高可扩展409600</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5.储存格式：XAVC Intra 10bit 4:2:2、XAVC Long FHD 4:2:2 10bit (QFHD: 4:2:0 8bit)</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6.快慢动作：全画幅模式下：DCI 4K：1至60帧；QFHD： 1至60、100、120帧；FHD： 1至60、100、120、150、180、200、240帧。Super 35模式下：FHD：1至60、100、120帧。</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7.ND滤镜：机身内置电子可变ND滤镜（1/4ND~1/128ND）</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8.信号输出：具备1路12G-SDI视频输出和1路HDMI视频输出和一路SFP光纤输出和一路IP编码输出，IP编码支持RTSP，SRT 流输出，支持NDI|HX协议输出（需另外购买NDI License）。</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9.预置位： 100个</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10.云台PTZ运动速度：0.02°/秒~60°/秒</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11.云台PTZ运动范围：水平：-170°~+170°，俯仰-30°~195°（吊装时为-210°~15°）</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 xml:space="preserve">12.最高预置位调用速度：水平/俯仰，60°/秒 </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13.支持POE++（符合IEEE802.3bt Type 4 Class 8标准）供电。</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 xml:space="preserve">14.支持XLR型5针音频立体声输入，LPCM 24位，48kHz，4通道，支持48V幻象电源。 </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15.支持Genlock</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16.支持HLG拍摄、支持S-log3、支持支持SDI 16bit RAW输出、支持S-Cinetone。</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17.支持机内用户LUT</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18.储存卡：支持CFexpress Type A卡/ SD储存卡双卡槽录制.</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19.质量：单机身约4.6 kg</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20.电源：DC 19.5V</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21.▲镜头参数:焦距28-135mm;支持自动对焦;最大光圈F4(需提供官网截图或产品彩页并加盖原厂公章）</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382A2">
            <w:pPr>
              <w:jc w:val="center"/>
              <w:rPr>
                <w:rFonts w:hint="default" w:ascii="仿宋" w:hAnsi="仿宋" w:eastAsia="仿宋" w:cs="仿宋"/>
                <w:i w:val="0"/>
                <w:iCs w:val="0"/>
                <w:color w:val="000000"/>
                <w:sz w:val="20"/>
                <w:szCs w:val="20"/>
                <w:u w:val="none"/>
              </w:rPr>
            </w:pPr>
          </w:p>
        </w:tc>
      </w:tr>
      <w:tr w14:paraId="79538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E1A4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36</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FB9D2">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超高清摄像机2</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E7F13">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1.▲成像元器件≥全画幅Exmor R CMOS传感器，传感器有效像素不低于 1030万像素。(需提供官网截图或产品彩页并加盖原厂公章）。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2.可更换镜头卡口：E卡口</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3.信号系统：DCI 4K：4096*2160/59.94p、50p、29.97p、25p、24p、23.98p</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QFHD：3840*2160/59.94p、50p、29.97p、25p、23.98p</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FHD：1920*1080/59.94p、50p、29.97p、25p、24p、23.98p;</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4.感光度：双基础ISO 800/12800，最高可扩展409600</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5.储存格式：XAVC Intra 10bit 4:2:2、XAVC Long FHD 4:2:2 10bit (QFHD: 4:2:0 8bit)</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6.快慢动作：全画幅模式下：DCI 4K：1至60帧；QFHD： 1至60、100、120帧；FHD： 1至60、100、120、150、180、200、240帧。Super 35模式下：FHD：1至60、100、120帧。</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7.ND滤镜：机身内置电子可变ND滤镜（1/4ND~1/128ND）</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8.信号输出：具备1路12G-SDI视频输出和1路HDMI视频输出和一路SFP光纤输出和一路IP编码输出，IP编码支持RTSP，SRT 流输出，支持NDI|HX协议输出（需另外购买NDI License）。</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9.预置位： 100个</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10.云台PTZ运动速度：0.02°/秒~60°/秒</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11.云台PTZ运动范围：水平：-170°~+170°，俯仰-30°~195°（吊装时为-210°~15°）</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 xml:space="preserve">12.最高预置位调用速度：水平/俯仰，60°/秒 </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13.支持POE++（符合IEEE802.3bt Type 4 Class 8标准）供电。</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 xml:space="preserve">14.支持XLR型5针音频立体声输入，LPCM 24位，48kHz，4通道，支持48V幻象电源。 </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15.支持Genlock</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16.支持HLG拍摄、支持S-log3、支持支持SDI 16bit RAW输出、支持S-Cinetone。</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17.支持机内用户LUT</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18.储存卡：支持CFexpress Type A卡/ SD储存卡双卡槽录制.</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19.质量：单机身约4.6 kg</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20.电源：DC 19.5V</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21.▲镜头参数:焦距16-35mm;支持自动对焦;最大光圈F4(需提供官网截图或产品彩页并加盖原厂公章）</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8057E">
            <w:pPr>
              <w:jc w:val="center"/>
              <w:rPr>
                <w:rFonts w:hint="default" w:ascii="仿宋" w:hAnsi="仿宋" w:eastAsia="仿宋" w:cs="仿宋"/>
                <w:i w:val="0"/>
                <w:iCs w:val="0"/>
                <w:color w:val="000000"/>
                <w:sz w:val="20"/>
                <w:szCs w:val="20"/>
                <w:u w:val="none"/>
              </w:rPr>
            </w:pPr>
          </w:p>
        </w:tc>
      </w:tr>
      <w:tr w14:paraId="454F1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E4B6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37</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EA26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超高清摄像机3</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76F4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1.成像元器件≥1/2.5英寸Exmor R CMOS，传感器有效像素不低于 850万像素。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2.最大广角（水平视角）≥70度。</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3.视频输出支持2160/29.97P、2160/25P、1080/59.94P、1080/50P、1080/59.94i、1080/50i、720/59、94P、720/50P。</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4.▲20倍光学变焦，4K30倍变焦，高清40倍。（提供第三方检测机构出具的具有CMA或CNAS认证标志的检测报告加盖原厂公章或电子章）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5.▲4K信号输出时水平分辨率：≥1700 TV线。（提供第三方检测机构出具的具有CMA或CNAS认证标志的检测报告加盖原厂公章或电子章）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 xml:space="preserve">6.同时具备1路3G-SDI和1路HDMI和一路IP编码输出 </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7.支持网络IP和RS422串口控制，支持POE+（符合IEEE802.3at）供电。</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8.可支持NDI｜HX协议视频输出。</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9.支持2通道音频输入，并可在3G-SDI，HDMI，IP输出视频流中嵌入音频。</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33D34">
            <w:pPr>
              <w:jc w:val="center"/>
              <w:rPr>
                <w:rFonts w:hint="default" w:ascii="仿宋" w:hAnsi="仿宋" w:eastAsia="仿宋" w:cs="仿宋"/>
                <w:i w:val="0"/>
                <w:iCs w:val="0"/>
                <w:color w:val="000000"/>
                <w:sz w:val="20"/>
                <w:szCs w:val="20"/>
                <w:u w:val="none"/>
              </w:rPr>
            </w:pPr>
          </w:p>
        </w:tc>
      </w:tr>
      <w:tr w14:paraId="642BE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C203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38</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FC6D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摄像机控制键盘</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F464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1.与摄像机为同一品牌，保证系统兼容性。</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2.支持RS422和IP控制，可以通过IP控制不少于100台摄像机，且能够对每台摄像机保存100个预置位（需摄像机支持）。</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3.支持独立的 PT、变焦和对焦速度控制。</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4.在一个网络上最多可以运行 5 台控制器，实现对大型摄像机系统的共享控制和多位摄像师同步控制。</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5.可通过跷跷板式按键进行变焦控制。</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6.支持摄像机曝光模式、一键白平衡、光圈值、快门速度快速调节旋钮。</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B6753">
            <w:pPr>
              <w:jc w:val="center"/>
              <w:rPr>
                <w:rFonts w:hint="default" w:ascii="仿宋" w:hAnsi="仿宋" w:eastAsia="仿宋" w:cs="仿宋"/>
                <w:i w:val="0"/>
                <w:iCs w:val="0"/>
                <w:color w:val="000000"/>
                <w:sz w:val="20"/>
                <w:szCs w:val="20"/>
                <w:u w:val="none"/>
              </w:rPr>
            </w:pPr>
          </w:p>
        </w:tc>
      </w:tr>
      <w:tr w14:paraId="24953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F0F3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39</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56502">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视频切换台1</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90883">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1.▲高清一体化视频切换台，支持4:2:2（Y/Pb/Pr）8bit 内部处理精度,（提供第三方检测机构出具的具有CMA或CNAS认证标志的检测报告加盖原厂公章或电子章）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2.▲视频输入不少于6路3G-SDI ， 6路HDMI，输出不少于3路3G-SDI ，3路HDMI（提供第三方检测机构出具的具有CMA或CNAS认证标志的检测报告加盖原厂公章或电子章）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3.▲8通道处理，最高可扩展至12通道。（提供第三方检测机构出具的具有CMA或CNAS认证标志的检测报告加盖原厂公章或电子章）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4.最高支持1080p60，并支持数字版权保护HDCP；</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5.支持USB和网络推流功能，最多可支持3路推流信号。</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6.不少于4路平衡音频输入，2路线型音频输入，42路混音编辑</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7.支持8个快捷音频播放按键，支持内置视频播放器，并支持SD卡本地存储</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8.支持VISCA摄像机控制协议，最多可控制12台摄像机</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9.具备独立LED显示窗口，可进行菜单参数设置。</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1E175">
            <w:pPr>
              <w:jc w:val="center"/>
              <w:rPr>
                <w:rFonts w:hint="default" w:ascii="仿宋" w:hAnsi="仿宋" w:eastAsia="仿宋" w:cs="仿宋"/>
                <w:i w:val="0"/>
                <w:iCs w:val="0"/>
                <w:color w:val="000000"/>
                <w:sz w:val="20"/>
                <w:szCs w:val="20"/>
                <w:u w:val="none"/>
              </w:rPr>
            </w:pPr>
          </w:p>
        </w:tc>
      </w:tr>
      <w:tr w14:paraId="191A5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C655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40</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B2F2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8路输出扩展器</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D388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1、输出扩展器带有8通道的DA 转换器，可以将来自MTX系列处理器的数字输出信号转换为高品质的模拟音频</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2、采样频率：48kHz/44.1kHz；</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3、信号延迟：＜2.5ms；</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4、频率响应：20Hz－20kHz；</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5、总谐波失真：＜0.05%；</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6、动态范围：107dB；</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 xml:space="preserve">7、串音/通道分隔：-100dB； </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8、等效输入噪音：-126dBu。</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D8427">
            <w:pPr>
              <w:jc w:val="center"/>
              <w:rPr>
                <w:rFonts w:hint="default" w:ascii="仿宋" w:hAnsi="仿宋" w:eastAsia="仿宋" w:cs="仿宋"/>
                <w:i w:val="0"/>
                <w:iCs w:val="0"/>
                <w:color w:val="000000"/>
                <w:sz w:val="20"/>
                <w:szCs w:val="20"/>
                <w:u w:val="none"/>
              </w:rPr>
            </w:pPr>
          </w:p>
        </w:tc>
      </w:tr>
      <w:tr w14:paraId="63A1F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409F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41</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C57D3">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分布式输入节点1</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DFC5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1、可同时支持一路信号的输入</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2、支持VGA、DVI、HDMI常规信号接口输入；</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3、支持4K高清输入；</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4、支持60帧实时编码处理，确保图像不丢失、流畅；</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5、内置先进的图像处理平台，确保原始图像完美呈现；</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6、高低码流同时输出，适用近距离、远距离互联；</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7、内置音频输入采集模块，确保音视频能够同步处理；</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8、支持实时输入信号预览回显，确保每个信号状态尽在掌控；</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9、输入信号支持字幕、透明台标的叠加；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10、采用嵌入式硬件，确保设备稳定、安全可靠；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11、集成中控内核，实现中央控制功能，可根据用户需求自定义编程；</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12、集成KVM模块；</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13、支持POE供电。（选配）</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5766D">
            <w:pPr>
              <w:jc w:val="center"/>
              <w:rPr>
                <w:rFonts w:hint="default" w:ascii="仿宋" w:hAnsi="仿宋" w:eastAsia="仿宋" w:cs="仿宋"/>
                <w:i w:val="0"/>
                <w:iCs w:val="0"/>
                <w:color w:val="000000"/>
                <w:sz w:val="20"/>
                <w:szCs w:val="20"/>
                <w:u w:val="none"/>
              </w:rPr>
            </w:pPr>
          </w:p>
        </w:tc>
      </w:tr>
      <w:tr w14:paraId="13A5E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890A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42</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E510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分布式输出节点1</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F127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1、可同时支持一路信号的输出</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2、支持VGA、DVI、HDMI常规信号接口输入；</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3、支持4K高清输出；</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4、支持30帧实时编码处理，确保图像不丢失、流畅；</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5、内置先进的图像处理平台，确保原始图像完美呈现；</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6、高低码流同时输出，适用近距离、远距离互联；</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7、内置音频输入采集模块，确保音视频能够同步处理；</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8、支持实时输入信号预览回显，确保每个信号状态尽在掌控；</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9、输入信号支持字幕、透明台标的叠加；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10、采用嵌入式硬件，确保设备稳定、安全可靠；</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11、集成中控内核，实现中央控制功能，可根据用户需求自定义编程；</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12、集成KVM模块；</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13、支持POE供电（选配）。</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88562">
            <w:pPr>
              <w:jc w:val="center"/>
              <w:rPr>
                <w:rFonts w:hint="default" w:ascii="仿宋" w:hAnsi="仿宋" w:eastAsia="仿宋" w:cs="仿宋"/>
                <w:i w:val="0"/>
                <w:iCs w:val="0"/>
                <w:color w:val="000000"/>
                <w:sz w:val="20"/>
                <w:szCs w:val="20"/>
                <w:u w:val="none"/>
              </w:rPr>
            </w:pPr>
          </w:p>
        </w:tc>
      </w:tr>
      <w:tr w14:paraId="6737D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8A27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43</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C337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分布式输入节点2</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24999">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1.完全分布式架构，运行中可断开任意分布式节点，系统运行不受影响，节点支持7x24小时不间断连续开机工作能力；</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2.采用H.265视频编码算法，支持≥2K分辨率采集，分辨率及帧率并向下兼容，自动适应编码方式，带宽码率128K-20Mbps可调；</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3.支持双击输入信号源可调出快捷菜单，可实现软KVM操作、设备编辑、视频设置等操作内容，一键式填入视频流地址，快速增加输入设备；</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节点间采用单播协议，无需交换机和接入网络支持组播的情况下支持超过200路以上并发，满足跨网段跨区域互联互通；同时可兼容组播，组播并发数量不受限制；单播和组播均具有完善的流控措施，无任何花屏或马赛克情况；</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为保证系统安全性，接入内网的电脑与接入外网的电脑，在通过HDMI连接线及USB连接线都接入节点的情况下，节点只支持键盘鼠标信号传输和视频信号传输，两台电脑之间不会发生数据互通，避免出现内网通过节点连入外部互联网，避免“一机两用”违规；</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6.具备≥1路HDMI输入、≥1路HDMI环出、≥1路RJ45接口、≥1路SFP光纤接口、≥1路音频输入、≥1路音频输出、≥1路MIC、≥1路RS485、≥1路RS232、≥3路IO/IR、≥2路USB接口、≥1个带螺纹锁定防脱落电源适配器接口；</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7.为防止视频线异常松动脱落，节点HDMI视频接口具备≥6级可调节伸缩保护卡扣装置；</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8.所投产品需现有显控系统兼容，在不增加其他设备的情况下实现信号互联互通，资源共享；</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86DCF">
            <w:pPr>
              <w:jc w:val="center"/>
              <w:rPr>
                <w:rFonts w:hint="default" w:ascii="仿宋" w:hAnsi="仿宋" w:eastAsia="仿宋" w:cs="仿宋"/>
                <w:i w:val="0"/>
                <w:iCs w:val="0"/>
                <w:color w:val="000000"/>
                <w:sz w:val="20"/>
                <w:szCs w:val="20"/>
                <w:u w:val="none"/>
              </w:rPr>
            </w:pPr>
          </w:p>
        </w:tc>
      </w:tr>
      <w:tr w14:paraId="24E46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357B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44</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5A742">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分布式输出节点2</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68CC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1.完全分布式架构，运行中可断开任意分布式节点，系统运行不受影响，节点支持7x24小时不间断连续开机工作能力；</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2.采用H.265视频编码算法，支持4K分辨率并向下兼容；</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3.支持多人同时对同一个屏幕进行交互批注；批注具备最少四种快捷笔触选择，任意笔触粗细可在1到40像素调整，可选择不少于 20 个颜色，快捷标注三角旗、红旗；</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4.支持设置拼墙窗口布局为1P、4P、9P、1+4P、1+5P、2+8P、1+12P等常用布局，也可自定义拼墙布局的行列数量，支持使用拼墙输出盒的原始布局，可开启自动填充布局模式；</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5.为保障产品稳定性，要求分布式产品MTBF≥200000小时；</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6.为防止视频线异常松动脱落，节点 HDMI 视频接口具备≥6级可调节伸缩保护卡扣装置；</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具备≥1路HDMI输出接口、≥1路DVI输出接口、≥1路VGA输出接口、≥1路RJ45接口、≥1路SFP光纤接口、≥1路音频输入、≥1路音频输出、≥1路MIC、≥1路RS485、≥3路RS232、≥4路IO/IR，≥1个带螺纹锁定防脱落电源适配器接口；</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8.支持综合图像校正、三维空间变换、身（肢）体关键点识别、人脸识别、手识别以及手势分类和控制行为推理功能，无需借助穿戴任何传感器装置实现体感视音频调度、体感业务操作和体感指挥场景切换功能；</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9.所投产品需与现有显控系统兼容，在不增加其他设备的情况下实现信号互联互通，资源共享；</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7005D">
            <w:pPr>
              <w:jc w:val="center"/>
              <w:rPr>
                <w:rFonts w:hint="default" w:ascii="仿宋" w:hAnsi="仿宋" w:eastAsia="仿宋" w:cs="仿宋"/>
                <w:i w:val="0"/>
                <w:iCs w:val="0"/>
                <w:color w:val="000000"/>
                <w:sz w:val="20"/>
                <w:szCs w:val="20"/>
                <w:u w:val="none"/>
              </w:rPr>
            </w:pPr>
          </w:p>
        </w:tc>
      </w:tr>
      <w:tr w14:paraId="68C44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2A44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45</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69ED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32寸监视器</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D398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1、屏幕尺寸：32英寸</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2、屏幕分辨率：全高清</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3、系统：Android</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4、运行内存/RAM：1GB</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5、背光方式：直下式/DLED</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6、USB2.0接口数：2个</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7、HDMI2.1接口数：2个</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8、USB3.0接口数：2个</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87938">
            <w:pPr>
              <w:jc w:val="center"/>
              <w:rPr>
                <w:rFonts w:hint="default" w:ascii="仿宋" w:hAnsi="仿宋" w:eastAsia="仿宋" w:cs="仿宋"/>
                <w:i w:val="0"/>
                <w:iCs w:val="0"/>
                <w:color w:val="000000"/>
                <w:sz w:val="20"/>
                <w:szCs w:val="20"/>
                <w:u w:val="none"/>
              </w:rPr>
            </w:pPr>
          </w:p>
        </w:tc>
      </w:tr>
      <w:tr w14:paraId="2D0E4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F13A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46</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75ACC">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升降器</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CA1C2">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定制</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494B7">
            <w:pPr>
              <w:jc w:val="center"/>
              <w:rPr>
                <w:rFonts w:hint="default" w:ascii="仿宋" w:hAnsi="仿宋" w:eastAsia="仿宋" w:cs="仿宋"/>
                <w:i w:val="0"/>
                <w:iCs w:val="0"/>
                <w:color w:val="000000"/>
                <w:sz w:val="20"/>
                <w:szCs w:val="20"/>
                <w:u w:val="none"/>
              </w:rPr>
            </w:pPr>
          </w:p>
        </w:tc>
      </w:tr>
      <w:tr w14:paraId="20DCA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4333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47</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D6B9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监听耳机</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86A7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1.频响范围:20Hz - 40kHz</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2.喇叭尺寸:45mm</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3.最大声压级:118dB</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4.音频解码:AAC/SBC/LDAC</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5.充电接口:USB-C</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6.耳机电池容量:1000mAh</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7.蓝牙版本:Bluetooth 6.0</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A9A5D">
            <w:pPr>
              <w:jc w:val="center"/>
              <w:rPr>
                <w:rFonts w:hint="default" w:ascii="仿宋" w:hAnsi="仿宋" w:eastAsia="仿宋" w:cs="仿宋"/>
                <w:i w:val="0"/>
                <w:iCs w:val="0"/>
                <w:color w:val="000000"/>
                <w:sz w:val="20"/>
                <w:szCs w:val="20"/>
                <w:u w:val="none"/>
              </w:rPr>
            </w:pPr>
          </w:p>
        </w:tc>
      </w:tr>
      <w:tr w14:paraId="7227C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166E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48</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082D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会议室灯膜</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693F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1、定制</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0F149">
            <w:pPr>
              <w:jc w:val="center"/>
              <w:rPr>
                <w:rFonts w:hint="default" w:ascii="仿宋" w:hAnsi="仿宋" w:eastAsia="仿宋" w:cs="仿宋"/>
                <w:i w:val="0"/>
                <w:iCs w:val="0"/>
                <w:color w:val="000000"/>
                <w:sz w:val="20"/>
                <w:szCs w:val="20"/>
                <w:u w:val="none"/>
              </w:rPr>
            </w:pPr>
          </w:p>
        </w:tc>
      </w:tr>
      <w:tr w14:paraId="1EDBC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7FFC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49</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981A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视频切换台2</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0387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切换箱体，支持输入不小于9槽位，输出不小于9槽位。支持前面板按键，带字符屏显示。不少于1个 RJ-45 10/100M自适应以太网口、不少于1个RS-232 串口输入口（DB9母头）、不少于1个RS232串口输出口（DB9公头），支持网络、RS232控制，本次配置不低于16路HDMI输入、16路HDMI输出。</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19CCA">
            <w:pPr>
              <w:jc w:val="center"/>
              <w:rPr>
                <w:rFonts w:hint="default" w:ascii="仿宋" w:hAnsi="仿宋" w:eastAsia="仿宋" w:cs="仿宋"/>
                <w:i w:val="0"/>
                <w:iCs w:val="0"/>
                <w:color w:val="000000"/>
                <w:sz w:val="20"/>
                <w:szCs w:val="20"/>
                <w:u w:val="none"/>
              </w:rPr>
            </w:pPr>
          </w:p>
        </w:tc>
      </w:tr>
      <w:tr w14:paraId="1686E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DCB9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50</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F4612">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智控核心主机</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3501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1.5U标准型智能中控，前面板带电源开关，支持110~220V供电，支持8个多功能串口（RS232/422/485）,支持8个IR红外接口，支持8个I/O接口，支持10个弱电继电器，支持双网口</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3EC3B">
            <w:pPr>
              <w:jc w:val="center"/>
              <w:rPr>
                <w:rFonts w:hint="default" w:ascii="仿宋" w:hAnsi="仿宋" w:eastAsia="仿宋" w:cs="仿宋"/>
                <w:i w:val="0"/>
                <w:iCs w:val="0"/>
                <w:color w:val="000000"/>
                <w:sz w:val="20"/>
                <w:szCs w:val="20"/>
                <w:u w:val="none"/>
              </w:rPr>
            </w:pPr>
          </w:p>
        </w:tc>
      </w:tr>
      <w:tr w14:paraId="3AD27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DC1F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51</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CF88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智控软件编程</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6F5B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软件编程</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CDB28">
            <w:pPr>
              <w:jc w:val="center"/>
              <w:rPr>
                <w:rFonts w:hint="default" w:ascii="仿宋" w:hAnsi="仿宋" w:eastAsia="仿宋" w:cs="仿宋"/>
                <w:i w:val="0"/>
                <w:iCs w:val="0"/>
                <w:color w:val="000000"/>
                <w:sz w:val="20"/>
                <w:szCs w:val="20"/>
                <w:u w:val="none"/>
              </w:rPr>
            </w:pPr>
          </w:p>
        </w:tc>
      </w:tr>
      <w:tr w14:paraId="612D2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09D5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52</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9243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有线智控控制端</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EA5F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不少于10寸专用固定式安卓触控终端，支持墙面安装和桌面安装（配合桌面托架），美观高端，高性能处理器，高分辨率广视角屏幕，10.1寸、分辨率1280(RGB)×800 、支持POE网口供电，支持12V直流供电，支持有线网络和WIFI无线网络，无电池固定安装</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EFCDE">
            <w:pPr>
              <w:jc w:val="center"/>
              <w:rPr>
                <w:rFonts w:hint="default" w:ascii="仿宋" w:hAnsi="仿宋" w:eastAsia="仿宋" w:cs="仿宋"/>
                <w:i w:val="0"/>
                <w:iCs w:val="0"/>
                <w:color w:val="000000"/>
                <w:sz w:val="20"/>
                <w:szCs w:val="20"/>
                <w:u w:val="none"/>
              </w:rPr>
            </w:pPr>
          </w:p>
        </w:tc>
      </w:tr>
      <w:tr w14:paraId="041E9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E808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53</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D49E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电源管理终端2</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69DC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不少于8路开关通道输出，每路延时开启和关闭时间可自由设置;</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内置时钟芯片，可根据日期时间定时设置自动开关机;</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支持面板LOCK锁定功能，防止误操作;</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配置232接口，支持外部中控设备控制/多台设备级联顺序控制，级联自动检测设置。</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通过前面板开关自动时序上电或关电</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不少于8组设备开关场景数据保存/调用，场景管理应用简单便捷</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实时电压显示，可直观的看到设备所处地点的工作电压</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采用高品质的万用座，对接紧密，不易脱落，适应各种规格的电源插头</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电源净化功能(EMI专业电网滤波器)，提供更纯净的电源</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欠压、超压检测</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FEAA3">
            <w:pPr>
              <w:jc w:val="center"/>
              <w:rPr>
                <w:rFonts w:hint="default" w:ascii="仿宋" w:hAnsi="仿宋" w:eastAsia="仿宋" w:cs="仿宋"/>
                <w:i w:val="0"/>
                <w:iCs w:val="0"/>
                <w:color w:val="000000"/>
                <w:sz w:val="20"/>
                <w:szCs w:val="20"/>
                <w:u w:val="none"/>
              </w:rPr>
            </w:pPr>
          </w:p>
        </w:tc>
      </w:tr>
      <w:tr w14:paraId="21D79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0050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54</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423C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协议传输器</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8EC12">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以太网协议主机,支持不少于24个10/100/1000BASE-T端口(含不少于8个SFP Combo),不少于4个1G/10GBASE-X SFP Plus端口,不少于1个Slot</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含双电源，含2个千兆模块</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278D0">
            <w:pPr>
              <w:jc w:val="center"/>
              <w:rPr>
                <w:rFonts w:hint="default" w:ascii="仿宋" w:hAnsi="仿宋" w:eastAsia="仿宋" w:cs="仿宋"/>
                <w:i w:val="0"/>
                <w:iCs w:val="0"/>
                <w:color w:val="000000"/>
                <w:sz w:val="20"/>
                <w:szCs w:val="20"/>
                <w:u w:val="none"/>
              </w:rPr>
            </w:pPr>
          </w:p>
        </w:tc>
      </w:tr>
      <w:tr w14:paraId="12AE6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66DB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55</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A7A9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轻质砖</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167B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轻质砖</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74D19">
            <w:pPr>
              <w:jc w:val="center"/>
              <w:rPr>
                <w:rFonts w:hint="default" w:ascii="仿宋" w:hAnsi="仿宋" w:eastAsia="仿宋" w:cs="仿宋"/>
                <w:i w:val="0"/>
                <w:iCs w:val="0"/>
                <w:color w:val="000000"/>
                <w:sz w:val="20"/>
                <w:szCs w:val="20"/>
                <w:u w:val="none"/>
              </w:rPr>
            </w:pPr>
          </w:p>
        </w:tc>
      </w:tr>
      <w:tr w14:paraId="7930A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C565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56</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9523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水泥砂浆1</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89AB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墙壁批荡用水泥砂浆</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43CFD">
            <w:pPr>
              <w:jc w:val="center"/>
              <w:rPr>
                <w:rFonts w:hint="default" w:ascii="仿宋" w:hAnsi="仿宋" w:eastAsia="仿宋" w:cs="仿宋"/>
                <w:i w:val="0"/>
                <w:iCs w:val="0"/>
                <w:color w:val="000000"/>
                <w:sz w:val="20"/>
                <w:szCs w:val="20"/>
                <w:u w:val="none"/>
              </w:rPr>
            </w:pPr>
          </w:p>
        </w:tc>
      </w:tr>
      <w:tr w14:paraId="2316F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F1DB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57</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DCA0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定制门槛石</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90A3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1.5m*0.25</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9058A">
            <w:pPr>
              <w:jc w:val="center"/>
              <w:rPr>
                <w:rFonts w:hint="default" w:ascii="仿宋" w:hAnsi="仿宋" w:eastAsia="仿宋" w:cs="仿宋"/>
                <w:i w:val="0"/>
                <w:iCs w:val="0"/>
                <w:color w:val="000000"/>
                <w:sz w:val="20"/>
                <w:szCs w:val="20"/>
                <w:u w:val="none"/>
              </w:rPr>
            </w:pPr>
          </w:p>
        </w:tc>
      </w:tr>
      <w:tr w14:paraId="6B461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8A1A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58</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3AB7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大理石踢脚线</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48DE2">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1、大理石踢脚线、天然天麻石，整块切片；</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2、20mm厚，10mm宽;</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A1706">
            <w:pPr>
              <w:jc w:val="center"/>
              <w:rPr>
                <w:rFonts w:hint="default" w:ascii="仿宋" w:hAnsi="仿宋" w:eastAsia="仿宋" w:cs="仿宋"/>
                <w:i w:val="0"/>
                <w:iCs w:val="0"/>
                <w:color w:val="000000"/>
                <w:sz w:val="20"/>
                <w:szCs w:val="20"/>
                <w:u w:val="none"/>
              </w:rPr>
            </w:pPr>
          </w:p>
        </w:tc>
      </w:tr>
      <w:tr w14:paraId="26D68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DF8D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59</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B6619">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涂料 1</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67D8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墙面、天棚无机涂料：易清洁、易维护、阻燃、环保、无异味无毒，符合强制性国家标准：GB18585—2001《室内装饰装修材料壁纸中有害物质限量》。</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A8696">
            <w:pPr>
              <w:jc w:val="center"/>
              <w:rPr>
                <w:rFonts w:hint="default" w:ascii="仿宋" w:hAnsi="仿宋" w:eastAsia="仿宋" w:cs="仿宋"/>
                <w:i w:val="0"/>
                <w:iCs w:val="0"/>
                <w:color w:val="000000"/>
                <w:sz w:val="20"/>
                <w:szCs w:val="20"/>
                <w:u w:val="none"/>
              </w:rPr>
            </w:pPr>
          </w:p>
        </w:tc>
      </w:tr>
      <w:tr w14:paraId="58521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DFD8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60</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E5DD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涂料 2</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E927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墙面、天面所需乳胶漆（3遍），环保、无异味无毒，符合强制性国家标准</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CA3F0">
            <w:pPr>
              <w:jc w:val="center"/>
              <w:rPr>
                <w:rFonts w:hint="default" w:ascii="仿宋" w:hAnsi="仿宋" w:eastAsia="仿宋" w:cs="仿宋"/>
                <w:i w:val="0"/>
                <w:iCs w:val="0"/>
                <w:color w:val="000000"/>
                <w:sz w:val="20"/>
                <w:szCs w:val="20"/>
                <w:u w:val="none"/>
              </w:rPr>
            </w:pPr>
          </w:p>
        </w:tc>
      </w:tr>
      <w:tr w14:paraId="013BF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77D2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61</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3D94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涂料 3</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5074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墙面、天面所需深色防尘漆（2遍），环保、无异味无毒，符合强制性国家标准</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EBFF8">
            <w:pPr>
              <w:jc w:val="center"/>
              <w:rPr>
                <w:rFonts w:hint="default" w:ascii="仿宋" w:hAnsi="仿宋" w:eastAsia="仿宋" w:cs="仿宋"/>
                <w:i w:val="0"/>
                <w:iCs w:val="0"/>
                <w:color w:val="000000"/>
                <w:sz w:val="20"/>
                <w:szCs w:val="20"/>
                <w:u w:val="none"/>
              </w:rPr>
            </w:pPr>
          </w:p>
        </w:tc>
      </w:tr>
      <w:tr w14:paraId="1FA47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0B58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62</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F344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胶合板墙</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449D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隔墙用胶合板墙 单面</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9F91E">
            <w:pPr>
              <w:jc w:val="center"/>
              <w:rPr>
                <w:rFonts w:hint="default" w:ascii="仿宋" w:hAnsi="仿宋" w:eastAsia="仿宋" w:cs="仿宋"/>
                <w:i w:val="0"/>
                <w:iCs w:val="0"/>
                <w:color w:val="000000"/>
                <w:sz w:val="20"/>
                <w:szCs w:val="20"/>
                <w:u w:val="none"/>
              </w:rPr>
            </w:pPr>
          </w:p>
        </w:tc>
      </w:tr>
      <w:tr w14:paraId="3F30E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698D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63</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3FFB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墙固剂</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098B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刷墙固剂</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7D7ED">
            <w:pPr>
              <w:jc w:val="center"/>
              <w:rPr>
                <w:rFonts w:hint="default" w:ascii="仿宋" w:hAnsi="仿宋" w:eastAsia="仿宋" w:cs="仿宋"/>
                <w:i w:val="0"/>
                <w:iCs w:val="0"/>
                <w:color w:val="000000"/>
                <w:sz w:val="20"/>
                <w:szCs w:val="20"/>
                <w:u w:val="none"/>
              </w:rPr>
            </w:pPr>
          </w:p>
        </w:tc>
      </w:tr>
      <w:tr w14:paraId="14307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07D3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64</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E8CF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定制阳光卷帘</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8F18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阳光卷帘</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2BD30">
            <w:pPr>
              <w:jc w:val="center"/>
              <w:rPr>
                <w:rFonts w:hint="default" w:ascii="仿宋" w:hAnsi="仿宋" w:eastAsia="仿宋" w:cs="仿宋"/>
                <w:i w:val="0"/>
                <w:iCs w:val="0"/>
                <w:color w:val="000000"/>
                <w:sz w:val="20"/>
                <w:szCs w:val="20"/>
                <w:u w:val="none"/>
              </w:rPr>
            </w:pPr>
          </w:p>
        </w:tc>
      </w:tr>
      <w:tr w14:paraId="102EB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B60F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65</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B3BF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定制窗帘盒</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B626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定制玻璃幕墙处窗帘盒</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7C384">
            <w:pPr>
              <w:jc w:val="center"/>
              <w:rPr>
                <w:rFonts w:hint="default" w:ascii="仿宋" w:hAnsi="仿宋" w:eastAsia="仿宋" w:cs="仿宋"/>
                <w:i w:val="0"/>
                <w:iCs w:val="0"/>
                <w:color w:val="000000"/>
                <w:sz w:val="20"/>
                <w:szCs w:val="20"/>
                <w:u w:val="none"/>
              </w:rPr>
            </w:pPr>
          </w:p>
        </w:tc>
      </w:tr>
      <w:tr w14:paraId="770C4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1B09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66</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D74C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水泥砂浆2</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887A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地面找平用水泥砂浆</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91577">
            <w:pPr>
              <w:jc w:val="center"/>
              <w:rPr>
                <w:rFonts w:hint="default" w:ascii="仿宋" w:hAnsi="仿宋" w:eastAsia="仿宋" w:cs="仿宋"/>
                <w:i w:val="0"/>
                <w:iCs w:val="0"/>
                <w:color w:val="000000"/>
                <w:sz w:val="20"/>
                <w:szCs w:val="20"/>
                <w:u w:val="none"/>
              </w:rPr>
            </w:pPr>
          </w:p>
        </w:tc>
      </w:tr>
      <w:tr w14:paraId="0A0B9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1C01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67</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6008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地固剂</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E96F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刷地固剂</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327F2">
            <w:pPr>
              <w:jc w:val="center"/>
              <w:rPr>
                <w:rFonts w:hint="default" w:ascii="仿宋" w:hAnsi="仿宋" w:eastAsia="仿宋" w:cs="仿宋"/>
                <w:i w:val="0"/>
                <w:iCs w:val="0"/>
                <w:color w:val="000000"/>
                <w:sz w:val="20"/>
                <w:szCs w:val="20"/>
                <w:u w:val="none"/>
              </w:rPr>
            </w:pPr>
          </w:p>
        </w:tc>
      </w:tr>
      <w:tr w14:paraId="4495D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CFD2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68</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B0B6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定制不锈钢踢脚线</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A79C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不锈钢踢脚线，100mm高</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277E1">
            <w:pPr>
              <w:jc w:val="center"/>
              <w:rPr>
                <w:rFonts w:hint="default" w:ascii="仿宋" w:hAnsi="仿宋" w:eastAsia="仿宋" w:cs="仿宋"/>
                <w:i w:val="0"/>
                <w:iCs w:val="0"/>
                <w:color w:val="000000"/>
                <w:sz w:val="20"/>
                <w:szCs w:val="20"/>
                <w:u w:val="none"/>
              </w:rPr>
            </w:pPr>
          </w:p>
        </w:tc>
      </w:tr>
      <w:tr w14:paraId="30C41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2F23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69</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23B7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OA静电地板</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8012F">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OA静电地板</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30CF7">
            <w:pPr>
              <w:jc w:val="center"/>
              <w:rPr>
                <w:rFonts w:hint="default" w:ascii="仿宋" w:hAnsi="仿宋" w:eastAsia="仿宋" w:cs="仿宋"/>
                <w:i w:val="0"/>
                <w:iCs w:val="0"/>
                <w:color w:val="000000"/>
                <w:sz w:val="20"/>
                <w:szCs w:val="20"/>
                <w:u w:val="none"/>
              </w:rPr>
            </w:pPr>
          </w:p>
        </w:tc>
      </w:tr>
      <w:tr w14:paraId="630B4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1C08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70</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4E10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包塑软管</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3C47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1、地面强电线槽、地面线槽开口杯梳：</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2、DN32，引至地面包塑软管保护线缆；</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10E90">
            <w:pPr>
              <w:jc w:val="center"/>
              <w:rPr>
                <w:rFonts w:hint="default" w:ascii="仿宋" w:hAnsi="仿宋" w:eastAsia="仿宋" w:cs="仿宋"/>
                <w:i w:val="0"/>
                <w:iCs w:val="0"/>
                <w:color w:val="000000"/>
                <w:sz w:val="20"/>
                <w:szCs w:val="20"/>
                <w:u w:val="none"/>
              </w:rPr>
            </w:pPr>
          </w:p>
        </w:tc>
      </w:tr>
      <w:tr w14:paraId="33813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13C6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71</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F2172">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地毯</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B92A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地毯</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D651B">
            <w:pPr>
              <w:jc w:val="center"/>
              <w:rPr>
                <w:rFonts w:hint="default" w:ascii="仿宋" w:hAnsi="仿宋" w:eastAsia="仿宋" w:cs="仿宋"/>
                <w:i w:val="0"/>
                <w:iCs w:val="0"/>
                <w:color w:val="000000"/>
                <w:sz w:val="20"/>
                <w:szCs w:val="20"/>
                <w:u w:val="none"/>
              </w:rPr>
            </w:pPr>
          </w:p>
        </w:tc>
      </w:tr>
      <w:tr w14:paraId="59339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4CDA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72</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4B9A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铝合金L型型材</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BEA5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1、铝合金拉丝，L型收边条30*30；</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2、玻璃幕墙地面异造型包裹，嵌入地毯L型铝合金收边；</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3、梯级踏步边角包裹，嵌入地毯L型铝合金收边条；</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0C816">
            <w:pPr>
              <w:jc w:val="center"/>
              <w:rPr>
                <w:rFonts w:hint="default" w:ascii="仿宋" w:hAnsi="仿宋" w:eastAsia="仿宋" w:cs="仿宋"/>
                <w:i w:val="0"/>
                <w:iCs w:val="0"/>
                <w:color w:val="000000"/>
                <w:sz w:val="20"/>
                <w:szCs w:val="20"/>
                <w:u w:val="none"/>
              </w:rPr>
            </w:pPr>
          </w:p>
        </w:tc>
      </w:tr>
      <w:tr w14:paraId="69CD8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4E1F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73</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2591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照明配电箱</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99A1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含箱体、含空开（1个总空开、9个照明空开、9个插座空开）等。</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1697B">
            <w:pPr>
              <w:jc w:val="center"/>
              <w:rPr>
                <w:rFonts w:hint="default" w:ascii="仿宋" w:hAnsi="仿宋" w:eastAsia="仿宋" w:cs="仿宋"/>
                <w:i w:val="0"/>
                <w:iCs w:val="0"/>
                <w:color w:val="000000"/>
                <w:sz w:val="20"/>
                <w:szCs w:val="20"/>
                <w:u w:val="none"/>
              </w:rPr>
            </w:pPr>
          </w:p>
        </w:tc>
      </w:tr>
      <w:tr w14:paraId="7C775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6D19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74</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6759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LED灯盘（300*1200）</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F468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1、LED照射面积≥10-15（含）平米；</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2、控制方式：普通开关控制材质：铝合金；</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3、色温：冷光（5000K以上）；</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4、照明功率：30-40W</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4CAD4">
            <w:pPr>
              <w:jc w:val="center"/>
              <w:rPr>
                <w:rFonts w:hint="default" w:ascii="仿宋" w:hAnsi="仿宋" w:eastAsia="仿宋" w:cs="仿宋"/>
                <w:i w:val="0"/>
                <w:iCs w:val="0"/>
                <w:color w:val="000000"/>
                <w:sz w:val="20"/>
                <w:szCs w:val="20"/>
                <w:u w:val="none"/>
              </w:rPr>
            </w:pPr>
          </w:p>
        </w:tc>
      </w:tr>
      <w:tr w14:paraId="2F168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4F4B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75</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CAF8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照明配电电缆</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C0FF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WDZB-YJY-5×10mm2</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EA194">
            <w:pPr>
              <w:jc w:val="center"/>
              <w:rPr>
                <w:rFonts w:hint="default" w:ascii="仿宋" w:hAnsi="仿宋" w:eastAsia="仿宋" w:cs="仿宋"/>
                <w:i w:val="0"/>
                <w:iCs w:val="0"/>
                <w:color w:val="000000"/>
                <w:sz w:val="20"/>
                <w:szCs w:val="20"/>
                <w:u w:val="none"/>
              </w:rPr>
            </w:pPr>
          </w:p>
        </w:tc>
      </w:tr>
      <w:tr w14:paraId="67FE1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3741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76</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958F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照明插座电线</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C1E4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WDZB-BYJ-3×2.5mm</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26AB4">
            <w:pPr>
              <w:jc w:val="center"/>
              <w:rPr>
                <w:rFonts w:hint="default" w:ascii="仿宋" w:hAnsi="仿宋" w:eastAsia="仿宋" w:cs="仿宋"/>
                <w:i w:val="0"/>
                <w:iCs w:val="0"/>
                <w:color w:val="000000"/>
                <w:sz w:val="20"/>
                <w:szCs w:val="20"/>
                <w:u w:val="none"/>
              </w:rPr>
            </w:pPr>
          </w:p>
        </w:tc>
      </w:tr>
      <w:tr w14:paraId="78EAD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3B19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77</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FA97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照明大面板</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25142">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照明面板、86型、二开单控</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DC37B">
            <w:pPr>
              <w:jc w:val="center"/>
              <w:rPr>
                <w:rFonts w:hint="default" w:ascii="仿宋" w:hAnsi="仿宋" w:eastAsia="仿宋" w:cs="仿宋"/>
                <w:i w:val="0"/>
                <w:iCs w:val="0"/>
                <w:color w:val="000000"/>
                <w:sz w:val="20"/>
                <w:szCs w:val="20"/>
                <w:u w:val="none"/>
              </w:rPr>
            </w:pPr>
          </w:p>
        </w:tc>
      </w:tr>
      <w:tr w14:paraId="204EF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4FF6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78</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D614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六类非屏蔽双绞线</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F1A3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六类非屏蔽双绞线，305米/箱</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7563C">
            <w:pPr>
              <w:jc w:val="center"/>
              <w:rPr>
                <w:rFonts w:hint="default" w:ascii="仿宋" w:hAnsi="仿宋" w:eastAsia="仿宋" w:cs="仿宋"/>
                <w:i w:val="0"/>
                <w:iCs w:val="0"/>
                <w:color w:val="000000"/>
                <w:sz w:val="20"/>
                <w:szCs w:val="20"/>
                <w:u w:val="none"/>
              </w:rPr>
            </w:pPr>
          </w:p>
        </w:tc>
      </w:tr>
      <w:tr w14:paraId="62B7B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2DAB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79</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EB1B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定制镀锌线槽</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CE10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规格：MR100mm*100mm*1.0mm</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B3D17">
            <w:pPr>
              <w:jc w:val="center"/>
              <w:rPr>
                <w:rFonts w:hint="default" w:ascii="仿宋" w:hAnsi="仿宋" w:eastAsia="仿宋" w:cs="仿宋"/>
                <w:i w:val="0"/>
                <w:iCs w:val="0"/>
                <w:color w:val="000000"/>
                <w:sz w:val="20"/>
                <w:szCs w:val="20"/>
                <w:u w:val="none"/>
              </w:rPr>
            </w:pPr>
          </w:p>
        </w:tc>
      </w:tr>
      <w:tr w14:paraId="2A607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0507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80</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F270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定制双开木质门</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6DC2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双开木质门尺寸宽2000mm*高2400mm，门上方含宽2000mm*高700mm木质装饰板，含门框等配件。</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44C04">
            <w:pPr>
              <w:jc w:val="center"/>
              <w:rPr>
                <w:rFonts w:hint="default" w:ascii="仿宋" w:hAnsi="仿宋" w:eastAsia="仿宋" w:cs="仿宋"/>
                <w:i w:val="0"/>
                <w:iCs w:val="0"/>
                <w:color w:val="000000"/>
                <w:sz w:val="20"/>
                <w:szCs w:val="20"/>
                <w:u w:val="none"/>
              </w:rPr>
            </w:pPr>
          </w:p>
        </w:tc>
      </w:tr>
      <w:tr w14:paraId="0C11A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E1BA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81</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2C55F">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卡式嵌入式水冷空调天花机</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582C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卡式风机盘管MCKW1200W--额定制冷容量：11.9kw,</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额定制热容量：18kw,风量：高档≥2040m³/h、中档1680m³/h、低档1380m³/h。</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D4329">
            <w:pPr>
              <w:jc w:val="center"/>
              <w:rPr>
                <w:rFonts w:hint="default" w:ascii="仿宋" w:hAnsi="仿宋" w:eastAsia="仿宋" w:cs="仿宋"/>
                <w:i w:val="0"/>
                <w:iCs w:val="0"/>
                <w:color w:val="000000"/>
                <w:sz w:val="20"/>
                <w:szCs w:val="20"/>
                <w:u w:val="none"/>
              </w:rPr>
            </w:pPr>
          </w:p>
        </w:tc>
      </w:tr>
      <w:tr w14:paraId="5B458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5822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82</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5EE2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无缝钢管1</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8A6F9">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无缝钢管 DN80</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10952">
            <w:pPr>
              <w:jc w:val="center"/>
              <w:rPr>
                <w:rFonts w:hint="default" w:ascii="仿宋" w:hAnsi="仿宋" w:eastAsia="仿宋" w:cs="仿宋"/>
                <w:i w:val="0"/>
                <w:iCs w:val="0"/>
                <w:color w:val="000000"/>
                <w:sz w:val="20"/>
                <w:szCs w:val="20"/>
                <w:u w:val="none"/>
              </w:rPr>
            </w:pPr>
          </w:p>
        </w:tc>
      </w:tr>
      <w:tr w14:paraId="14649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4AE9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83</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CC40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保温棉</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E184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 B1橡塑保温棉;</w:t>
            </w:r>
            <w:r>
              <w:rPr>
                <w:rFonts w:hint="default" w:ascii="仿宋" w:hAnsi="仿宋" w:eastAsia="仿宋" w:cs="仿宋"/>
                <w:i w:val="0"/>
                <w:iCs w:val="0"/>
                <w:color w:val="000000"/>
                <w:kern w:val="0"/>
                <w:sz w:val="20"/>
                <w:szCs w:val="20"/>
                <w:u w:val="none"/>
                <w:lang w:val="en-US" w:eastAsia="zh-CN" w:bidi="ar"/>
              </w:rPr>
              <w:br w:type="textWrapping"/>
            </w:r>
            <w:r>
              <w:rPr>
                <w:rFonts w:hint="default" w:ascii="仿宋" w:hAnsi="仿宋" w:eastAsia="仿宋" w:cs="仿宋"/>
                <w:i w:val="0"/>
                <w:iCs w:val="0"/>
                <w:color w:val="000000"/>
                <w:kern w:val="0"/>
                <w:sz w:val="20"/>
                <w:szCs w:val="20"/>
                <w:u w:val="none"/>
                <w:lang w:val="en-US" w:eastAsia="zh-CN" w:bidi="ar"/>
              </w:rPr>
              <w:t>2、适用管径DN80/DN50/DN40/DN32/DN20)，厚度30mm</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F8E55">
            <w:pPr>
              <w:jc w:val="center"/>
              <w:rPr>
                <w:rFonts w:hint="default" w:ascii="仿宋" w:hAnsi="仿宋" w:eastAsia="仿宋" w:cs="仿宋"/>
                <w:i w:val="0"/>
                <w:iCs w:val="0"/>
                <w:color w:val="000000"/>
                <w:sz w:val="20"/>
                <w:szCs w:val="20"/>
                <w:u w:val="none"/>
              </w:rPr>
            </w:pPr>
          </w:p>
        </w:tc>
      </w:tr>
      <w:tr w14:paraId="18FF1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CF6B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84</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C544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无缝钢管2</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BB96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镀锌钢管 DN40</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9D994">
            <w:pPr>
              <w:jc w:val="center"/>
              <w:rPr>
                <w:rFonts w:hint="default" w:ascii="仿宋" w:hAnsi="仿宋" w:eastAsia="仿宋" w:cs="仿宋"/>
                <w:i w:val="0"/>
                <w:iCs w:val="0"/>
                <w:color w:val="000000"/>
                <w:sz w:val="20"/>
                <w:szCs w:val="20"/>
                <w:u w:val="none"/>
              </w:rPr>
            </w:pPr>
          </w:p>
        </w:tc>
      </w:tr>
      <w:tr w14:paraId="497ED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A41F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85</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5E319">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PCV-U冷凝水管1</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8233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PCV-U冷凝水管  DN50</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3E12C">
            <w:pPr>
              <w:jc w:val="center"/>
              <w:rPr>
                <w:rFonts w:hint="default" w:ascii="仿宋" w:hAnsi="仿宋" w:eastAsia="仿宋" w:cs="仿宋"/>
                <w:i w:val="0"/>
                <w:iCs w:val="0"/>
                <w:color w:val="000000"/>
                <w:sz w:val="20"/>
                <w:szCs w:val="20"/>
                <w:u w:val="none"/>
              </w:rPr>
            </w:pPr>
          </w:p>
        </w:tc>
      </w:tr>
      <w:tr w14:paraId="3C7DE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D7DA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86</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FF3C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PCV-U冷凝水管2</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4817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PCV-U冷凝水管  DN40</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D7F3F">
            <w:pPr>
              <w:jc w:val="center"/>
              <w:rPr>
                <w:rFonts w:hint="default" w:ascii="仿宋" w:hAnsi="仿宋" w:eastAsia="仿宋" w:cs="仿宋"/>
                <w:i w:val="0"/>
                <w:iCs w:val="0"/>
                <w:color w:val="000000"/>
                <w:sz w:val="20"/>
                <w:szCs w:val="20"/>
                <w:u w:val="none"/>
              </w:rPr>
            </w:pPr>
          </w:p>
        </w:tc>
      </w:tr>
      <w:tr w14:paraId="3550F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C4B1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87</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047B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PCV-U冷凝水管3</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8C8D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PCV-U冷凝水管 DN32</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700E7">
            <w:pPr>
              <w:jc w:val="center"/>
              <w:rPr>
                <w:rFonts w:hint="default" w:ascii="仿宋" w:hAnsi="仿宋" w:eastAsia="仿宋" w:cs="仿宋"/>
                <w:i w:val="0"/>
                <w:iCs w:val="0"/>
                <w:color w:val="000000"/>
                <w:sz w:val="20"/>
                <w:szCs w:val="20"/>
                <w:u w:val="none"/>
              </w:rPr>
            </w:pPr>
          </w:p>
        </w:tc>
      </w:tr>
      <w:tr w14:paraId="063AE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3CB2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88</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11932">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手动蝶阀</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C3DC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手动蝶阀：DN80</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23D2B">
            <w:pPr>
              <w:jc w:val="center"/>
              <w:rPr>
                <w:rFonts w:hint="default" w:ascii="仿宋" w:hAnsi="仿宋" w:eastAsia="仿宋" w:cs="仿宋"/>
                <w:i w:val="0"/>
                <w:iCs w:val="0"/>
                <w:color w:val="000000"/>
                <w:sz w:val="20"/>
                <w:szCs w:val="20"/>
                <w:u w:val="none"/>
              </w:rPr>
            </w:pPr>
          </w:p>
        </w:tc>
      </w:tr>
      <w:tr w14:paraId="78AF4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7600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89</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93CA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碳钢法兰1</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306D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碳钢法兰： DN50</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04B41">
            <w:pPr>
              <w:jc w:val="center"/>
              <w:rPr>
                <w:rFonts w:hint="default" w:ascii="仿宋" w:hAnsi="仿宋" w:eastAsia="仿宋" w:cs="仿宋"/>
                <w:i w:val="0"/>
                <w:iCs w:val="0"/>
                <w:color w:val="000000"/>
                <w:sz w:val="20"/>
                <w:szCs w:val="20"/>
                <w:u w:val="none"/>
              </w:rPr>
            </w:pPr>
          </w:p>
        </w:tc>
      </w:tr>
      <w:tr w14:paraId="569D6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0C59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90</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D8C2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铜闸阀</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4551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铜闸阀：DN20</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5FAB1">
            <w:pPr>
              <w:jc w:val="center"/>
              <w:rPr>
                <w:rFonts w:hint="default" w:ascii="仿宋" w:hAnsi="仿宋" w:eastAsia="仿宋" w:cs="仿宋"/>
                <w:i w:val="0"/>
                <w:iCs w:val="0"/>
                <w:color w:val="000000"/>
                <w:sz w:val="20"/>
                <w:szCs w:val="20"/>
                <w:u w:val="none"/>
              </w:rPr>
            </w:pPr>
          </w:p>
        </w:tc>
      </w:tr>
      <w:tr w14:paraId="20510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E9F8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91</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571D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碳钢法兰2</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230D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碳钢法兰： DN80</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DFA5C">
            <w:pPr>
              <w:jc w:val="center"/>
              <w:rPr>
                <w:rFonts w:hint="default" w:ascii="仿宋" w:hAnsi="仿宋" w:eastAsia="仿宋" w:cs="仿宋"/>
                <w:i w:val="0"/>
                <w:iCs w:val="0"/>
                <w:color w:val="000000"/>
                <w:sz w:val="20"/>
                <w:szCs w:val="20"/>
                <w:u w:val="none"/>
              </w:rPr>
            </w:pPr>
          </w:p>
        </w:tc>
      </w:tr>
      <w:tr w14:paraId="38C2B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3A82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92</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F5CD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碳钢法兰3</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2AB1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碳钢法兰： DN40</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ED954">
            <w:pPr>
              <w:jc w:val="center"/>
              <w:rPr>
                <w:rFonts w:hint="default" w:ascii="仿宋" w:hAnsi="仿宋" w:eastAsia="仿宋" w:cs="仿宋"/>
                <w:i w:val="0"/>
                <w:iCs w:val="0"/>
                <w:color w:val="000000"/>
                <w:sz w:val="20"/>
                <w:szCs w:val="20"/>
                <w:u w:val="none"/>
              </w:rPr>
            </w:pPr>
          </w:p>
        </w:tc>
      </w:tr>
      <w:tr w14:paraId="13C67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E44A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93</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00B0C">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 xml:space="preserve">电磁二通阀 </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D7C1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电磁二通阀 ：DN25</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82496">
            <w:pPr>
              <w:jc w:val="center"/>
              <w:rPr>
                <w:rFonts w:hint="default" w:ascii="仿宋" w:hAnsi="仿宋" w:eastAsia="仿宋" w:cs="仿宋"/>
                <w:i w:val="0"/>
                <w:iCs w:val="0"/>
                <w:color w:val="000000"/>
                <w:sz w:val="20"/>
                <w:szCs w:val="20"/>
                <w:u w:val="none"/>
              </w:rPr>
            </w:pPr>
          </w:p>
        </w:tc>
      </w:tr>
      <w:tr w14:paraId="1E24F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A003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94</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F5C4C">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 xml:space="preserve">温控器 </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C49B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液晶面板 ：AC8100</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1D417">
            <w:pPr>
              <w:jc w:val="center"/>
              <w:rPr>
                <w:rFonts w:hint="default" w:ascii="仿宋" w:hAnsi="仿宋" w:eastAsia="仿宋" w:cs="仿宋"/>
                <w:i w:val="0"/>
                <w:iCs w:val="0"/>
                <w:color w:val="000000"/>
                <w:sz w:val="20"/>
                <w:szCs w:val="20"/>
                <w:u w:val="none"/>
              </w:rPr>
            </w:pPr>
          </w:p>
        </w:tc>
      </w:tr>
      <w:tr w14:paraId="165CD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DB04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95</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3E74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不锈钢软接</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FD3E9">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设备与冷冻水管不锈钢软接：DN20</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4FDDC">
            <w:pPr>
              <w:jc w:val="center"/>
              <w:rPr>
                <w:rFonts w:hint="default" w:ascii="仿宋" w:hAnsi="仿宋" w:eastAsia="仿宋" w:cs="仿宋"/>
                <w:i w:val="0"/>
                <w:iCs w:val="0"/>
                <w:color w:val="000000"/>
                <w:sz w:val="20"/>
                <w:szCs w:val="20"/>
                <w:u w:val="none"/>
              </w:rPr>
            </w:pPr>
          </w:p>
        </w:tc>
      </w:tr>
      <w:tr w14:paraId="19D14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AD4B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96</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9A3C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控制电缆</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0DAF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空调末端控制电缆7*1.5</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38C39">
            <w:pPr>
              <w:jc w:val="center"/>
              <w:rPr>
                <w:rFonts w:hint="default" w:ascii="仿宋" w:hAnsi="仿宋" w:eastAsia="仿宋" w:cs="仿宋"/>
                <w:i w:val="0"/>
                <w:iCs w:val="0"/>
                <w:color w:val="000000"/>
                <w:sz w:val="20"/>
                <w:szCs w:val="20"/>
                <w:u w:val="none"/>
              </w:rPr>
            </w:pPr>
          </w:p>
        </w:tc>
      </w:tr>
      <w:tr w14:paraId="10DF9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DCBE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97</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7C39F">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排气阀</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A867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排气阀：DN25</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6D75A">
            <w:pPr>
              <w:jc w:val="center"/>
              <w:rPr>
                <w:rFonts w:hint="default" w:ascii="仿宋" w:hAnsi="仿宋" w:eastAsia="仿宋" w:cs="仿宋"/>
                <w:i w:val="0"/>
                <w:iCs w:val="0"/>
                <w:color w:val="000000"/>
                <w:sz w:val="20"/>
                <w:szCs w:val="20"/>
                <w:u w:val="none"/>
              </w:rPr>
            </w:pPr>
          </w:p>
        </w:tc>
      </w:tr>
      <w:tr w14:paraId="2A2D5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381A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98</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78E3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 xml:space="preserve">冷冻水管配件 </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D658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45度弯头\90度弯头\直通\变径三通\三通</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4517C">
            <w:pPr>
              <w:jc w:val="center"/>
              <w:rPr>
                <w:rFonts w:hint="default" w:ascii="仿宋" w:hAnsi="仿宋" w:eastAsia="仿宋" w:cs="仿宋"/>
                <w:i w:val="0"/>
                <w:iCs w:val="0"/>
                <w:color w:val="000000"/>
                <w:sz w:val="20"/>
                <w:szCs w:val="20"/>
                <w:u w:val="none"/>
              </w:rPr>
            </w:pPr>
          </w:p>
        </w:tc>
      </w:tr>
      <w:tr w14:paraId="5D42D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C8FF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99</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E7BA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 xml:space="preserve">PVC-U排水管配件 </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39EA9">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45度弯头\90度弯头\直通\变径三通\三通\PVC胶水</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DFD9D">
            <w:pPr>
              <w:jc w:val="center"/>
              <w:rPr>
                <w:rFonts w:hint="default" w:ascii="仿宋" w:hAnsi="仿宋" w:eastAsia="仿宋" w:cs="仿宋"/>
                <w:i w:val="0"/>
                <w:iCs w:val="0"/>
                <w:color w:val="000000"/>
                <w:sz w:val="20"/>
                <w:szCs w:val="20"/>
                <w:u w:val="none"/>
              </w:rPr>
            </w:pPr>
          </w:p>
        </w:tc>
      </w:tr>
      <w:tr w14:paraId="7EB4A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094D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100</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610D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冷冻水管吊架</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A749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冷冻水管支架制作安装 支架、吊架、托架</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12ECA">
            <w:pPr>
              <w:jc w:val="center"/>
              <w:rPr>
                <w:rFonts w:hint="default" w:ascii="仿宋" w:hAnsi="仿宋" w:eastAsia="仿宋" w:cs="仿宋"/>
                <w:i w:val="0"/>
                <w:iCs w:val="0"/>
                <w:color w:val="000000"/>
                <w:sz w:val="20"/>
                <w:szCs w:val="20"/>
                <w:u w:val="none"/>
              </w:rPr>
            </w:pPr>
          </w:p>
        </w:tc>
      </w:tr>
      <w:tr w14:paraId="565CA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7FA9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101</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0D75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直通变径1</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3DF5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直通变径DN80变DN50</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F1029">
            <w:pPr>
              <w:jc w:val="center"/>
              <w:rPr>
                <w:rFonts w:hint="default" w:ascii="仿宋" w:hAnsi="仿宋" w:eastAsia="仿宋" w:cs="仿宋"/>
                <w:i w:val="0"/>
                <w:iCs w:val="0"/>
                <w:color w:val="000000"/>
                <w:sz w:val="20"/>
                <w:szCs w:val="20"/>
                <w:u w:val="none"/>
              </w:rPr>
            </w:pPr>
          </w:p>
        </w:tc>
      </w:tr>
      <w:tr w14:paraId="5F6DA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3996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102</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386F3">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直通变径2</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F784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直通变径DN80变DN40</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445B5">
            <w:pPr>
              <w:jc w:val="center"/>
              <w:rPr>
                <w:rFonts w:hint="default" w:ascii="仿宋" w:hAnsi="仿宋" w:eastAsia="仿宋" w:cs="仿宋"/>
                <w:i w:val="0"/>
                <w:iCs w:val="0"/>
                <w:color w:val="000000"/>
                <w:sz w:val="20"/>
                <w:szCs w:val="20"/>
                <w:u w:val="none"/>
              </w:rPr>
            </w:pPr>
          </w:p>
        </w:tc>
      </w:tr>
      <w:tr w14:paraId="27BD6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CE6C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103</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B238F">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直通变径3</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5609C">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直通变径DN50变DN40</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62B8F">
            <w:pPr>
              <w:jc w:val="center"/>
              <w:rPr>
                <w:rFonts w:hint="default" w:ascii="仿宋" w:hAnsi="仿宋" w:eastAsia="仿宋" w:cs="仿宋"/>
                <w:i w:val="0"/>
                <w:iCs w:val="0"/>
                <w:color w:val="000000"/>
                <w:sz w:val="20"/>
                <w:szCs w:val="20"/>
                <w:u w:val="none"/>
              </w:rPr>
            </w:pPr>
          </w:p>
        </w:tc>
      </w:tr>
      <w:tr w14:paraId="3C017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132F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104</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07E9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空调钢管1</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DFA8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DN50</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5C8E4">
            <w:pPr>
              <w:jc w:val="center"/>
              <w:rPr>
                <w:rFonts w:hint="default" w:ascii="仿宋" w:hAnsi="仿宋" w:eastAsia="仿宋" w:cs="仿宋"/>
                <w:i w:val="0"/>
                <w:iCs w:val="0"/>
                <w:color w:val="000000"/>
                <w:sz w:val="20"/>
                <w:szCs w:val="20"/>
                <w:u w:val="none"/>
              </w:rPr>
            </w:pPr>
          </w:p>
        </w:tc>
      </w:tr>
      <w:tr w14:paraId="4FD79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D08A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105</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7923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空调钢管2</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84182">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DN32</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A105E">
            <w:pPr>
              <w:jc w:val="center"/>
              <w:rPr>
                <w:rFonts w:hint="default" w:ascii="仿宋" w:hAnsi="仿宋" w:eastAsia="仿宋" w:cs="仿宋"/>
                <w:i w:val="0"/>
                <w:iCs w:val="0"/>
                <w:color w:val="000000"/>
                <w:sz w:val="20"/>
                <w:szCs w:val="20"/>
                <w:u w:val="none"/>
              </w:rPr>
            </w:pPr>
          </w:p>
        </w:tc>
      </w:tr>
      <w:tr w14:paraId="6E00E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12D0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106</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E007C">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空调钢管3</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9029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DN25</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1FFC0">
            <w:pPr>
              <w:jc w:val="center"/>
              <w:rPr>
                <w:rFonts w:hint="default" w:ascii="仿宋" w:hAnsi="仿宋" w:eastAsia="仿宋" w:cs="仿宋"/>
                <w:i w:val="0"/>
                <w:iCs w:val="0"/>
                <w:color w:val="000000"/>
                <w:sz w:val="20"/>
                <w:szCs w:val="20"/>
                <w:u w:val="none"/>
              </w:rPr>
            </w:pPr>
          </w:p>
        </w:tc>
      </w:tr>
      <w:tr w14:paraId="75F1D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9240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107</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48EB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空调配电箱</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C771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含箱体、含空开（1个总空开、6个空调空开、2个备用空开）等。</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38BAF">
            <w:pPr>
              <w:jc w:val="center"/>
              <w:rPr>
                <w:rFonts w:hint="default" w:ascii="仿宋" w:hAnsi="仿宋" w:eastAsia="仿宋" w:cs="仿宋"/>
                <w:i w:val="0"/>
                <w:iCs w:val="0"/>
                <w:color w:val="000000"/>
                <w:sz w:val="20"/>
                <w:szCs w:val="20"/>
                <w:u w:val="none"/>
              </w:rPr>
            </w:pPr>
          </w:p>
        </w:tc>
      </w:tr>
      <w:tr w14:paraId="60F78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8FF5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108</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0ACEF">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24口千兆网络交换机</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8F119">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24口千兆网络交换机,含24个千兆电口、2个千兆光口、配置2个千兆光模块、含原配跳纤</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7500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接入原华三系统，按现场需求配置</w:t>
            </w:r>
          </w:p>
        </w:tc>
      </w:tr>
      <w:tr w14:paraId="6B633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DDF4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109</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18CF9">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堆叠卡</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CF48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 xml:space="preserve">堆叠卡 </w:t>
            </w:r>
          </w:p>
        </w:tc>
        <w:tc>
          <w:tcPr>
            <w:tcW w:w="8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7727D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接入原华三系统，按现场需求配置</w:t>
            </w:r>
          </w:p>
        </w:tc>
      </w:tr>
      <w:tr w14:paraId="59313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D8D1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110</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E080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堆叠线</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AA2B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堆叠线缆</w:t>
            </w:r>
          </w:p>
        </w:tc>
        <w:tc>
          <w:tcPr>
            <w:tcW w:w="8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07D04">
            <w:pPr>
              <w:jc w:val="center"/>
              <w:rPr>
                <w:rFonts w:hint="default" w:ascii="仿宋" w:hAnsi="仿宋" w:eastAsia="仿宋" w:cs="仿宋"/>
                <w:i w:val="0"/>
                <w:iCs w:val="0"/>
                <w:color w:val="000000"/>
                <w:sz w:val="20"/>
                <w:szCs w:val="20"/>
                <w:u w:val="none"/>
              </w:rPr>
            </w:pPr>
          </w:p>
        </w:tc>
      </w:tr>
      <w:tr w14:paraId="61703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1BE9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111</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8B17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镀锌线槽</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C658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规格：MR100mm*100mm*1.0mm</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BF977">
            <w:pPr>
              <w:jc w:val="center"/>
              <w:rPr>
                <w:rFonts w:hint="default" w:ascii="仿宋" w:hAnsi="仿宋" w:eastAsia="仿宋" w:cs="仿宋"/>
                <w:i w:val="0"/>
                <w:iCs w:val="0"/>
                <w:color w:val="000000"/>
                <w:sz w:val="20"/>
                <w:szCs w:val="20"/>
                <w:u w:val="none"/>
              </w:rPr>
            </w:pPr>
          </w:p>
        </w:tc>
      </w:tr>
      <w:tr w14:paraId="2909F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8E69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112</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E9139">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电插锁2</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F3B1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定制</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7B570">
            <w:pPr>
              <w:jc w:val="center"/>
              <w:rPr>
                <w:rFonts w:hint="default" w:ascii="仿宋" w:hAnsi="仿宋" w:eastAsia="仿宋" w:cs="仿宋"/>
                <w:i w:val="0"/>
                <w:iCs w:val="0"/>
                <w:color w:val="000000"/>
                <w:sz w:val="20"/>
                <w:szCs w:val="20"/>
                <w:u w:val="none"/>
              </w:rPr>
            </w:pPr>
          </w:p>
        </w:tc>
      </w:tr>
      <w:tr w14:paraId="59CEC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D346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113</w:t>
            </w:r>
          </w:p>
        </w:tc>
        <w:tc>
          <w:tcPr>
            <w:tcW w:w="8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67422">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开门按钮2</w:t>
            </w:r>
          </w:p>
        </w:tc>
        <w:tc>
          <w:tcPr>
            <w:tcW w:w="2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C9AC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86型开门按钮</w:t>
            </w:r>
          </w:p>
        </w:tc>
        <w:tc>
          <w:tcPr>
            <w:tcW w:w="8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83789">
            <w:pPr>
              <w:jc w:val="center"/>
              <w:rPr>
                <w:rFonts w:hint="default" w:ascii="仿宋" w:hAnsi="仿宋" w:eastAsia="仿宋" w:cs="仿宋"/>
                <w:i w:val="0"/>
                <w:iCs w:val="0"/>
                <w:color w:val="000000"/>
                <w:sz w:val="20"/>
                <w:szCs w:val="20"/>
                <w:u w:val="none"/>
              </w:rPr>
            </w:pPr>
          </w:p>
        </w:tc>
      </w:tr>
    </w:tbl>
    <w:p w14:paraId="534D5C2C">
      <w:pPr>
        <w:rPr>
          <w:rFonts w:hint="eastAsia"/>
        </w:rPr>
      </w:pPr>
    </w:p>
    <w:p w14:paraId="4AB1F349">
      <w:pPr>
        <w:rPr>
          <w:rFonts w:hint="eastAsia" w:ascii="宋体" w:hAnsi="宋体" w:cs="宋体"/>
        </w:rPr>
      </w:pPr>
      <w:bookmarkStart w:id="27" w:name="_Toc25091"/>
    </w:p>
    <w:p w14:paraId="1C4CFE87">
      <w:pPr>
        <w:rPr>
          <w:rFonts w:hint="eastAsia" w:ascii="宋体" w:hAnsi="宋体" w:cs="宋体"/>
        </w:rPr>
      </w:pPr>
    </w:p>
    <w:p w14:paraId="2DA41101">
      <w:pPr>
        <w:rPr>
          <w:rFonts w:hint="eastAsia" w:ascii="宋体" w:hAnsi="宋体" w:cs="宋体"/>
        </w:rPr>
      </w:pPr>
    </w:p>
    <w:p w14:paraId="48DD061F">
      <w:pPr>
        <w:rPr>
          <w:rFonts w:hint="eastAsia" w:ascii="宋体" w:hAnsi="宋体" w:cs="宋体"/>
        </w:rPr>
      </w:pPr>
    </w:p>
    <w:p w14:paraId="1E15AE8B">
      <w:pPr>
        <w:rPr>
          <w:rFonts w:hint="eastAsia" w:ascii="宋体" w:hAnsi="宋体" w:cs="宋体"/>
        </w:rPr>
      </w:pPr>
    </w:p>
    <w:p w14:paraId="5015D4F2">
      <w:pPr>
        <w:pStyle w:val="11"/>
        <w:spacing w:before="0" w:after="0" w:line="360" w:lineRule="auto"/>
        <w:jc w:val="left"/>
        <w:rPr>
          <w:rFonts w:hint="eastAsia" w:ascii="宋体" w:hAnsi="宋体" w:cs="宋体"/>
        </w:rPr>
      </w:pPr>
      <w:r>
        <w:rPr>
          <w:rFonts w:hint="eastAsia" w:ascii="宋体" w:hAnsi="宋体" w:cs="宋体"/>
        </w:rPr>
        <w:t>4、包装、运输、贮存和质量保证</w:t>
      </w:r>
      <w:bookmarkEnd w:id="27"/>
    </w:p>
    <w:p w14:paraId="20FDCFD9">
      <w:pPr>
        <w:spacing w:line="360" w:lineRule="auto"/>
        <w:ind w:firstLine="480" w:firstLineChars="200"/>
        <w:rPr>
          <w:rFonts w:hint="eastAsia" w:ascii="宋体" w:hAnsi="宋体" w:cs="宋体"/>
          <w:sz w:val="24"/>
          <w:szCs w:val="24"/>
        </w:rPr>
      </w:pPr>
      <w:r>
        <w:rPr>
          <w:rFonts w:hint="eastAsia" w:ascii="宋体" w:hAnsi="宋体" w:cs="宋体"/>
          <w:sz w:val="24"/>
          <w:szCs w:val="24"/>
        </w:rPr>
        <w:t>1、材料、设备制造完成并通过试验后应及时包装，否则应得到切实的保护，确保其不受污损。</w:t>
      </w:r>
    </w:p>
    <w:p w14:paraId="1FC91D21">
      <w:pPr>
        <w:spacing w:line="360" w:lineRule="auto"/>
        <w:ind w:firstLine="480" w:firstLineChars="200"/>
        <w:rPr>
          <w:rFonts w:hint="eastAsia" w:ascii="宋体" w:hAnsi="宋体" w:cs="宋体"/>
          <w:sz w:val="24"/>
          <w:szCs w:val="24"/>
        </w:rPr>
      </w:pPr>
      <w:r>
        <w:rPr>
          <w:rFonts w:hint="eastAsia" w:ascii="宋体" w:hAnsi="宋体" w:cs="宋体"/>
          <w:sz w:val="24"/>
          <w:szCs w:val="24"/>
        </w:rPr>
        <w:t>2、所有部件经妥善包装或装箱后，运输过程中尚应采取其它防护措施，以免散失损坏或被盗。</w:t>
      </w:r>
    </w:p>
    <w:p w14:paraId="3F549C29">
      <w:pPr>
        <w:spacing w:line="360" w:lineRule="auto"/>
        <w:ind w:firstLine="480" w:firstLineChars="200"/>
        <w:rPr>
          <w:rFonts w:hint="eastAsia" w:ascii="宋体" w:hAnsi="宋体" w:cs="宋体"/>
          <w:sz w:val="24"/>
          <w:szCs w:val="24"/>
        </w:rPr>
      </w:pPr>
      <w:r>
        <w:rPr>
          <w:rFonts w:hint="eastAsia" w:ascii="宋体" w:hAnsi="宋体" w:cs="宋体"/>
          <w:sz w:val="24"/>
          <w:szCs w:val="24"/>
        </w:rPr>
        <w:t>3、在包装箱外应标明需方的订货号、发货号。</w:t>
      </w:r>
    </w:p>
    <w:p w14:paraId="76E8D133">
      <w:pPr>
        <w:spacing w:line="360" w:lineRule="auto"/>
        <w:ind w:firstLine="480" w:firstLineChars="200"/>
        <w:rPr>
          <w:rFonts w:hint="eastAsia" w:ascii="宋体" w:hAnsi="宋体" w:cs="宋体"/>
          <w:sz w:val="24"/>
          <w:szCs w:val="24"/>
        </w:rPr>
      </w:pPr>
      <w:r>
        <w:rPr>
          <w:rFonts w:hint="eastAsia" w:ascii="宋体" w:hAnsi="宋体" w:cs="宋体"/>
          <w:sz w:val="24"/>
          <w:szCs w:val="24"/>
        </w:rPr>
        <w:t>4、各种包装应能确保各零部件在运输过程中不致遭到损坏、丢失、变形、受潮和腐蚀。</w:t>
      </w:r>
    </w:p>
    <w:p w14:paraId="196F3192">
      <w:pPr>
        <w:spacing w:line="360" w:lineRule="auto"/>
        <w:ind w:firstLine="480" w:firstLineChars="200"/>
        <w:rPr>
          <w:rFonts w:hint="eastAsia" w:ascii="宋体" w:hAnsi="宋体" w:cs="宋体"/>
          <w:sz w:val="24"/>
          <w:szCs w:val="24"/>
        </w:rPr>
      </w:pPr>
      <w:r>
        <w:rPr>
          <w:rFonts w:hint="eastAsia" w:ascii="宋体" w:hAnsi="宋体" w:cs="宋体"/>
          <w:sz w:val="24"/>
          <w:szCs w:val="24"/>
        </w:rPr>
        <w:t>5、包装箱上应有明显的包装储运图示标志(按GB191)。</w:t>
      </w:r>
    </w:p>
    <w:p w14:paraId="42D5245A">
      <w:pPr>
        <w:spacing w:line="360" w:lineRule="auto"/>
        <w:ind w:firstLine="480" w:firstLineChars="200"/>
        <w:rPr>
          <w:rFonts w:hint="eastAsia" w:ascii="宋体" w:hAnsi="宋体" w:cs="宋体"/>
          <w:sz w:val="24"/>
          <w:szCs w:val="24"/>
        </w:rPr>
      </w:pPr>
      <w:r>
        <w:rPr>
          <w:rFonts w:hint="eastAsia" w:ascii="宋体" w:hAnsi="宋体" w:cs="宋体"/>
          <w:sz w:val="24"/>
          <w:szCs w:val="24"/>
        </w:rPr>
        <w:t>6、整体产品或分别运输的部件都要适合运输和装载的要求。</w:t>
      </w:r>
    </w:p>
    <w:p w14:paraId="00C39E7D">
      <w:pPr>
        <w:spacing w:line="360" w:lineRule="auto"/>
        <w:ind w:firstLine="480" w:firstLineChars="200"/>
        <w:rPr>
          <w:rFonts w:hint="eastAsia" w:ascii="宋体" w:hAnsi="宋体" w:cs="宋体"/>
          <w:sz w:val="24"/>
          <w:szCs w:val="24"/>
        </w:rPr>
      </w:pPr>
      <w:r>
        <w:rPr>
          <w:rFonts w:hint="eastAsia" w:ascii="宋体" w:hAnsi="宋体" w:cs="宋体"/>
          <w:sz w:val="24"/>
          <w:szCs w:val="24"/>
        </w:rPr>
        <w:t>7、随产品提供的技术资料应完整无缺，提供份额符合GB11032的要求。</w:t>
      </w:r>
    </w:p>
    <w:p w14:paraId="78C7FA72">
      <w:pPr>
        <w:spacing w:line="360" w:lineRule="auto"/>
        <w:ind w:firstLine="480" w:firstLineChars="200"/>
        <w:rPr>
          <w:rFonts w:hint="eastAsia" w:ascii="宋体" w:hAnsi="宋体" w:cs="宋体"/>
          <w:sz w:val="24"/>
          <w:szCs w:val="24"/>
        </w:rPr>
      </w:pPr>
      <w:r>
        <w:rPr>
          <w:rFonts w:hint="eastAsia" w:ascii="宋体" w:hAnsi="宋体" w:cs="宋体"/>
          <w:sz w:val="24"/>
          <w:szCs w:val="24"/>
        </w:rPr>
        <w:t>8、包装、运输和贮存均由投标方负责，运输的目的地为安装地点，设备抵达目的地后，投标方组织开箱验收。如果发现任一设备有偏差、损坏、损失、遗漏或数量、质量、技术规范因投标方的责任与合同不符，招标方有权向投标方提出索赔。</w:t>
      </w:r>
    </w:p>
    <w:p w14:paraId="77EB6B3E">
      <w:pPr>
        <w:spacing w:line="360" w:lineRule="auto"/>
        <w:ind w:firstLine="480" w:firstLineChars="200"/>
        <w:rPr>
          <w:rFonts w:hint="eastAsia" w:ascii="宋体" w:hAnsi="宋体" w:cs="宋体"/>
          <w:sz w:val="24"/>
          <w:szCs w:val="24"/>
        </w:rPr>
      </w:pPr>
      <w:r>
        <w:rPr>
          <w:rFonts w:hint="eastAsia" w:ascii="宋体" w:hAnsi="宋体" w:cs="宋体"/>
          <w:sz w:val="24"/>
          <w:szCs w:val="24"/>
        </w:rPr>
        <w:t>9、订购的新产品除应满足本条件书外，投标方还应提供产品的合格证书。</w:t>
      </w:r>
    </w:p>
    <w:p w14:paraId="631AB65B">
      <w:pPr>
        <w:spacing w:line="360" w:lineRule="auto"/>
        <w:ind w:firstLine="480" w:firstLineChars="200"/>
        <w:rPr>
          <w:rFonts w:hint="eastAsia" w:ascii="宋体" w:hAnsi="宋体" w:cs="宋体"/>
          <w:sz w:val="24"/>
          <w:szCs w:val="24"/>
        </w:rPr>
      </w:pPr>
      <w:r>
        <w:rPr>
          <w:rFonts w:hint="eastAsia" w:ascii="宋体" w:hAnsi="宋体" w:cs="宋体"/>
          <w:sz w:val="24"/>
          <w:szCs w:val="24"/>
        </w:rPr>
        <w:t>10、投标方应保证制造过程中的所有工艺、材料等（包括投标方的外构件在内）均应符合规范书的规定。若招标方根据运行经验指定投标方提供某种外购零部件，投标方应积极配合。</w:t>
      </w:r>
    </w:p>
    <w:p w14:paraId="1207396C">
      <w:pPr>
        <w:pStyle w:val="12"/>
        <w:ind w:left="400"/>
        <w:rPr>
          <w:rFonts w:hint="eastAsia" w:ascii="宋体" w:hAnsi="宋体" w:cs="宋体"/>
          <w:sz w:val="24"/>
          <w:szCs w:val="24"/>
        </w:rPr>
      </w:pPr>
      <w:r>
        <w:rPr>
          <w:rFonts w:hint="eastAsia" w:ascii="宋体" w:hAnsi="宋体" w:cs="宋体"/>
          <w:sz w:val="24"/>
          <w:szCs w:val="24"/>
        </w:rPr>
        <w:t>11、投标方应遵守本条件书中各条款和工作项目的ISO9000 GB/T1900 质量保证体系，该质量保证体系经过国家认证和正常运转。</w:t>
      </w:r>
    </w:p>
    <w:p w14:paraId="35315116">
      <w:pPr>
        <w:pStyle w:val="12"/>
        <w:ind w:left="400"/>
        <w:rPr>
          <w:rFonts w:hint="eastAsia" w:ascii="宋体" w:hAnsi="宋体" w:cs="宋体"/>
          <w:sz w:val="24"/>
          <w:szCs w:val="24"/>
        </w:rPr>
      </w:pPr>
    </w:p>
    <w:p w14:paraId="28259B51">
      <w:pPr>
        <w:pStyle w:val="11"/>
        <w:spacing w:before="0" w:after="0" w:line="360" w:lineRule="auto"/>
        <w:jc w:val="left"/>
        <w:rPr>
          <w:rFonts w:hint="eastAsia" w:ascii="宋体" w:hAnsi="宋体" w:cs="宋体"/>
        </w:rPr>
      </w:pPr>
      <w:bookmarkStart w:id="28" w:name="_Toc8656"/>
      <w:bookmarkStart w:id="29" w:name="_Toc4573"/>
      <w:r>
        <w:rPr>
          <w:rFonts w:hint="eastAsia" w:ascii="宋体" w:hAnsi="宋体" w:cs="宋体"/>
        </w:rPr>
        <w:t>5.供货范围</w:t>
      </w:r>
      <w:bookmarkEnd w:id="28"/>
      <w:bookmarkEnd w:id="29"/>
    </w:p>
    <w:p w14:paraId="1CF891AD">
      <w:pPr>
        <w:pStyle w:val="10"/>
        <w:ind w:firstLine="482" w:firstLineChars="200"/>
        <w:jc w:val="both"/>
        <w:outlineLvl w:val="1"/>
        <w:rPr>
          <w:rFonts w:hint="eastAsia" w:ascii="宋体" w:hAnsi="宋体" w:cs="宋体"/>
          <w:b/>
          <w:bCs/>
        </w:rPr>
      </w:pPr>
      <w:bookmarkStart w:id="30" w:name="_Toc31034"/>
      <w:bookmarkStart w:id="31" w:name="_Toc144130743"/>
      <w:bookmarkStart w:id="32" w:name="_Toc158522109"/>
      <w:bookmarkStart w:id="33" w:name="_Toc82166590"/>
      <w:bookmarkStart w:id="34" w:name="_Toc81280740"/>
      <w:bookmarkStart w:id="35" w:name="_Toc64999651"/>
      <w:bookmarkStart w:id="36" w:name="_Toc407417359"/>
      <w:bookmarkStart w:id="37" w:name="_Toc535231678"/>
      <w:bookmarkStart w:id="38" w:name="_Toc407982394"/>
      <w:bookmarkStart w:id="39" w:name="_Toc65987665"/>
      <w:bookmarkStart w:id="40" w:name="_Toc64999091"/>
      <w:bookmarkStart w:id="41" w:name="_Toc407415872"/>
      <w:bookmarkStart w:id="42" w:name="_Toc82166588"/>
      <w:bookmarkStart w:id="43" w:name="_Toc158522111"/>
      <w:r>
        <w:rPr>
          <w:rFonts w:hint="eastAsia" w:ascii="宋体" w:hAnsi="宋体" w:cs="宋体"/>
          <w:b/>
          <w:bCs/>
        </w:rPr>
        <w:t>5.1、一般要求</w:t>
      </w:r>
      <w:bookmarkEnd w:id="30"/>
      <w:bookmarkEnd w:id="31"/>
    </w:p>
    <w:p w14:paraId="66A069FC">
      <w:pPr>
        <w:pStyle w:val="10"/>
        <w:ind w:firstLine="480" w:firstLineChars="200"/>
        <w:jc w:val="both"/>
        <w:rPr>
          <w:rFonts w:hint="eastAsia" w:ascii="宋体" w:hAnsi="宋体" w:cs="宋体"/>
        </w:rPr>
      </w:pPr>
      <w:r>
        <w:rPr>
          <w:rFonts w:hint="eastAsia" w:ascii="宋体" w:hAnsi="宋体" w:cs="宋体"/>
        </w:rPr>
        <w:t>投标方应根据以下供货范围一览表进行供货，为确保工程整体效果，在不改变其它功能要求情况下，投标方应补充清单中遗漏的产品。</w:t>
      </w:r>
    </w:p>
    <w:p w14:paraId="6457AA35">
      <w:pPr>
        <w:pStyle w:val="10"/>
        <w:ind w:firstLine="480" w:firstLineChars="200"/>
        <w:jc w:val="both"/>
        <w:rPr>
          <w:rFonts w:hint="eastAsia" w:ascii="宋体" w:hAnsi="宋体" w:cs="宋体"/>
        </w:rPr>
      </w:pPr>
      <w:r>
        <w:rPr>
          <w:rFonts w:hint="eastAsia" w:ascii="宋体" w:hAnsi="宋体" w:cs="宋体"/>
        </w:rPr>
        <w:t>投标方可根据总体功能进行方案优化，对优化方案进行报价作为招标方参考。</w:t>
      </w:r>
    </w:p>
    <w:p w14:paraId="0A8FD008">
      <w:pPr>
        <w:pStyle w:val="10"/>
        <w:ind w:firstLine="480" w:firstLineChars="200"/>
        <w:jc w:val="both"/>
        <w:rPr>
          <w:rFonts w:hint="eastAsia" w:ascii="宋体" w:hAnsi="宋体" w:cs="宋体"/>
        </w:rPr>
      </w:pPr>
      <w:r>
        <w:rPr>
          <w:rFonts w:hint="eastAsia" w:ascii="宋体" w:hAnsi="宋体" w:cs="宋体"/>
        </w:rPr>
        <w:t>投标方提供的设备应包含所有安装的辅助材料，投标方可根据功能及现场情况确定材料的多少。</w:t>
      </w:r>
    </w:p>
    <w:p w14:paraId="7C4BC345">
      <w:pPr>
        <w:pStyle w:val="10"/>
        <w:ind w:firstLine="480" w:firstLineChars="200"/>
        <w:jc w:val="both"/>
        <w:rPr>
          <w:rFonts w:hint="eastAsia" w:ascii="宋体" w:hAnsi="宋体" w:cs="宋体"/>
        </w:rPr>
      </w:pPr>
      <w:r>
        <w:rPr>
          <w:rFonts w:hint="eastAsia" w:ascii="宋体" w:hAnsi="宋体" w:cs="宋体"/>
        </w:rPr>
        <w:t>为确保方案整体功能的完整性，投标方可根据实际需要增加或减少所必须的设备和材料，但必须对原有方案进行详细说明。若出现功能性的差异，投标方在中标后应无条件免费补充。</w:t>
      </w:r>
    </w:p>
    <w:p w14:paraId="489D850B">
      <w:pPr>
        <w:pStyle w:val="10"/>
        <w:ind w:firstLine="480" w:firstLineChars="200"/>
        <w:jc w:val="both"/>
        <w:rPr>
          <w:rFonts w:hint="eastAsia" w:ascii="宋体" w:hAnsi="宋体" w:cs="宋体"/>
        </w:rPr>
      </w:pPr>
      <w:r>
        <w:rPr>
          <w:rFonts w:hint="eastAsia" w:ascii="宋体" w:hAnsi="宋体" w:cs="宋体"/>
        </w:rPr>
        <w:t>投标方所报设备价格包括了相应的材料、设备运输、技术支持费用。</w:t>
      </w:r>
      <w:bookmarkStart w:id="44" w:name="_Toc144130744"/>
    </w:p>
    <w:p w14:paraId="0FFCFC28">
      <w:pPr>
        <w:pStyle w:val="10"/>
        <w:ind w:firstLine="482" w:firstLineChars="200"/>
        <w:jc w:val="both"/>
        <w:outlineLvl w:val="1"/>
      </w:pPr>
      <w:bookmarkStart w:id="45" w:name="_Toc14245"/>
      <w:r>
        <w:rPr>
          <w:rFonts w:hint="eastAsia" w:ascii="宋体" w:hAnsi="宋体" w:cs="宋体"/>
          <w:b/>
          <w:bCs/>
        </w:rPr>
        <w:t>5.2、供货范围</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Start w:id="46" w:name="_Toc139425920"/>
      <w:bookmarkStart w:id="47" w:name="_Toc164012999"/>
      <w:r>
        <w:rPr>
          <w:rFonts w:hint="eastAsia" w:ascii="宋体" w:hAnsi="宋体" w:cs="宋体"/>
          <w:b/>
          <w:bCs/>
        </w:rPr>
        <w:t>一览表</w:t>
      </w:r>
    </w:p>
    <w:bookmarkEnd w:id="2"/>
    <w:bookmarkEnd w:id="3"/>
    <w:bookmarkEnd w:id="4"/>
    <w:bookmarkEnd w:id="5"/>
    <w:bookmarkEnd w:id="6"/>
    <w:bookmarkEnd w:id="7"/>
    <w:bookmarkEnd w:id="8"/>
    <w:bookmarkEnd w:id="9"/>
    <w:bookmarkEnd w:id="10"/>
    <w:bookmarkEnd w:id="11"/>
    <w:bookmarkEnd w:id="12"/>
    <w:bookmarkEnd w:id="46"/>
    <w:bookmarkEnd w:id="47"/>
    <w:p w14:paraId="5BD10734">
      <w:pPr>
        <w:ind w:firstLine="720" w:firstLineChars="300"/>
        <w:rPr>
          <w:b/>
          <w:bCs/>
          <w:sz w:val="24"/>
          <w:szCs w:val="24"/>
        </w:rPr>
      </w:pPr>
      <w:r>
        <w:rPr>
          <w:rFonts w:hint="eastAsia"/>
          <w:sz w:val="24"/>
          <w:szCs w:val="24"/>
        </w:rPr>
        <w:t>5.21、标包1：</w:t>
      </w:r>
      <w:r>
        <w:rPr>
          <w:rFonts w:hint="eastAsia"/>
          <w:sz w:val="24"/>
          <w:szCs w:val="24"/>
          <w:lang w:eastAsia="zh-CN"/>
        </w:rPr>
        <w:t>广东电力通信科技有限公司2026年广州地区、佛山地区办公楼设备改造专项物资采购</w:t>
      </w:r>
      <w:r>
        <w:rPr>
          <w:rFonts w:hint="eastAsia"/>
          <w:b/>
          <w:bCs/>
          <w:sz w:val="24"/>
          <w:szCs w:val="24"/>
        </w:rPr>
        <w:t>供货范围一览表：</w:t>
      </w:r>
    </w:p>
    <w:tbl>
      <w:tblPr>
        <w:tblStyle w:val="24"/>
        <w:tblW w:w="9177"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30"/>
        <w:gridCol w:w="3576"/>
        <w:gridCol w:w="2321"/>
        <w:gridCol w:w="2250"/>
      </w:tblGrid>
      <w:tr w14:paraId="63737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88737">
            <w:pPr>
              <w:keepNext w:val="0"/>
              <w:keepLines w:val="0"/>
              <w:widowControl/>
              <w:suppressLineNumbers w:val="0"/>
              <w:jc w:val="center"/>
              <w:textAlignment w:val="center"/>
              <w:rPr>
                <w:rFonts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序号</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0032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物资/材料名称</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29B0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单位</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A66A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数量</w:t>
            </w:r>
          </w:p>
        </w:tc>
      </w:tr>
      <w:tr w14:paraId="16BED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22B6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1A42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谈话专用流媒体解码终端</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3F1C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AB49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w:t>
            </w:r>
          </w:p>
        </w:tc>
      </w:tr>
      <w:tr w14:paraId="4E656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E916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84A7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指挥智控系统</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701D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AAEE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w:t>
            </w:r>
          </w:p>
        </w:tc>
      </w:tr>
      <w:tr w14:paraId="3DDE0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7CA1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C8D2C">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有线指挥控制平板电脑</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5A1E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687B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w:t>
            </w:r>
          </w:p>
        </w:tc>
      </w:tr>
      <w:tr w14:paraId="676C1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F06E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D542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谈话指挥客户端</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6A7A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EA56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w:t>
            </w:r>
          </w:p>
        </w:tc>
      </w:tr>
      <w:tr w14:paraId="65A14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D9A8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335C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谈话受令屏</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9ACE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177D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w:t>
            </w:r>
          </w:p>
        </w:tc>
      </w:tr>
      <w:tr w14:paraId="10548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38E9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79F8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谈话专用流媒体编码终端</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14AF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68D7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14</w:t>
            </w:r>
          </w:p>
        </w:tc>
      </w:tr>
      <w:tr w14:paraId="335A6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545E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80DD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报警联动系统</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E4FB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C2F8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12</w:t>
            </w:r>
          </w:p>
        </w:tc>
      </w:tr>
      <w:tr w14:paraId="77EA1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A979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A6E7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审查调查谈话同步录音录像设备</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8F09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54AF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w:t>
            </w:r>
          </w:p>
        </w:tc>
      </w:tr>
      <w:tr w14:paraId="1E258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A989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A3A1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审查调查谈话记录应用系统</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0756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270C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w:t>
            </w:r>
          </w:p>
        </w:tc>
      </w:tr>
      <w:tr w14:paraId="04F33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1D5C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DB01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紧急报警系统</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92D1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B25C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12</w:t>
            </w:r>
          </w:p>
        </w:tc>
      </w:tr>
      <w:tr w14:paraId="256EA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F0CB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11</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7068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谈话专用特写摄像机</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FBC8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E489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22</w:t>
            </w:r>
          </w:p>
        </w:tc>
      </w:tr>
      <w:tr w14:paraId="3D7B7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B7D7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12</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591F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谈话专用全景摄像机</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A536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9EB5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11</w:t>
            </w:r>
          </w:p>
        </w:tc>
      </w:tr>
      <w:tr w14:paraId="7EA19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5D85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13</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1A7F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谈话指挥云台摄像机</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CC73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4F6F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w:t>
            </w:r>
          </w:p>
        </w:tc>
      </w:tr>
      <w:tr w14:paraId="3A9A3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1739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14</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6CB7C">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谈话专用指挥摄像机</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41E5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nil"/>
              <w:bottom w:val="single" w:color="000000" w:sz="4" w:space="0"/>
              <w:right w:val="single" w:color="000000" w:sz="4" w:space="0"/>
            </w:tcBorders>
            <w:shd w:val="clear" w:color="auto" w:fill="auto"/>
            <w:vAlign w:val="center"/>
          </w:tcPr>
          <w:p w14:paraId="57ABE14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w:t>
            </w:r>
          </w:p>
        </w:tc>
      </w:tr>
      <w:tr w14:paraId="629A1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9D33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15</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C9229">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多功能指挥控制键盘</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81C0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nil"/>
              <w:bottom w:val="single" w:color="000000" w:sz="4" w:space="0"/>
              <w:right w:val="single" w:color="000000" w:sz="4" w:space="0"/>
            </w:tcBorders>
            <w:shd w:val="clear" w:color="auto" w:fill="auto"/>
            <w:vAlign w:val="center"/>
          </w:tcPr>
          <w:p w14:paraId="13F1937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w:t>
            </w:r>
          </w:p>
        </w:tc>
      </w:tr>
      <w:tr w14:paraId="740BA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5C65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16</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59D3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阵列式全向音频采集器</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74C6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C59C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14</w:t>
            </w:r>
          </w:p>
        </w:tc>
      </w:tr>
      <w:tr w14:paraId="62025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928F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17</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3E02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温湿度环境显示系统</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0CEE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15EC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11</w:t>
            </w:r>
          </w:p>
        </w:tc>
      </w:tr>
      <w:tr w14:paraId="40436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D077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18</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BC4F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监督谈话同步录音录像设备</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6137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E642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w:t>
            </w:r>
          </w:p>
        </w:tc>
      </w:tr>
      <w:tr w14:paraId="7FF4C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A773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19</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8758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约谈边缘计算应用终端</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AA27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nil"/>
              <w:bottom w:val="single" w:color="000000" w:sz="4" w:space="0"/>
              <w:right w:val="single" w:color="000000" w:sz="4" w:space="0"/>
            </w:tcBorders>
            <w:shd w:val="clear" w:color="auto" w:fill="auto"/>
            <w:vAlign w:val="center"/>
          </w:tcPr>
          <w:p w14:paraId="0200BBB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w:t>
            </w:r>
          </w:p>
        </w:tc>
      </w:tr>
      <w:tr w14:paraId="6412A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0F06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20</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9E9F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隐藏式摄像机</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6EC1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3AFC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r>
      <w:tr w14:paraId="0BAEB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BB46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21</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062AC">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功率助推器</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2F23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177D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w:t>
            </w:r>
          </w:p>
        </w:tc>
      </w:tr>
      <w:tr w14:paraId="240D2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0C70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22</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F345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柱形电声换能器</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420C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4A2F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r>
      <w:tr w14:paraId="76589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7EF5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23</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CDF8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多媒体插座</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A29A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D2C8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16</w:t>
            </w:r>
          </w:p>
        </w:tc>
      </w:tr>
      <w:tr w14:paraId="2317B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2A86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24</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6AE1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电源管理终端1</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3875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66AC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w:t>
            </w:r>
          </w:p>
        </w:tc>
      </w:tr>
      <w:tr w14:paraId="22BE5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078C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25</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73419">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人脸识别一体机</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F848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ECCD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w:t>
            </w:r>
          </w:p>
        </w:tc>
      </w:tr>
      <w:tr w14:paraId="3A4E4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138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26</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5BC0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电插锁1</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918D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4CCD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w:t>
            </w:r>
          </w:p>
        </w:tc>
      </w:tr>
      <w:tr w14:paraId="6C457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A37E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27</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937B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电磁锁</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972C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5075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36</w:t>
            </w:r>
          </w:p>
        </w:tc>
      </w:tr>
      <w:tr w14:paraId="5645C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863F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28</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002A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开门按钮1</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8042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DC95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29</w:t>
            </w:r>
          </w:p>
        </w:tc>
      </w:tr>
      <w:tr w14:paraId="3DE1F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1E6E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29</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CC6A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门禁电源</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E1F5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F3C3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37</w:t>
            </w:r>
          </w:p>
        </w:tc>
      </w:tr>
      <w:tr w14:paraId="33913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9FFE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30</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1BA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人脸识别固件升级</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1E60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218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31</w:t>
            </w:r>
          </w:p>
        </w:tc>
      </w:tr>
      <w:tr w14:paraId="36B7C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725C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31</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EEE3F">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破玻按钮</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6021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9576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37</w:t>
            </w:r>
          </w:p>
        </w:tc>
      </w:tr>
      <w:tr w14:paraId="61B69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D9D5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32</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7999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刷卡一体机</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C283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19E6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w:t>
            </w:r>
          </w:p>
        </w:tc>
      </w:tr>
      <w:tr w14:paraId="62F0C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0014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33</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9B9A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卡片录入仪</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C499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9DD8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w:t>
            </w:r>
          </w:p>
        </w:tc>
      </w:tr>
      <w:tr w14:paraId="1BDEE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1AEF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34</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423A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通行卡</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BD66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张</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A88C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26</w:t>
            </w:r>
          </w:p>
        </w:tc>
      </w:tr>
      <w:tr w14:paraId="3FDCE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B770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35</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43A8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超高清摄像机1</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ED82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81E8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w:t>
            </w:r>
          </w:p>
        </w:tc>
      </w:tr>
      <w:tr w14:paraId="2266C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D74B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36</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EEF0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超高清摄像机2</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1519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4869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w:t>
            </w:r>
          </w:p>
        </w:tc>
      </w:tr>
      <w:tr w14:paraId="67F14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7902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37</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DF3E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超高清摄像机3</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AE6E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527F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w:t>
            </w:r>
          </w:p>
        </w:tc>
      </w:tr>
      <w:tr w14:paraId="6A36C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E50C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38</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2745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摄像机控制键盘</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0760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7B48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r>
      <w:tr w14:paraId="7D723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A763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39</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A3B6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视频切换台1</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A0FD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D8CB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w:t>
            </w:r>
          </w:p>
        </w:tc>
      </w:tr>
      <w:tr w14:paraId="568A5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5B9D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40</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AF192">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8路输出扩展器</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C2DD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E784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r>
      <w:tr w14:paraId="682AD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B505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41</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4791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分布式输入节点1</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3DCD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3FD3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12</w:t>
            </w:r>
          </w:p>
        </w:tc>
      </w:tr>
      <w:tr w14:paraId="75808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08DF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42</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932B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分布式输出节点1</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37C8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D113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w:t>
            </w:r>
          </w:p>
        </w:tc>
      </w:tr>
      <w:tr w14:paraId="30B79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9F8E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43</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8485C">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分布式输入节点2</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A686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A1F6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r>
      <w:tr w14:paraId="1EB48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5DC1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44</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E8FF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分布式输出节点2</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A5AD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E250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r>
      <w:tr w14:paraId="32B47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8B6F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45</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B5E3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32寸监视器</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212C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E02E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w:t>
            </w:r>
          </w:p>
        </w:tc>
      </w:tr>
      <w:tr w14:paraId="21251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F031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46</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3060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升降器</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F87C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EADD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w:t>
            </w:r>
          </w:p>
        </w:tc>
      </w:tr>
      <w:tr w14:paraId="581D5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32AC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47</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4C99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监听耳机</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A4C8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个</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938F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r>
      <w:tr w14:paraId="48D93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6007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48</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22CF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会议室灯膜</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1D1E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2FE4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w:t>
            </w:r>
          </w:p>
        </w:tc>
      </w:tr>
      <w:tr w14:paraId="39C24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1614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49</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2852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视频切换台2</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ABD7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4864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w:t>
            </w:r>
          </w:p>
        </w:tc>
      </w:tr>
      <w:tr w14:paraId="26826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4E50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50</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41CB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智控核心主机</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265F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BCCF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w:t>
            </w:r>
          </w:p>
        </w:tc>
      </w:tr>
      <w:tr w14:paraId="65EF4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407E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51</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54C4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智控软件编程</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EECE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F543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w:t>
            </w:r>
          </w:p>
        </w:tc>
      </w:tr>
      <w:tr w14:paraId="0BA86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452C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52</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E775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有线智控控制端</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49D8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7122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w:t>
            </w:r>
          </w:p>
        </w:tc>
      </w:tr>
      <w:tr w14:paraId="6E371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0BA1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53</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087B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电源管理终端2</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617C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847A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w:t>
            </w:r>
          </w:p>
        </w:tc>
      </w:tr>
      <w:tr w14:paraId="5BA6D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C732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54</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45CD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协议传输器</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4289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F079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r>
      <w:tr w14:paraId="0D34D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34E2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55</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0254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轻质砖</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571F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D0D1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9.6</w:t>
            </w:r>
          </w:p>
        </w:tc>
      </w:tr>
      <w:tr w14:paraId="4CAAA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C8BC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56</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5D4E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水泥砂浆1</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3CE4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m²</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F0F6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19.2</w:t>
            </w:r>
          </w:p>
        </w:tc>
      </w:tr>
      <w:tr w14:paraId="1E0F4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1F43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57</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3E45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定制门槛石</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BA88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7414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w:t>
            </w:r>
          </w:p>
        </w:tc>
      </w:tr>
      <w:tr w14:paraId="52767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5802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58</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4D9E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大理石踢脚线</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CCA1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93DE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w:t>
            </w:r>
          </w:p>
        </w:tc>
      </w:tr>
      <w:tr w14:paraId="74404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0B16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59</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6B109">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涂料 1</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D245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m²</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9A74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958</w:t>
            </w:r>
          </w:p>
        </w:tc>
      </w:tr>
      <w:tr w14:paraId="742D1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02D6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60</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57C2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涂料 2</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AE32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m²</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5DCB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958</w:t>
            </w:r>
          </w:p>
        </w:tc>
      </w:tr>
      <w:tr w14:paraId="3B7C9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DC4D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61</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293E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涂料 3</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E510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m²</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EA09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540</w:t>
            </w:r>
          </w:p>
        </w:tc>
      </w:tr>
      <w:tr w14:paraId="673E4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1D4B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62</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17BC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胶合板墙</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EF77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m²</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181B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27</w:t>
            </w:r>
          </w:p>
        </w:tc>
      </w:tr>
      <w:tr w14:paraId="0DBB5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78DE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63</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85DA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墙固剂</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74CB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m²</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2E54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528</w:t>
            </w:r>
          </w:p>
        </w:tc>
      </w:tr>
      <w:tr w14:paraId="6DA44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A2ED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64</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A523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定制阳光卷帘</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84BE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m²</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6832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76</w:t>
            </w:r>
          </w:p>
        </w:tc>
      </w:tr>
      <w:tr w14:paraId="0CF4C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7A43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65</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F60B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定制窗帘盒</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1FB9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D9FB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32</w:t>
            </w:r>
          </w:p>
        </w:tc>
      </w:tr>
      <w:tr w14:paraId="72E88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8257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66</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1F98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水泥砂浆2</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62AB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m²</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AC22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366</w:t>
            </w:r>
          </w:p>
        </w:tc>
      </w:tr>
      <w:tr w14:paraId="20793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478B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67</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F275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地固剂</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26FC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m²</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005A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366</w:t>
            </w:r>
          </w:p>
        </w:tc>
      </w:tr>
      <w:tr w14:paraId="2C384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4C58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68</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0700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定制不锈钢踢脚线</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1CFA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米</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63D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118</w:t>
            </w:r>
          </w:p>
        </w:tc>
      </w:tr>
      <w:tr w14:paraId="5F3BE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9423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69</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9AE89">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OA静电地板</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2DBE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m²</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25A1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360</w:t>
            </w:r>
          </w:p>
        </w:tc>
      </w:tr>
      <w:tr w14:paraId="68978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6E64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70</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5C05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包塑软管</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F27D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89C9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139</w:t>
            </w:r>
          </w:p>
        </w:tc>
      </w:tr>
      <w:tr w14:paraId="706CE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B21A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71</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3064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地毯</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3350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m²</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CDB2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366</w:t>
            </w:r>
          </w:p>
        </w:tc>
      </w:tr>
      <w:tr w14:paraId="1ED7D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2113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72</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8668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铝合金L型型材</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C1D8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9C56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53</w:t>
            </w:r>
          </w:p>
        </w:tc>
      </w:tr>
      <w:tr w14:paraId="4C9AE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3CC6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73</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1F89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照明配电箱</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5E7D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B4C0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r>
      <w:tr w14:paraId="2CA15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467E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74</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CBFD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LED灯盘（300*1200）</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25F2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4383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32</w:t>
            </w:r>
          </w:p>
        </w:tc>
      </w:tr>
      <w:tr w14:paraId="4D1A5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5CEC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75</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2ED2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照明配电电缆</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91C9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5ECC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125</w:t>
            </w:r>
          </w:p>
        </w:tc>
      </w:tr>
      <w:tr w14:paraId="58001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9333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76</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C4093">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照明插座电线</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00D3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CD5D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800</w:t>
            </w:r>
          </w:p>
        </w:tc>
      </w:tr>
      <w:tr w14:paraId="6EAF4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4286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77</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021C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照明大面板</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E09A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个</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53DE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13</w:t>
            </w:r>
          </w:p>
        </w:tc>
      </w:tr>
      <w:tr w14:paraId="63FF7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A0E6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78</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3CB4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六类非屏蔽双绞线</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AC30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箱</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B1C1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14</w:t>
            </w:r>
          </w:p>
        </w:tc>
      </w:tr>
      <w:tr w14:paraId="314E7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21B5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79</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6B50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定制镀锌线槽</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40FF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D842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530</w:t>
            </w:r>
          </w:p>
        </w:tc>
      </w:tr>
      <w:tr w14:paraId="6D7D4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7283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80</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2A33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定制双开木质门</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A4EB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樘</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05DF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w:t>
            </w:r>
          </w:p>
        </w:tc>
      </w:tr>
      <w:tr w14:paraId="6EDFF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C9A5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81</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A1D1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卡式嵌入式水冷空调天花机</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90EF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D643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12</w:t>
            </w:r>
          </w:p>
        </w:tc>
      </w:tr>
      <w:tr w14:paraId="0BDB2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B737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82</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2C06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无缝钢管1</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80D7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56BA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55</w:t>
            </w:r>
          </w:p>
        </w:tc>
      </w:tr>
      <w:tr w14:paraId="032DA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C429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83</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D744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保温棉</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C90B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5833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550</w:t>
            </w:r>
          </w:p>
        </w:tc>
      </w:tr>
      <w:tr w14:paraId="578FD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3F8F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84</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568D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无缝钢管2</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5E4E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32CA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180</w:t>
            </w:r>
          </w:p>
        </w:tc>
      </w:tr>
      <w:tr w14:paraId="5BCA0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A5E9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85</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7219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PCV-U冷凝水管1</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A9FE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F0F7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40</w:t>
            </w:r>
          </w:p>
        </w:tc>
      </w:tr>
      <w:tr w14:paraId="3F81B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AEF1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86</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6644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PCV-U冷凝水管2</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1927F">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B2F8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50</w:t>
            </w:r>
          </w:p>
        </w:tc>
      </w:tr>
      <w:tr w14:paraId="7F308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1AEB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87</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ACFE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PCV-U冷凝水管3</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B533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1BCA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60</w:t>
            </w:r>
          </w:p>
        </w:tc>
      </w:tr>
      <w:tr w14:paraId="0FD1D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8679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88</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12AFF">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手动蝶阀</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50A8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个</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FBE2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r>
      <w:tr w14:paraId="2E611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1CA5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89</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0802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碳钢法兰1</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9AAE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副</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7097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w:t>
            </w:r>
          </w:p>
        </w:tc>
      </w:tr>
      <w:tr w14:paraId="222FA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02B9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90</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8DA71">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铜闸阀</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310D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个</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840A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24</w:t>
            </w:r>
          </w:p>
        </w:tc>
      </w:tr>
      <w:tr w14:paraId="2DD64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95F5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91</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2009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碳钢法兰2</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CCBA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副</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9EC6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w:t>
            </w:r>
          </w:p>
        </w:tc>
      </w:tr>
      <w:tr w14:paraId="33C38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2887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92</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15729">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碳钢法兰3</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500C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副</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EC53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16</w:t>
            </w:r>
          </w:p>
        </w:tc>
      </w:tr>
      <w:tr w14:paraId="2CB46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3D39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93</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C275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 xml:space="preserve">电磁二通阀 </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D5DF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5DA6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12</w:t>
            </w:r>
          </w:p>
        </w:tc>
      </w:tr>
      <w:tr w14:paraId="43D45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0539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94</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5EE5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 xml:space="preserve">温控器 </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C42D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个</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8AA0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12</w:t>
            </w:r>
          </w:p>
        </w:tc>
      </w:tr>
      <w:tr w14:paraId="6E665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18C3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95</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D2A0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不锈钢软接</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01C9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个</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02E0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24</w:t>
            </w:r>
          </w:p>
        </w:tc>
      </w:tr>
      <w:tr w14:paraId="64B44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BE03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96</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5A15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控制电缆</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2A52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3D2A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120</w:t>
            </w:r>
          </w:p>
        </w:tc>
      </w:tr>
      <w:tr w14:paraId="66AC6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7021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97</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7E246">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排气阀</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2830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个</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E9DE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r>
      <w:tr w14:paraId="09E9E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702C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98</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78FD8">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 xml:space="preserve">冷冻水管配件 </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DECA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个</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927E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120</w:t>
            </w:r>
          </w:p>
        </w:tc>
      </w:tr>
      <w:tr w14:paraId="34D6D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5906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99</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ED8DC">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 xml:space="preserve">PVC-U排水管配件 </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8A73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个</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01D1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30</w:t>
            </w:r>
          </w:p>
        </w:tc>
      </w:tr>
      <w:tr w14:paraId="6FB04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780D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100</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3BC99">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冷冻水管吊架</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F3F8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kg</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47C5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300</w:t>
            </w:r>
          </w:p>
        </w:tc>
      </w:tr>
      <w:tr w14:paraId="1033E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DB3F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101</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19C3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直通变径1</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EB2B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个</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9545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r>
      <w:tr w14:paraId="2DA51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40B8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102</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FDDBA">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直通变径2</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09F4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个</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95E6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w:t>
            </w:r>
          </w:p>
        </w:tc>
      </w:tr>
      <w:tr w14:paraId="3B977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AA3E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103</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00B9D">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直通变径3</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F637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个</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C026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w:t>
            </w:r>
          </w:p>
        </w:tc>
      </w:tr>
      <w:tr w14:paraId="73237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E16E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104</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F791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空调钢管1</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9D14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4E62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40</w:t>
            </w:r>
          </w:p>
        </w:tc>
      </w:tr>
      <w:tr w14:paraId="1A006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92B0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105</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A477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空调钢管2</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ECC50">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E364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120</w:t>
            </w:r>
          </w:p>
        </w:tc>
      </w:tr>
      <w:tr w14:paraId="2C964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29037">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106</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36505">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空调钢管3</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EF2F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8FAC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24</w:t>
            </w:r>
          </w:p>
        </w:tc>
      </w:tr>
      <w:tr w14:paraId="11381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F1E1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107</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006E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空调配电箱</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A7D0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0F60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r>
      <w:tr w14:paraId="16951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E38AC">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108</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DED1F">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24口千兆网络交换机</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4B3EB">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A5A95">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6</w:t>
            </w:r>
          </w:p>
        </w:tc>
      </w:tr>
      <w:tr w14:paraId="4EF41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6CA04">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109</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BE344">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堆叠卡</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FB68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B5441">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r>
      <w:tr w14:paraId="311F6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B2452">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110</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A4D50">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堆叠线</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BBE0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条</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EA9CE">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r>
      <w:tr w14:paraId="7E263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E237D">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111</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9DFDB">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镀锌线槽</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E9CD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m</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20EC3">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420</w:t>
            </w:r>
          </w:p>
        </w:tc>
      </w:tr>
      <w:tr w14:paraId="62269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C7DF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112</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42027">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电插锁2</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F7B5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9B378">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8</w:t>
            </w:r>
          </w:p>
        </w:tc>
      </w:tr>
      <w:tr w14:paraId="25961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55686">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113</w:t>
            </w:r>
          </w:p>
        </w:tc>
        <w:tc>
          <w:tcPr>
            <w:tcW w:w="3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AF1BE">
            <w:pPr>
              <w:keepNext w:val="0"/>
              <w:keepLines w:val="0"/>
              <w:widowControl/>
              <w:suppressLineNumbers w:val="0"/>
              <w:jc w:val="left"/>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开门按钮2</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AA3B9">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个</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3DACA">
            <w:pPr>
              <w:keepNext w:val="0"/>
              <w:keepLines w:val="0"/>
              <w:widowControl/>
              <w:suppressLineNumbers w:val="0"/>
              <w:jc w:val="center"/>
              <w:textAlignment w:val="center"/>
              <w:rPr>
                <w:rFonts w:hint="default" w:ascii="仿宋" w:hAnsi="仿宋" w:eastAsia="仿宋" w:cs="仿宋"/>
                <w:i w:val="0"/>
                <w:iCs w:val="0"/>
                <w:color w:val="000000"/>
                <w:sz w:val="20"/>
                <w:szCs w:val="20"/>
                <w:u w:val="none"/>
              </w:rPr>
            </w:pPr>
            <w:r>
              <w:rPr>
                <w:rFonts w:hint="default" w:ascii="仿宋" w:hAnsi="仿宋" w:eastAsia="仿宋" w:cs="仿宋"/>
                <w:i w:val="0"/>
                <w:iCs w:val="0"/>
                <w:color w:val="000000"/>
                <w:kern w:val="0"/>
                <w:sz w:val="20"/>
                <w:szCs w:val="20"/>
                <w:u w:val="none"/>
                <w:lang w:val="en-US" w:eastAsia="zh-CN" w:bidi="ar"/>
              </w:rPr>
              <w:t>2</w:t>
            </w:r>
          </w:p>
        </w:tc>
      </w:tr>
    </w:tbl>
    <w:p w14:paraId="0E567710">
      <w:pPr>
        <w:rPr>
          <w:rFonts w:hint="eastAsia" w:ascii="宋体" w:hAnsi="宋体" w:cs="宋体"/>
          <w:b/>
          <w:bCs/>
          <w:sz w:val="24"/>
        </w:rPr>
      </w:pPr>
      <w:bookmarkStart w:id="48" w:name="_GoBack"/>
      <w:bookmarkEnd w:id="48"/>
    </w:p>
    <w:p w14:paraId="37C65790"/>
    <w:sectPr>
      <w:headerReference r:id="rId3" w:type="default"/>
      <w:footerReference r:id="rId4" w:type="default"/>
      <w:pgSz w:w="11906" w:h="16838"/>
      <w:pgMar w:top="1440" w:right="1797" w:bottom="1440" w:left="109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6FCD9">
    <w:pPr>
      <w:pStyle w:val="17"/>
      <w:jc w:val="center"/>
    </w:pPr>
    <w:r>
      <w:rPr>
        <w:sz w:val="20"/>
      </w:rPr>
      <w:fldChar w:fldCharType="begin"/>
    </w:r>
    <w:r>
      <w:rPr>
        <w:rStyle w:val="27"/>
        <w:sz w:val="20"/>
      </w:rPr>
      <w:instrText xml:space="preserve"> PAGE </w:instrText>
    </w:r>
    <w:r>
      <w:rPr>
        <w:sz w:val="20"/>
      </w:rPr>
      <w:fldChar w:fldCharType="separate"/>
    </w:r>
    <w:r>
      <w:rPr>
        <w:rStyle w:val="27"/>
        <w:sz w:val="20"/>
      </w:rPr>
      <w:t>53</w:t>
    </w:r>
    <w:r>
      <w:rPr>
        <w:sz w:val="20"/>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3C5F6">
    <w:pPr>
      <w:pStyle w:val="1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2D9B86"/>
    <w:multiLevelType w:val="singleLevel"/>
    <w:tmpl w:val="E22D9B86"/>
    <w:lvl w:ilvl="0" w:tentative="0">
      <w:start w:val="3"/>
      <w:numFmt w:val="decimal"/>
      <w:lvlText w:val="%1."/>
      <w:lvlJc w:val="left"/>
      <w:pPr>
        <w:tabs>
          <w:tab w:val="left" w:pos="312"/>
        </w:tabs>
      </w:pPr>
    </w:lvl>
  </w:abstractNum>
  <w:abstractNum w:abstractNumId="1">
    <w:nsid w:val="FFFFFF88"/>
    <w:multiLevelType w:val="singleLevel"/>
    <w:tmpl w:val="FFFFFF88"/>
    <w:lvl w:ilvl="0" w:tentative="0">
      <w:start w:val="1"/>
      <w:numFmt w:val="decimal"/>
      <w:pStyle w:val="7"/>
      <w:lvlText w:val="%1."/>
      <w:lvlJc w:val="left"/>
      <w:pPr>
        <w:tabs>
          <w:tab w:val="left" w:pos="360"/>
        </w:tabs>
        <w:ind w:left="360" w:hanging="360"/>
      </w:pPr>
    </w:lvl>
  </w:abstractNum>
  <w:abstractNum w:abstractNumId="2">
    <w:nsid w:val="28767302"/>
    <w:multiLevelType w:val="multilevel"/>
    <w:tmpl w:val="28767302"/>
    <w:lvl w:ilvl="0" w:tentative="0">
      <w:start w:val="1"/>
      <w:numFmt w:val="decimal"/>
      <w:pStyle w:val="35"/>
      <w:suff w:val="space"/>
      <w:lvlText w:val="（%1）"/>
      <w:lvlJc w:val="left"/>
      <w:pPr>
        <w:ind w:left="0" w:firstLine="0"/>
      </w:pPr>
      <w:rPr>
        <w:rFonts w:hint="eastAsia"/>
        <w:b w:val="0"/>
        <w:snapToGrid/>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8CA54BF"/>
    <w:multiLevelType w:val="multilevel"/>
    <w:tmpl w:val="38CA54BF"/>
    <w:lvl w:ilvl="0" w:tentative="0">
      <w:start w:val="1"/>
      <w:numFmt w:val="decimal"/>
      <w:pStyle w:val="32"/>
      <w:suff w:val="space"/>
      <w:lvlText w:val="%1、"/>
      <w:lvlJc w:val="left"/>
      <w:pPr>
        <w:ind w:left="902" w:hanging="420"/>
      </w:pPr>
      <w:rPr>
        <w:rFonts w:hint="eastAsia"/>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414D56F2"/>
    <w:multiLevelType w:val="multilevel"/>
    <w:tmpl w:val="414D56F2"/>
    <w:lvl w:ilvl="0" w:tentative="0">
      <w:start w:val="1"/>
      <w:numFmt w:val="chineseCountingThousand"/>
      <w:pStyle w:val="31"/>
      <w:lvlText w:val="第%1章 "/>
      <w:lvlJc w:val="left"/>
      <w:pPr>
        <w:tabs>
          <w:tab w:val="left" w:pos="420"/>
        </w:tabs>
        <w:ind w:left="0" w:firstLine="0"/>
      </w:pPr>
      <w:rPr>
        <w:rFonts w:hint="eastAsia"/>
      </w:rPr>
    </w:lvl>
    <w:lvl w:ilvl="1" w:tentative="0">
      <w:start w:val="1"/>
      <w:numFmt w:val="decimal"/>
      <w:pStyle w:val="3"/>
      <w:isLgl/>
      <w:suff w:val="space"/>
      <w:lvlText w:val="%1.%2"/>
      <w:lvlJc w:val="left"/>
      <w:pPr>
        <w:ind w:left="0" w:firstLine="0"/>
      </w:pPr>
      <w:rPr>
        <w:rFonts w:hint="default" w:ascii="Times New Roman" w:hAnsi="Times New Roman" w:eastAsia="宋体" w:cs="Times New Roman"/>
        <w:b/>
        <w:bCs w:val="0"/>
        <w:i w:val="0"/>
        <w:iCs w:val="0"/>
        <w:caps w:val="0"/>
        <w:smallCaps w:val="0"/>
        <w:strike w:val="0"/>
        <w:dstrike w:val="0"/>
        <w:vanish w:val="0"/>
        <w:spacing w:val="0"/>
        <w:kern w:val="0"/>
        <w:position w:val="0"/>
        <w:sz w:val="28"/>
        <w:u w:val="none"/>
        <w:vertAlign w:val="baseline"/>
      </w:rPr>
    </w:lvl>
    <w:lvl w:ilvl="2" w:tentative="0">
      <w:start w:val="1"/>
      <w:numFmt w:val="decimal"/>
      <w:pStyle w:val="4"/>
      <w:isLgl/>
      <w:suff w:val="space"/>
      <w:lvlText w:val="%1.%2.%3"/>
      <w:lvlJc w:val="left"/>
      <w:pPr>
        <w:ind w:left="0" w:firstLine="0"/>
      </w:pPr>
      <w:rPr>
        <w:rFonts w:hint="default" w:ascii="Times New Roman" w:hAnsi="Times New Roman" w:eastAsia="宋体" w:cs="Times New Roman"/>
        <w:b/>
        <w:bCs w:val="0"/>
        <w:i w:val="0"/>
        <w:iCs w:val="0"/>
        <w:caps w:val="0"/>
        <w:smallCaps w:val="0"/>
        <w:strike w:val="0"/>
        <w:dstrike w:val="0"/>
        <w:vanish w:val="0"/>
        <w:spacing w:val="0"/>
        <w:kern w:val="0"/>
        <w:position w:val="0"/>
        <w:sz w:val="28"/>
        <w:u w:val="none"/>
        <w:vertAlign w:val="baseline"/>
      </w:rPr>
    </w:lvl>
    <w:lvl w:ilvl="3" w:tentative="0">
      <w:start w:val="1"/>
      <w:numFmt w:val="decimal"/>
      <w:isLgl/>
      <w:suff w:val="space"/>
      <w:lvlText w:val="%1.%2.%3.%4"/>
      <w:lvlJc w:val="left"/>
      <w:pPr>
        <w:ind w:left="0" w:firstLine="0"/>
      </w:pPr>
      <w:rPr>
        <w:rFonts w:hint="eastAsia" w:cs="Times New Roman"/>
        <w:i w:val="0"/>
        <w:iCs w:val="0"/>
        <w:caps w:val="0"/>
        <w:smallCaps w:val="0"/>
        <w:strike w:val="0"/>
        <w:dstrike w:val="0"/>
        <w:vanish w:val="0"/>
        <w:spacing w:val="0"/>
        <w:position w:val="0"/>
        <w:u w:val="none"/>
        <w:vertAlign w:val="baseline"/>
      </w:rPr>
    </w:lvl>
    <w:lvl w:ilvl="4" w:tentative="0">
      <w:start w:val="1"/>
      <w:numFmt w:val="decimal"/>
      <w:isLgl/>
      <w:suff w:val="space"/>
      <w:lvlText w:val="%1.%2.%3.%4.%5"/>
      <w:lvlJc w:val="left"/>
      <w:pPr>
        <w:ind w:left="0" w:firstLine="0"/>
      </w:pPr>
      <w:rPr>
        <w:rFonts w:hint="eastAsia" w:cs="Times New Roman"/>
        <w:i w:val="0"/>
        <w:iCs w:val="0"/>
        <w:caps w:val="0"/>
        <w:smallCaps w:val="0"/>
        <w:strike w:val="0"/>
        <w:dstrike w:val="0"/>
        <w:vanish w:val="0"/>
        <w:spacing w:val="0"/>
        <w:position w:val="0"/>
        <w:u w:val="none"/>
        <w:vertAlign w:val="baseline"/>
      </w:rPr>
    </w:lvl>
    <w:lvl w:ilvl="5" w:tentative="0">
      <w:start w:val="1"/>
      <w:numFmt w:val="decimal"/>
      <w:isLgl/>
      <w:suff w:val="space"/>
      <w:lvlText w:val="%1.%2.%3.%4.%5.%6"/>
      <w:lvlJc w:val="left"/>
      <w:pPr>
        <w:ind w:left="0" w:firstLine="0"/>
      </w:pPr>
      <w:rPr>
        <w:rFonts w:hint="default" w:ascii="Times New Roman" w:hAnsi="Times New Roman" w:eastAsia="宋体"/>
        <w:b/>
        <w:i w:val="0"/>
        <w:sz w:val="28"/>
      </w:rPr>
    </w:lvl>
    <w:lvl w:ilvl="6" w:tentative="0">
      <w:start w:val="1"/>
      <w:numFmt w:val="decimal"/>
      <w:lvlText w:val="%1.%2.%3.%4.%5.%6.%7"/>
      <w:lvlJc w:val="left"/>
      <w:pPr>
        <w:tabs>
          <w:tab w:val="left" w:pos="420"/>
        </w:tabs>
        <w:ind w:left="0" w:firstLine="0"/>
      </w:pPr>
      <w:rPr>
        <w:rFonts w:hint="eastAsia"/>
      </w:rPr>
    </w:lvl>
    <w:lvl w:ilvl="7" w:tentative="0">
      <w:start w:val="1"/>
      <w:numFmt w:val="decimal"/>
      <w:lvlText w:val="%1.%2.%3.%4.%5.%6.%7.%8"/>
      <w:lvlJc w:val="left"/>
      <w:pPr>
        <w:tabs>
          <w:tab w:val="left" w:pos="420"/>
        </w:tabs>
        <w:ind w:left="0" w:firstLine="0"/>
      </w:pPr>
      <w:rPr>
        <w:rFonts w:hint="eastAsia"/>
      </w:rPr>
    </w:lvl>
    <w:lvl w:ilvl="8" w:tentative="0">
      <w:start w:val="1"/>
      <w:numFmt w:val="decimal"/>
      <w:lvlText w:val="%1.%2.%3.%4.%5.%6.%7.%8.%9"/>
      <w:lvlJc w:val="left"/>
      <w:pPr>
        <w:tabs>
          <w:tab w:val="left" w:pos="420"/>
        </w:tabs>
        <w:ind w:left="0" w:firstLine="0"/>
      </w:pPr>
      <w:rPr>
        <w:rFonts w:hint="eastAsia"/>
      </w:rPr>
    </w:lvl>
  </w:abstractNum>
  <w:abstractNum w:abstractNumId="5">
    <w:nsid w:val="42F854B7"/>
    <w:multiLevelType w:val="singleLevel"/>
    <w:tmpl w:val="42F854B7"/>
    <w:lvl w:ilvl="0" w:tentative="0">
      <w:start w:val="1"/>
      <w:numFmt w:val="bullet"/>
      <w:pStyle w:val="87"/>
      <w:lvlText w:val=""/>
      <w:lvlJc w:val="left"/>
      <w:pPr>
        <w:tabs>
          <w:tab w:val="left" w:pos="360"/>
        </w:tabs>
        <w:ind w:left="340" w:hanging="340"/>
      </w:pPr>
      <w:rPr>
        <w:rFonts w:hint="default" w:ascii="Symbol" w:hAnsi="Symbol"/>
        <w:color w:val="auto"/>
      </w:rPr>
    </w:lvl>
  </w:abstractNum>
  <w:abstractNum w:abstractNumId="6">
    <w:nsid w:val="71DCE022"/>
    <w:multiLevelType w:val="singleLevel"/>
    <w:tmpl w:val="71DCE022"/>
    <w:lvl w:ilvl="0" w:tentative="0">
      <w:start w:val="1"/>
      <w:numFmt w:val="decimal"/>
      <w:suff w:val="nothing"/>
      <w:lvlText w:val="（%1）"/>
      <w:lvlJc w:val="left"/>
    </w:lvl>
  </w:abstractNum>
  <w:abstractNum w:abstractNumId="7">
    <w:nsid w:val="7ED32CEA"/>
    <w:multiLevelType w:val="multilevel"/>
    <w:tmpl w:val="7ED32CEA"/>
    <w:lvl w:ilvl="0" w:tentative="0">
      <w:start w:val="1"/>
      <w:numFmt w:val="decimal"/>
      <w:pStyle w:val="33"/>
      <w:suff w:val="space"/>
      <w:lvlText w:val="（%1）"/>
      <w:lvlJc w:val="left"/>
      <w:pPr>
        <w:ind w:left="210" w:firstLine="0"/>
      </w:pPr>
      <w:rPr>
        <w:b w:val="0"/>
        <w:bCs w:val="0"/>
        <w:i w:val="0"/>
        <w:iCs w:val="0"/>
        <w:caps w:val="0"/>
        <w:smallCaps w:val="0"/>
        <w:strike w:val="0"/>
        <w:dstrike w:val="0"/>
        <w:spacing w:val="0"/>
        <w:kern w:val="0"/>
        <w:position w:val="0"/>
        <w:u w:val="none"/>
        <w:vertAlign w:val="baseline"/>
        <w:lang w:val="en-US"/>
      </w:rPr>
    </w:lvl>
    <w:lvl w:ilvl="1" w:tentative="0">
      <w:start w:val="1"/>
      <w:numFmt w:val="lowerLetter"/>
      <w:lvlText w:val="%2)"/>
      <w:lvlJc w:val="left"/>
      <w:pPr>
        <w:ind w:left="1530" w:hanging="420"/>
      </w:pPr>
      <w:rPr>
        <w:rFonts w:hint="eastAsia"/>
      </w:rPr>
    </w:lvl>
    <w:lvl w:ilvl="2" w:tentative="0">
      <w:start w:val="1"/>
      <w:numFmt w:val="lowerRoman"/>
      <w:lvlText w:val="%3."/>
      <w:lvlJc w:val="right"/>
      <w:pPr>
        <w:ind w:left="1950" w:hanging="420"/>
      </w:pPr>
      <w:rPr>
        <w:rFonts w:hint="eastAsia"/>
      </w:rPr>
    </w:lvl>
    <w:lvl w:ilvl="3" w:tentative="0">
      <w:start w:val="1"/>
      <w:numFmt w:val="decimal"/>
      <w:lvlText w:val="%4."/>
      <w:lvlJc w:val="left"/>
      <w:pPr>
        <w:ind w:left="2370" w:hanging="420"/>
      </w:pPr>
      <w:rPr>
        <w:rFonts w:hint="eastAsia"/>
      </w:rPr>
    </w:lvl>
    <w:lvl w:ilvl="4" w:tentative="0">
      <w:start w:val="1"/>
      <w:numFmt w:val="lowerLetter"/>
      <w:lvlText w:val="%5)"/>
      <w:lvlJc w:val="left"/>
      <w:pPr>
        <w:ind w:left="2790" w:hanging="420"/>
      </w:pPr>
      <w:rPr>
        <w:rFonts w:hint="eastAsia"/>
      </w:rPr>
    </w:lvl>
    <w:lvl w:ilvl="5" w:tentative="0">
      <w:start w:val="1"/>
      <w:numFmt w:val="lowerRoman"/>
      <w:lvlText w:val="%6."/>
      <w:lvlJc w:val="right"/>
      <w:pPr>
        <w:ind w:left="3210" w:hanging="420"/>
      </w:pPr>
      <w:rPr>
        <w:rFonts w:hint="eastAsia"/>
      </w:rPr>
    </w:lvl>
    <w:lvl w:ilvl="6" w:tentative="0">
      <w:start w:val="1"/>
      <w:numFmt w:val="decimal"/>
      <w:lvlText w:val="%7."/>
      <w:lvlJc w:val="left"/>
      <w:pPr>
        <w:ind w:left="3630" w:hanging="420"/>
      </w:pPr>
      <w:rPr>
        <w:rFonts w:hint="eastAsia"/>
      </w:rPr>
    </w:lvl>
    <w:lvl w:ilvl="7" w:tentative="0">
      <w:start w:val="1"/>
      <w:numFmt w:val="lowerLetter"/>
      <w:lvlText w:val="%8)"/>
      <w:lvlJc w:val="left"/>
      <w:pPr>
        <w:ind w:left="4050" w:hanging="420"/>
      </w:pPr>
      <w:rPr>
        <w:rFonts w:hint="eastAsia"/>
      </w:rPr>
    </w:lvl>
    <w:lvl w:ilvl="8" w:tentative="0">
      <w:start w:val="1"/>
      <w:numFmt w:val="lowerRoman"/>
      <w:lvlText w:val="%9."/>
      <w:lvlJc w:val="right"/>
      <w:pPr>
        <w:ind w:left="4470" w:hanging="420"/>
      </w:pPr>
      <w:rPr>
        <w:rFonts w:hint="eastAsia"/>
      </w:rPr>
    </w:lvl>
  </w:abstractNum>
  <w:num w:numId="1">
    <w:abstractNumId w:val="4"/>
  </w:num>
  <w:num w:numId="2">
    <w:abstractNumId w:val="1"/>
  </w:num>
  <w:num w:numId="3">
    <w:abstractNumId w:val="3"/>
  </w:num>
  <w:num w:numId="4">
    <w:abstractNumId w:val="7"/>
  </w:num>
  <w:num w:numId="5">
    <w:abstractNumId w:val="2"/>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2YzhkNDgyMWFhNmRlZjU4ZGRhMTEzM2IxYmNmN2YifQ=="/>
    <w:docVar w:name="KSO_WPS_MARK_KEY" w:val="84240ba1-1392-450a-bd26-81d5bb53ecfb"/>
  </w:docVars>
  <w:rsids>
    <w:rsidRoot w:val="008848B5"/>
    <w:rsid w:val="000025D1"/>
    <w:rsid w:val="00003BDD"/>
    <w:rsid w:val="0004573C"/>
    <w:rsid w:val="000742C9"/>
    <w:rsid w:val="0007615C"/>
    <w:rsid w:val="000C7576"/>
    <w:rsid w:val="000E013E"/>
    <w:rsid w:val="000E3943"/>
    <w:rsid w:val="00156372"/>
    <w:rsid w:val="0015751C"/>
    <w:rsid w:val="001E35EA"/>
    <w:rsid w:val="001E6DC4"/>
    <w:rsid w:val="00282751"/>
    <w:rsid w:val="00290B74"/>
    <w:rsid w:val="002B4058"/>
    <w:rsid w:val="002D3169"/>
    <w:rsid w:val="002F6903"/>
    <w:rsid w:val="0033625C"/>
    <w:rsid w:val="00351D06"/>
    <w:rsid w:val="00381157"/>
    <w:rsid w:val="003905E2"/>
    <w:rsid w:val="00405426"/>
    <w:rsid w:val="004059A0"/>
    <w:rsid w:val="00413044"/>
    <w:rsid w:val="00433002"/>
    <w:rsid w:val="00463CA4"/>
    <w:rsid w:val="004763F7"/>
    <w:rsid w:val="004806EC"/>
    <w:rsid w:val="004D0E38"/>
    <w:rsid w:val="00534289"/>
    <w:rsid w:val="00534BC0"/>
    <w:rsid w:val="005407BD"/>
    <w:rsid w:val="00547510"/>
    <w:rsid w:val="00575B4E"/>
    <w:rsid w:val="0058382E"/>
    <w:rsid w:val="005C5CE7"/>
    <w:rsid w:val="0063155B"/>
    <w:rsid w:val="0066790F"/>
    <w:rsid w:val="006D18C6"/>
    <w:rsid w:val="007109BD"/>
    <w:rsid w:val="007142DA"/>
    <w:rsid w:val="00831370"/>
    <w:rsid w:val="008344BA"/>
    <w:rsid w:val="00870718"/>
    <w:rsid w:val="00871B2B"/>
    <w:rsid w:val="008848B5"/>
    <w:rsid w:val="008A0312"/>
    <w:rsid w:val="008B6286"/>
    <w:rsid w:val="008C5FE4"/>
    <w:rsid w:val="008D65F6"/>
    <w:rsid w:val="008F464E"/>
    <w:rsid w:val="00906F82"/>
    <w:rsid w:val="00944E5F"/>
    <w:rsid w:val="00971234"/>
    <w:rsid w:val="009718C5"/>
    <w:rsid w:val="009B3D93"/>
    <w:rsid w:val="009B7DAB"/>
    <w:rsid w:val="00A002E8"/>
    <w:rsid w:val="00A004D8"/>
    <w:rsid w:val="00A04BDB"/>
    <w:rsid w:val="00A201BB"/>
    <w:rsid w:val="00A244CC"/>
    <w:rsid w:val="00A26F3F"/>
    <w:rsid w:val="00A301C7"/>
    <w:rsid w:val="00A43549"/>
    <w:rsid w:val="00A6498C"/>
    <w:rsid w:val="00A73543"/>
    <w:rsid w:val="00A95CF8"/>
    <w:rsid w:val="00AD7338"/>
    <w:rsid w:val="00B0180D"/>
    <w:rsid w:val="00B018D0"/>
    <w:rsid w:val="00B3407E"/>
    <w:rsid w:val="00B54236"/>
    <w:rsid w:val="00B95993"/>
    <w:rsid w:val="00BA35A3"/>
    <w:rsid w:val="00BD4B23"/>
    <w:rsid w:val="00BF2062"/>
    <w:rsid w:val="00C06661"/>
    <w:rsid w:val="00C165FB"/>
    <w:rsid w:val="00C306E3"/>
    <w:rsid w:val="00C34BD7"/>
    <w:rsid w:val="00C44E07"/>
    <w:rsid w:val="00C6210D"/>
    <w:rsid w:val="00C6630B"/>
    <w:rsid w:val="00C82F8D"/>
    <w:rsid w:val="00CA636C"/>
    <w:rsid w:val="00CE39D5"/>
    <w:rsid w:val="00D04049"/>
    <w:rsid w:val="00D078B9"/>
    <w:rsid w:val="00D859BB"/>
    <w:rsid w:val="00DC2BA2"/>
    <w:rsid w:val="00DE6B38"/>
    <w:rsid w:val="00DF06ED"/>
    <w:rsid w:val="00E63CA8"/>
    <w:rsid w:val="00E9667F"/>
    <w:rsid w:val="00EE08FA"/>
    <w:rsid w:val="00F001D2"/>
    <w:rsid w:val="00F44BB7"/>
    <w:rsid w:val="00F80D08"/>
    <w:rsid w:val="00F815D2"/>
    <w:rsid w:val="00FA146C"/>
    <w:rsid w:val="00FC4237"/>
    <w:rsid w:val="00FD6227"/>
    <w:rsid w:val="011473B7"/>
    <w:rsid w:val="01441350"/>
    <w:rsid w:val="016F0A91"/>
    <w:rsid w:val="01A56261"/>
    <w:rsid w:val="01F82835"/>
    <w:rsid w:val="020E02AA"/>
    <w:rsid w:val="022C6982"/>
    <w:rsid w:val="02365602"/>
    <w:rsid w:val="02497534"/>
    <w:rsid w:val="02AA7C2F"/>
    <w:rsid w:val="02C558FA"/>
    <w:rsid w:val="035241C7"/>
    <w:rsid w:val="03A6703F"/>
    <w:rsid w:val="03BB7FBE"/>
    <w:rsid w:val="03CA6453"/>
    <w:rsid w:val="040231CC"/>
    <w:rsid w:val="048E122E"/>
    <w:rsid w:val="04B50EB1"/>
    <w:rsid w:val="04B944C7"/>
    <w:rsid w:val="04E92909"/>
    <w:rsid w:val="04F03C97"/>
    <w:rsid w:val="052265D2"/>
    <w:rsid w:val="05575AC4"/>
    <w:rsid w:val="05706B86"/>
    <w:rsid w:val="05FE0636"/>
    <w:rsid w:val="06913258"/>
    <w:rsid w:val="06E45F76"/>
    <w:rsid w:val="06E94E42"/>
    <w:rsid w:val="07293490"/>
    <w:rsid w:val="072B0A4F"/>
    <w:rsid w:val="07434552"/>
    <w:rsid w:val="080A5070"/>
    <w:rsid w:val="080B4BAB"/>
    <w:rsid w:val="08230990"/>
    <w:rsid w:val="08403C42"/>
    <w:rsid w:val="08677F85"/>
    <w:rsid w:val="08A61691"/>
    <w:rsid w:val="08B92E1C"/>
    <w:rsid w:val="08C23B9D"/>
    <w:rsid w:val="09750C0F"/>
    <w:rsid w:val="098B21E0"/>
    <w:rsid w:val="09A84B40"/>
    <w:rsid w:val="09C556F2"/>
    <w:rsid w:val="09C83435"/>
    <w:rsid w:val="09ED69F7"/>
    <w:rsid w:val="0A04422E"/>
    <w:rsid w:val="0A5B7E05"/>
    <w:rsid w:val="0AAA61B7"/>
    <w:rsid w:val="0ABE3BE2"/>
    <w:rsid w:val="0ACF1ECA"/>
    <w:rsid w:val="0B1B7594"/>
    <w:rsid w:val="0B545780"/>
    <w:rsid w:val="0BB43C70"/>
    <w:rsid w:val="0BF21A3C"/>
    <w:rsid w:val="0C1C6CAF"/>
    <w:rsid w:val="0C50246A"/>
    <w:rsid w:val="0C6108A9"/>
    <w:rsid w:val="0C8C24F7"/>
    <w:rsid w:val="0CAD6F08"/>
    <w:rsid w:val="0CB2622E"/>
    <w:rsid w:val="0D38442D"/>
    <w:rsid w:val="0DCB52A1"/>
    <w:rsid w:val="0E211365"/>
    <w:rsid w:val="0E3D7710"/>
    <w:rsid w:val="0E4427F6"/>
    <w:rsid w:val="0E5D16A8"/>
    <w:rsid w:val="0E7972ED"/>
    <w:rsid w:val="0EB421D9"/>
    <w:rsid w:val="0EEC50B3"/>
    <w:rsid w:val="0F277AAB"/>
    <w:rsid w:val="0F38127D"/>
    <w:rsid w:val="0F4075C9"/>
    <w:rsid w:val="10004BA9"/>
    <w:rsid w:val="10345380"/>
    <w:rsid w:val="10984252"/>
    <w:rsid w:val="10BE10ED"/>
    <w:rsid w:val="10ED552F"/>
    <w:rsid w:val="1167388F"/>
    <w:rsid w:val="117A5014"/>
    <w:rsid w:val="11BC5009"/>
    <w:rsid w:val="11C10E95"/>
    <w:rsid w:val="11FF3E12"/>
    <w:rsid w:val="120E39AF"/>
    <w:rsid w:val="125735A8"/>
    <w:rsid w:val="129B0B03"/>
    <w:rsid w:val="12B44556"/>
    <w:rsid w:val="12D93FBD"/>
    <w:rsid w:val="12E7492B"/>
    <w:rsid w:val="12E806A4"/>
    <w:rsid w:val="12FA6CF3"/>
    <w:rsid w:val="13313DF9"/>
    <w:rsid w:val="138A52B7"/>
    <w:rsid w:val="138C7166"/>
    <w:rsid w:val="13CA3479"/>
    <w:rsid w:val="13D514D9"/>
    <w:rsid w:val="141E507F"/>
    <w:rsid w:val="1491248A"/>
    <w:rsid w:val="14B051F1"/>
    <w:rsid w:val="153674A4"/>
    <w:rsid w:val="16175528"/>
    <w:rsid w:val="165F2A2B"/>
    <w:rsid w:val="16640041"/>
    <w:rsid w:val="16F84B2C"/>
    <w:rsid w:val="172D70F6"/>
    <w:rsid w:val="17CF2AE4"/>
    <w:rsid w:val="17D3547E"/>
    <w:rsid w:val="17EE4314"/>
    <w:rsid w:val="1867206B"/>
    <w:rsid w:val="18C31ADC"/>
    <w:rsid w:val="18C7235E"/>
    <w:rsid w:val="191C4C03"/>
    <w:rsid w:val="19232435"/>
    <w:rsid w:val="195720DF"/>
    <w:rsid w:val="19B412DF"/>
    <w:rsid w:val="19EA2F53"/>
    <w:rsid w:val="19F31E08"/>
    <w:rsid w:val="1A342318"/>
    <w:rsid w:val="1A6525DA"/>
    <w:rsid w:val="1A734CF7"/>
    <w:rsid w:val="1A8C3B1A"/>
    <w:rsid w:val="1A8C3BDE"/>
    <w:rsid w:val="1A8D159C"/>
    <w:rsid w:val="1AB532B8"/>
    <w:rsid w:val="1AD20D6A"/>
    <w:rsid w:val="1B1E2EB4"/>
    <w:rsid w:val="1B3E09FD"/>
    <w:rsid w:val="1B3F107D"/>
    <w:rsid w:val="1BDB2542"/>
    <w:rsid w:val="1BEE57EF"/>
    <w:rsid w:val="1BF172C8"/>
    <w:rsid w:val="1C297D63"/>
    <w:rsid w:val="1C601B63"/>
    <w:rsid w:val="1C7A236C"/>
    <w:rsid w:val="1C9A47BD"/>
    <w:rsid w:val="1CEC5C03"/>
    <w:rsid w:val="1D44297A"/>
    <w:rsid w:val="1DE55F0B"/>
    <w:rsid w:val="1E186426"/>
    <w:rsid w:val="1E6D5A6E"/>
    <w:rsid w:val="1E830638"/>
    <w:rsid w:val="1E8BC0CE"/>
    <w:rsid w:val="1EBD4792"/>
    <w:rsid w:val="1ED61CF8"/>
    <w:rsid w:val="1EF65EF6"/>
    <w:rsid w:val="1F2641D4"/>
    <w:rsid w:val="1F3644C3"/>
    <w:rsid w:val="1F5A46D7"/>
    <w:rsid w:val="1F6410B2"/>
    <w:rsid w:val="1F884DA0"/>
    <w:rsid w:val="1FB27F1C"/>
    <w:rsid w:val="1FCE2ABF"/>
    <w:rsid w:val="202D5948"/>
    <w:rsid w:val="206B1EAA"/>
    <w:rsid w:val="20947C82"/>
    <w:rsid w:val="209B6D55"/>
    <w:rsid w:val="20A200E4"/>
    <w:rsid w:val="20D44015"/>
    <w:rsid w:val="21434DA3"/>
    <w:rsid w:val="217575A6"/>
    <w:rsid w:val="21D06ED2"/>
    <w:rsid w:val="21D20555"/>
    <w:rsid w:val="22131BDA"/>
    <w:rsid w:val="221E7C3E"/>
    <w:rsid w:val="2232464B"/>
    <w:rsid w:val="22434104"/>
    <w:rsid w:val="22603DB2"/>
    <w:rsid w:val="22995516"/>
    <w:rsid w:val="22E569AE"/>
    <w:rsid w:val="23362D65"/>
    <w:rsid w:val="23641680"/>
    <w:rsid w:val="23C24E74"/>
    <w:rsid w:val="23E9602A"/>
    <w:rsid w:val="240510B5"/>
    <w:rsid w:val="242E35D4"/>
    <w:rsid w:val="2441234A"/>
    <w:rsid w:val="24730F18"/>
    <w:rsid w:val="24771887"/>
    <w:rsid w:val="24AB04CD"/>
    <w:rsid w:val="24E567F1"/>
    <w:rsid w:val="25661BA3"/>
    <w:rsid w:val="2591030A"/>
    <w:rsid w:val="25FC2044"/>
    <w:rsid w:val="26282E39"/>
    <w:rsid w:val="26ED7BDF"/>
    <w:rsid w:val="27165388"/>
    <w:rsid w:val="27231852"/>
    <w:rsid w:val="273606AA"/>
    <w:rsid w:val="27613721"/>
    <w:rsid w:val="27B30E28"/>
    <w:rsid w:val="28153BB7"/>
    <w:rsid w:val="28292E99"/>
    <w:rsid w:val="28344F9F"/>
    <w:rsid w:val="288074A4"/>
    <w:rsid w:val="28885E11"/>
    <w:rsid w:val="28D61E8B"/>
    <w:rsid w:val="290F71B2"/>
    <w:rsid w:val="29CE019B"/>
    <w:rsid w:val="29D067B9"/>
    <w:rsid w:val="29FE7192"/>
    <w:rsid w:val="2A07506E"/>
    <w:rsid w:val="2A33230D"/>
    <w:rsid w:val="2A4E4E38"/>
    <w:rsid w:val="2A5266D7"/>
    <w:rsid w:val="2A806F49"/>
    <w:rsid w:val="2AB32EED"/>
    <w:rsid w:val="2B65243A"/>
    <w:rsid w:val="2BA271EA"/>
    <w:rsid w:val="2BE53377"/>
    <w:rsid w:val="2BFB4B4C"/>
    <w:rsid w:val="2C1F2C6A"/>
    <w:rsid w:val="2C6A5645"/>
    <w:rsid w:val="2C8D7E9A"/>
    <w:rsid w:val="2CE70673"/>
    <w:rsid w:val="2D162C1F"/>
    <w:rsid w:val="2D2710B4"/>
    <w:rsid w:val="2D7C5689"/>
    <w:rsid w:val="2D9B65E7"/>
    <w:rsid w:val="2DA72201"/>
    <w:rsid w:val="2E390754"/>
    <w:rsid w:val="2E513149"/>
    <w:rsid w:val="2E7A444E"/>
    <w:rsid w:val="2EAC599E"/>
    <w:rsid w:val="2EBD5D77"/>
    <w:rsid w:val="2EE47E7C"/>
    <w:rsid w:val="2EEA688C"/>
    <w:rsid w:val="2F920AAA"/>
    <w:rsid w:val="2FBD48E2"/>
    <w:rsid w:val="2FD61B58"/>
    <w:rsid w:val="2FD8767E"/>
    <w:rsid w:val="2FEFB615"/>
    <w:rsid w:val="2FF66226"/>
    <w:rsid w:val="2FFB336C"/>
    <w:rsid w:val="2FFD5337"/>
    <w:rsid w:val="30052AD8"/>
    <w:rsid w:val="304F78BF"/>
    <w:rsid w:val="3075660F"/>
    <w:rsid w:val="30A6777C"/>
    <w:rsid w:val="30A72409"/>
    <w:rsid w:val="30D979EC"/>
    <w:rsid w:val="31126BC0"/>
    <w:rsid w:val="31264419"/>
    <w:rsid w:val="313A6116"/>
    <w:rsid w:val="3143321D"/>
    <w:rsid w:val="3148438F"/>
    <w:rsid w:val="3152349D"/>
    <w:rsid w:val="31BF6AF3"/>
    <w:rsid w:val="31E3230A"/>
    <w:rsid w:val="321B4B87"/>
    <w:rsid w:val="32A468A4"/>
    <w:rsid w:val="32B06690"/>
    <w:rsid w:val="32C97752"/>
    <w:rsid w:val="32F50547"/>
    <w:rsid w:val="331A1D5C"/>
    <w:rsid w:val="33D61D77"/>
    <w:rsid w:val="34496D9C"/>
    <w:rsid w:val="3455540B"/>
    <w:rsid w:val="34613C76"/>
    <w:rsid w:val="34930017"/>
    <w:rsid w:val="349F69BC"/>
    <w:rsid w:val="34C0687E"/>
    <w:rsid w:val="34C44675"/>
    <w:rsid w:val="34D67F04"/>
    <w:rsid w:val="355E3164"/>
    <w:rsid w:val="35726B4E"/>
    <w:rsid w:val="35DE1766"/>
    <w:rsid w:val="35ED52D3"/>
    <w:rsid w:val="35ED6974"/>
    <w:rsid w:val="36190728"/>
    <w:rsid w:val="362F3A36"/>
    <w:rsid w:val="365D6B2F"/>
    <w:rsid w:val="369E1165"/>
    <w:rsid w:val="36E92171"/>
    <w:rsid w:val="37733B29"/>
    <w:rsid w:val="37C60704"/>
    <w:rsid w:val="37E56DDC"/>
    <w:rsid w:val="37F963E3"/>
    <w:rsid w:val="37FB2842"/>
    <w:rsid w:val="380D1E8F"/>
    <w:rsid w:val="384F4255"/>
    <w:rsid w:val="38505007"/>
    <w:rsid w:val="38685317"/>
    <w:rsid w:val="38A02D03"/>
    <w:rsid w:val="3914724D"/>
    <w:rsid w:val="391A5826"/>
    <w:rsid w:val="39316051"/>
    <w:rsid w:val="394538AA"/>
    <w:rsid w:val="395D782A"/>
    <w:rsid w:val="39695368"/>
    <w:rsid w:val="398119E4"/>
    <w:rsid w:val="39C3314D"/>
    <w:rsid w:val="3A2A31CC"/>
    <w:rsid w:val="3A777A93"/>
    <w:rsid w:val="3AAE7070"/>
    <w:rsid w:val="3AEF7F72"/>
    <w:rsid w:val="3B1112B0"/>
    <w:rsid w:val="3B255C50"/>
    <w:rsid w:val="3B3D6F2F"/>
    <w:rsid w:val="3B48454E"/>
    <w:rsid w:val="3B8561E0"/>
    <w:rsid w:val="3BF75330"/>
    <w:rsid w:val="3C0356A1"/>
    <w:rsid w:val="3C7649A9"/>
    <w:rsid w:val="3C7A386B"/>
    <w:rsid w:val="3C8B1B79"/>
    <w:rsid w:val="3CAF5C0A"/>
    <w:rsid w:val="3CCD40B9"/>
    <w:rsid w:val="3CCF005B"/>
    <w:rsid w:val="3CF25AF7"/>
    <w:rsid w:val="3D193084"/>
    <w:rsid w:val="3D5F13DF"/>
    <w:rsid w:val="3D6F0EF6"/>
    <w:rsid w:val="3D921733"/>
    <w:rsid w:val="3DFB09DB"/>
    <w:rsid w:val="3E287A22"/>
    <w:rsid w:val="3EC46D65"/>
    <w:rsid w:val="3ECB79D6"/>
    <w:rsid w:val="3EFA2552"/>
    <w:rsid w:val="3EFF9C72"/>
    <w:rsid w:val="3FC340E8"/>
    <w:rsid w:val="3FCB112F"/>
    <w:rsid w:val="3FEA6CA0"/>
    <w:rsid w:val="40682C96"/>
    <w:rsid w:val="40714B13"/>
    <w:rsid w:val="409A6AF2"/>
    <w:rsid w:val="409B1845"/>
    <w:rsid w:val="40AD2473"/>
    <w:rsid w:val="40F855BF"/>
    <w:rsid w:val="416F6FD0"/>
    <w:rsid w:val="4174214E"/>
    <w:rsid w:val="41A03D74"/>
    <w:rsid w:val="41C119B8"/>
    <w:rsid w:val="422E137F"/>
    <w:rsid w:val="4242368C"/>
    <w:rsid w:val="42C45840"/>
    <w:rsid w:val="42E839B6"/>
    <w:rsid w:val="43485923"/>
    <w:rsid w:val="43747266"/>
    <w:rsid w:val="43830167"/>
    <w:rsid w:val="43B14016"/>
    <w:rsid w:val="44061EA9"/>
    <w:rsid w:val="449556E6"/>
    <w:rsid w:val="44A616A1"/>
    <w:rsid w:val="45050EEB"/>
    <w:rsid w:val="45BE6383"/>
    <w:rsid w:val="45E33599"/>
    <w:rsid w:val="45FB4B19"/>
    <w:rsid w:val="463D7C0A"/>
    <w:rsid w:val="467F0900"/>
    <w:rsid w:val="469C74C5"/>
    <w:rsid w:val="46CC1167"/>
    <w:rsid w:val="47694C08"/>
    <w:rsid w:val="47B16CDB"/>
    <w:rsid w:val="47CA38F8"/>
    <w:rsid w:val="47D147AA"/>
    <w:rsid w:val="48143A61"/>
    <w:rsid w:val="484C255F"/>
    <w:rsid w:val="487B0F36"/>
    <w:rsid w:val="48A44149"/>
    <w:rsid w:val="490C57F6"/>
    <w:rsid w:val="492B03C7"/>
    <w:rsid w:val="493E459E"/>
    <w:rsid w:val="49583186"/>
    <w:rsid w:val="4A192915"/>
    <w:rsid w:val="4A1E6B0A"/>
    <w:rsid w:val="4A7F4E6E"/>
    <w:rsid w:val="4AA12A0F"/>
    <w:rsid w:val="4AA85A47"/>
    <w:rsid w:val="4AC65027"/>
    <w:rsid w:val="4AE44CD1"/>
    <w:rsid w:val="4B03651F"/>
    <w:rsid w:val="4B222CD5"/>
    <w:rsid w:val="4B2B2900"/>
    <w:rsid w:val="4B3B68BB"/>
    <w:rsid w:val="4B7E5126"/>
    <w:rsid w:val="4B7F2C4C"/>
    <w:rsid w:val="4B924556"/>
    <w:rsid w:val="4BE2447A"/>
    <w:rsid w:val="4BE42A45"/>
    <w:rsid w:val="4BE75898"/>
    <w:rsid w:val="4C237A7B"/>
    <w:rsid w:val="4C7327B1"/>
    <w:rsid w:val="4CBA03DF"/>
    <w:rsid w:val="4CF66F3E"/>
    <w:rsid w:val="4D5D6FBD"/>
    <w:rsid w:val="4D9712E6"/>
    <w:rsid w:val="4D9D561D"/>
    <w:rsid w:val="4DA16EA9"/>
    <w:rsid w:val="4E8A3DE2"/>
    <w:rsid w:val="4E977924"/>
    <w:rsid w:val="4E9F5DBC"/>
    <w:rsid w:val="4ED35788"/>
    <w:rsid w:val="4F026EB4"/>
    <w:rsid w:val="4F11005F"/>
    <w:rsid w:val="4F912F4E"/>
    <w:rsid w:val="4FC6709B"/>
    <w:rsid w:val="4FDA888D"/>
    <w:rsid w:val="4FE81398"/>
    <w:rsid w:val="4FF580D4"/>
    <w:rsid w:val="50516A66"/>
    <w:rsid w:val="508D296A"/>
    <w:rsid w:val="51234079"/>
    <w:rsid w:val="513149E8"/>
    <w:rsid w:val="517D19DC"/>
    <w:rsid w:val="51BF6E74"/>
    <w:rsid w:val="51F44B45"/>
    <w:rsid w:val="52095776"/>
    <w:rsid w:val="521D6D1B"/>
    <w:rsid w:val="525C7843"/>
    <w:rsid w:val="52AD4542"/>
    <w:rsid w:val="52D95337"/>
    <w:rsid w:val="53191BD8"/>
    <w:rsid w:val="535449BE"/>
    <w:rsid w:val="53B84F4D"/>
    <w:rsid w:val="53E33F3A"/>
    <w:rsid w:val="54033ED1"/>
    <w:rsid w:val="54077C82"/>
    <w:rsid w:val="547F78DD"/>
    <w:rsid w:val="54C735ED"/>
    <w:rsid w:val="54CA6A15"/>
    <w:rsid w:val="551C5C3C"/>
    <w:rsid w:val="55283086"/>
    <w:rsid w:val="554C1DF1"/>
    <w:rsid w:val="55D50038"/>
    <w:rsid w:val="55E95892"/>
    <w:rsid w:val="562F4FDE"/>
    <w:rsid w:val="567315FF"/>
    <w:rsid w:val="568B06F7"/>
    <w:rsid w:val="570A713B"/>
    <w:rsid w:val="570F2ADF"/>
    <w:rsid w:val="572B2565"/>
    <w:rsid w:val="57554542"/>
    <w:rsid w:val="575B456D"/>
    <w:rsid w:val="57686A69"/>
    <w:rsid w:val="577E8544"/>
    <w:rsid w:val="577FB85A"/>
    <w:rsid w:val="581F309E"/>
    <w:rsid w:val="58507E4A"/>
    <w:rsid w:val="590F5181"/>
    <w:rsid w:val="592310BA"/>
    <w:rsid w:val="59F359C5"/>
    <w:rsid w:val="59FD9BA4"/>
    <w:rsid w:val="5A032C9A"/>
    <w:rsid w:val="5A0B5C74"/>
    <w:rsid w:val="5A316DF7"/>
    <w:rsid w:val="5A5D684E"/>
    <w:rsid w:val="5A643739"/>
    <w:rsid w:val="5A7C7031"/>
    <w:rsid w:val="5B136F0D"/>
    <w:rsid w:val="5B22382A"/>
    <w:rsid w:val="5B94004E"/>
    <w:rsid w:val="5BC546AB"/>
    <w:rsid w:val="5BEF7CDF"/>
    <w:rsid w:val="5C125416"/>
    <w:rsid w:val="5C2C7647"/>
    <w:rsid w:val="5C4C76A2"/>
    <w:rsid w:val="5C65693F"/>
    <w:rsid w:val="5C6E089F"/>
    <w:rsid w:val="5C771040"/>
    <w:rsid w:val="5CAC13C7"/>
    <w:rsid w:val="5CBA078A"/>
    <w:rsid w:val="5CE172EE"/>
    <w:rsid w:val="5CF35B35"/>
    <w:rsid w:val="5D7FB976"/>
    <w:rsid w:val="5DC25A71"/>
    <w:rsid w:val="5E192A8C"/>
    <w:rsid w:val="5E2D5305"/>
    <w:rsid w:val="5E714676"/>
    <w:rsid w:val="5E953430"/>
    <w:rsid w:val="5EA35E73"/>
    <w:rsid w:val="5EAB72F7"/>
    <w:rsid w:val="5EC1039D"/>
    <w:rsid w:val="5EE6DD81"/>
    <w:rsid w:val="5F1D2645"/>
    <w:rsid w:val="5F944AC0"/>
    <w:rsid w:val="5FF81680"/>
    <w:rsid w:val="5FFE1F39"/>
    <w:rsid w:val="60123C37"/>
    <w:rsid w:val="6017749F"/>
    <w:rsid w:val="60350F8B"/>
    <w:rsid w:val="60370A6F"/>
    <w:rsid w:val="60A30D33"/>
    <w:rsid w:val="60A70823"/>
    <w:rsid w:val="60D206A1"/>
    <w:rsid w:val="610D0E27"/>
    <w:rsid w:val="611655F8"/>
    <w:rsid w:val="616B35FF"/>
    <w:rsid w:val="622A2274"/>
    <w:rsid w:val="6232236E"/>
    <w:rsid w:val="62375BD7"/>
    <w:rsid w:val="62424E28"/>
    <w:rsid w:val="62881554"/>
    <w:rsid w:val="62894684"/>
    <w:rsid w:val="62BA2B36"/>
    <w:rsid w:val="62C21944"/>
    <w:rsid w:val="62C456BC"/>
    <w:rsid w:val="62D460A8"/>
    <w:rsid w:val="62F31AFE"/>
    <w:rsid w:val="632F77D5"/>
    <w:rsid w:val="63793F3F"/>
    <w:rsid w:val="638E5CCA"/>
    <w:rsid w:val="64175CC0"/>
    <w:rsid w:val="643A375C"/>
    <w:rsid w:val="644C4E9D"/>
    <w:rsid w:val="64590086"/>
    <w:rsid w:val="647749B0"/>
    <w:rsid w:val="64874BF3"/>
    <w:rsid w:val="64B25AA0"/>
    <w:rsid w:val="64C22F3B"/>
    <w:rsid w:val="64CE0D28"/>
    <w:rsid w:val="64E25391"/>
    <w:rsid w:val="65164566"/>
    <w:rsid w:val="651D10B4"/>
    <w:rsid w:val="65271F32"/>
    <w:rsid w:val="655D0432"/>
    <w:rsid w:val="65A215B9"/>
    <w:rsid w:val="65D976D1"/>
    <w:rsid w:val="65E676F8"/>
    <w:rsid w:val="66170870"/>
    <w:rsid w:val="665C3E5E"/>
    <w:rsid w:val="66846F11"/>
    <w:rsid w:val="66DFF7D7"/>
    <w:rsid w:val="66E55C01"/>
    <w:rsid w:val="674B5438"/>
    <w:rsid w:val="677D0530"/>
    <w:rsid w:val="677F4F0E"/>
    <w:rsid w:val="677F888F"/>
    <w:rsid w:val="67897DDC"/>
    <w:rsid w:val="67DA328C"/>
    <w:rsid w:val="686B0388"/>
    <w:rsid w:val="68F16ADF"/>
    <w:rsid w:val="691B0000"/>
    <w:rsid w:val="69635503"/>
    <w:rsid w:val="69E25443"/>
    <w:rsid w:val="6A6652AB"/>
    <w:rsid w:val="6A815C41"/>
    <w:rsid w:val="6A952C6B"/>
    <w:rsid w:val="6AB57FE0"/>
    <w:rsid w:val="6B0C5E52"/>
    <w:rsid w:val="6B2A277C"/>
    <w:rsid w:val="6B882F74"/>
    <w:rsid w:val="6BB5418C"/>
    <w:rsid w:val="6C2D495E"/>
    <w:rsid w:val="6C35284A"/>
    <w:rsid w:val="6C3867D3"/>
    <w:rsid w:val="6D392803"/>
    <w:rsid w:val="6DF350A8"/>
    <w:rsid w:val="6E3A4A84"/>
    <w:rsid w:val="6E471BE1"/>
    <w:rsid w:val="6E82467D"/>
    <w:rsid w:val="6EA32049"/>
    <w:rsid w:val="6EC66318"/>
    <w:rsid w:val="6ED8429D"/>
    <w:rsid w:val="6F142338"/>
    <w:rsid w:val="6F8F2BAE"/>
    <w:rsid w:val="6FAC7C04"/>
    <w:rsid w:val="6FFBE63C"/>
    <w:rsid w:val="700E4B1F"/>
    <w:rsid w:val="702E23C7"/>
    <w:rsid w:val="70D479FE"/>
    <w:rsid w:val="70E73320"/>
    <w:rsid w:val="70E86ED8"/>
    <w:rsid w:val="70EE5FFA"/>
    <w:rsid w:val="70FA3EBE"/>
    <w:rsid w:val="714B0D57"/>
    <w:rsid w:val="71647D7F"/>
    <w:rsid w:val="71A62431"/>
    <w:rsid w:val="71AB7A47"/>
    <w:rsid w:val="72111FA0"/>
    <w:rsid w:val="725D3437"/>
    <w:rsid w:val="725D51E5"/>
    <w:rsid w:val="72DF209E"/>
    <w:rsid w:val="732925AC"/>
    <w:rsid w:val="7355410F"/>
    <w:rsid w:val="737FEF57"/>
    <w:rsid w:val="740B2A1F"/>
    <w:rsid w:val="7419513C"/>
    <w:rsid w:val="743261FE"/>
    <w:rsid w:val="74730BC4"/>
    <w:rsid w:val="750E50CA"/>
    <w:rsid w:val="757D12FF"/>
    <w:rsid w:val="75932CCC"/>
    <w:rsid w:val="75EF4714"/>
    <w:rsid w:val="76124721"/>
    <w:rsid w:val="76AC04E9"/>
    <w:rsid w:val="76F116B3"/>
    <w:rsid w:val="774B7D02"/>
    <w:rsid w:val="77793DDE"/>
    <w:rsid w:val="77D274FB"/>
    <w:rsid w:val="78210641"/>
    <w:rsid w:val="782115C4"/>
    <w:rsid w:val="78345A42"/>
    <w:rsid w:val="78482494"/>
    <w:rsid w:val="78931961"/>
    <w:rsid w:val="7948558C"/>
    <w:rsid w:val="79824413"/>
    <w:rsid w:val="79825532"/>
    <w:rsid w:val="79AC8678"/>
    <w:rsid w:val="79CE4C1B"/>
    <w:rsid w:val="7A57076C"/>
    <w:rsid w:val="7A873BF9"/>
    <w:rsid w:val="7BB010CF"/>
    <w:rsid w:val="7BC00ADA"/>
    <w:rsid w:val="7BE30D1C"/>
    <w:rsid w:val="7C223CC8"/>
    <w:rsid w:val="7C266648"/>
    <w:rsid w:val="7C28353F"/>
    <w:rsid w:val="7C5533D1"/>
    <w:rsid w:val="7C7C095E"/>
    <w:rsid w:val="7CCB10B2"/>
    <w:rsid w:val="7CFD185C"/>
    <w:rsid w:val="7D332B0B"/>
    <w:rsid w:val="7D913F95"/>
    <w:rsid w:val="7D985324"/>
    <w:rsid w:val="7DDF2F52"/>
    <w:rsid w:val="7DF33CC5"/>
    <w:rsid w:val="7E16060C"/>
    <w:rsid w:val="7E1B01F2"/>
    <w:rsid w:val="7E2412AD"/>
    <w:rsid w:val="7E3C03A5"/>
    <w:rsid w:val="7E631DD5"/>
    <w:rsid w:val="7E633B84"/>
    <w:rsid w:val="7E696CC0"/>
    <w:rsid w:val="7ED763A7"/>
    <w:rsid w:val="7EF5FC5D"/>
    <w:rsid w:val="7EFD72F6"/>
    <w:rsid w:val="7F5668B5"/>
    <w:rsid w:val="7F5B2AAD"/>
    <w:rsid w:val="7F7351C0"/>
    <w:rsid w:val="7F7B314F"/>
    <w:rsid w:val="7FC70142"/>
    <w:rsid w:val="7FCF53AC"/>
    <w:rsid w:val="7FDEC084"/>
    <w:rsid w:val="97BA2263"/>
    <w:rsid w:val="9BFD8EE2"/>
    <w:rsid w:val="BDEFF010"/>
    <w:rsid w:val="CEED89A0"/>
    <w:rsid w:val="D56F80F3"/>
    <w:rsid w:val="D7E1DD7F"/>
    <w:rsid w:val="F2FF62F9"/>
    <w:rsid w:val="F4C77237"/>
    <w:rsid w:val="F6D9F301"/>
    <w:rsid w:val="F78637E2"/>
    <w:rsid w:val="FBBB85F2"/>
    <w:rsid w:val="FD48E00F"/>
    <w:rsid w:val="FD712EA9"/>
    <w:rsid w:val="FE7E828D"/>
    <w:rsid w:val="FFB723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lang w:val="en-US" w:eastAsia="zh-CN" w:bidi="ar-SA"/>
    </w:rPr>
  </w:style>
  <w:style w:type="paragraph" w:styleId="2">
    <w:name w:val="heading 1"/>
    <w:basedOn w:val="1"/>
    <w:next w:val="1"/>
    <w:link w:val="4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numPr>
        <w:ilvl w:val="1"/>
        <w:numId w:val="1"/>
      </w:numPr>
      <w:tabs>
        <w:tab w:val="left" w:pos="420"/>
      </w:tabs>
      <w:spacing w:line="360" w:lineRule="auto"/>
      <w:outlineLvl w:val="1"/>
    </w:pPr>
    <w:rPr>
      <w:rFonts w:ascii="宋体" w:hAnsi="宋体"/>
      <w:b/>
      <w:bCs/>
      <w:sz w:val="28"/>
      <w:szCs w:val="30"/>
    </w:rPr>
  </w:style>
  <w:style w:type="paragraph" w:styleId="4">
    <w:name w:val="heading 3"/>
    <w:basedOn w:val="5"/>
    <w:next w:val="1"/>
    <w:qFormat/>
    <w:uiPriority w:val="0"/>
    <w:pPr>
      <w:numPr>
        <w:ilvl w:val="2"/>
        <w:numId w:val="1"/>
      </w:numPr>
      <w:outlineLvl w:val="2"/>
    </w:pPr>
  </w:style>
  <w:style w:type="paragraph" w:styleId="5">
    <w:name w:val="heading 8"/>
    <w:basedOn w:val="1"/>
    <w:next w:val="6"/>
    <w:qFormat/>
    <w:uiPriority w:val="0"/>
    <w:pPr>
      <w:keepNext/>
      <w:keepLines/>
      <w:adjustRightInd w:val="0"/>
      <w:spacing w:line="360" w:lineRule="auto"/>
      <w:outlineLvl w:val="7"/>
    </w:pPr>
    <w:rPr>
      <w:b/>
      <w:sz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style>
  <w:style w:type="paragraph" w:styleId="7">
    <w:name w:val="List Number"/>
    <w:basedOn w:val="1"/>
    <w:qFormat/>
    <w:uiPriority w:val="0"/>
    <w:pPr>
      <w:numPr>
        <w:ilvl w:val="0"/>
        <w:numId w:val="2"/>
      </w:numPr>
    </w:pPr>
    <w:rPr>
      <w:kern w:val="2"/>
      <w:sz w:val="21"/>
      <w:szCs w:val="22"/>
    </w:rPr>
  </w:style>
  <w:style w:type="paragraph" w:styleId="8">
    <w:name w:val="Document Map"/>
    <w:basedOn w:val="1"/>
    <w:link w:val="99"/>
    <w:qFormat/>
    <w:uiPriority w:val="0"/>
    <w:rPr>
      <w:rFonts w:ascii="宋体"/>
      <w:sz w:val="18"/>
      <w:szCs w:val="18"/>
    </w:rPr>
  </w:style>
  <w:style w:type="paragraph" w:styleId="9">
    <w:name w:val="annotation text"/>
    <w:basedOn w:val="1"/>
    <w:qFormat/>
    <w:uiPriority w:val="0"/>
    <w:pPr>
      <w:jc w:val="left"/>
    </w:pPr>
  </w:style>
  <w:style w:type="paragraph" w:styleId="10">
    <w:name w:val="Body Text"/>
    <w:basedOn w:val="1"/>
    <w:next w:val="11"/>
    <w:link w:val="42"/>
    <w:qFormat/>
    <w:uiPriority w:val="99"/>
    <w:pPr>
      <w:adjustRightInd w:val="0"/>
      <w:spacing w:line="360" w:lineRule="auto"/>
      <w:jc w:val="center"/>
      <w:textAlignment w:val="baseline"/>
    </w:pPr>
    <w:rPr>
      <w:sz w:val="24"/>
    </w:rPr>
  </w:style>
  <w:style w:type="paragraph" w:styleId="11">
    <w:name w:val="Title"/>
    <w:basedOn w:val="1"/>
    <w:next w:val="1"/>
    <w:link w:val="86"/>
    <w:qFormat/>
    <w:uiPriority w:val="0"/>
    <w:pPr>
      <w:spacing w:before="240" w:after="60"/>
      <w:jc w:val="center"/>
      <w:outlineLvl w:val="0"/>
    </w:pPr>
    <w:rPr>
      <w:rFonts w:ascii="Arial" w:hAnsi="Arial" w:cs="Arial"/>
      <w:b/>
      <w:bCs/>
      <w:sz w:val="32"/>
      <w:szCs w:val="32"/>
    </w:rPr>
  </w:style>
  <w:style w:type="paragraph" w:styleId="12">
    <w:name w:val="Body Text Indent"/>
    <w:basedOn w:val="1"/>
    <w:qFormat/>
    <w:uiPriority w:val="99"/>
    <w:pPr>
      <w:spacing w:after="120"/>
      <w:ind w:left="420" w:leftChars="200"/>
    </w:pPr>
  </w:style>
  <w:style w:type="paragraph" w:styleId="13">
    <w:name w:val="toc 3"/>
    <w:basedOn w:val="1"/>
    <w:next w:val="1"/>
    <w:qFormat/>
    <w:uiPriority w:val="39"/>
    <w:pPr>
      <w:spacing w:line="360" w:lineRule="auto"/>
      <w:ind w:left="454"/>
      <w:jc w:val="left"/>
    </w:pPr>
    <w:rPr>
      <w:b/>
      <w:iCs/>
    </w:rPr>
  </w:style>
  <w:style w:type="paragraph" w:styleId="14">
    <w:name w:val="Plain Text"/>
    <w:basedOn w:val="1"/>
    <w:link w:val="85"/>
    <w:qFormat/>
    <w:uiPriority w:val="0"/>
    <w:rPr>
      <w:rFonts w:ascii="宋体" w:hAnsi="Courier New"/>
      <w:kern w:val="2"/>
      <w:sz w:val="21"/>
    </w:rPr>
  </w:style>
  <w:style w:type="paragraph" w:styleId="15">
    <w:name w:val="Date"/>
    <w:basedOn w:val="1"/>
    <w:next w:val="1"/>
    <w:qFormat/>
    <w:uiPriority w:val="0"/>
    <w:rPr>
      <w:rFonts w:ascii="宋体"/>
      <w:sz w:val="24"/>
    </w:rPr>
  </w:style>
  <w:style w:type="paragraph" w:styleId="16">
    <w:name w:val="Balloon Text"/>
    <w:basedOn w:val="1"/>
    <w:next w:val="15"/>
    <w:semiHidden/>
    <w:qFormat/>
    <w:uiPriority w:val="0"/>
    <w:pPr>
      <w:widowControl/>
      <w:jc w:val="left"/>
    </w:pPr>
    <w:rPr>
      <w:sz w:val="18"/>
      <w:szCs w:val="18"/>
      <w:lang w:eastAsia="en-US"/>
    </w:rPr>
  </w:style>
  <w:style w:type="paragraph" w:styleId="17">
    <w:name w:val="footer"/>
    <w:basedOn w:val="1"/>
    <w:qFormat/>
    <w:uiPriority w:val="99"/>
    <w:pPr>
      <w:tabs>
        <w:tab w:val="center" w:pos="4153"/>
        <w:tab w:val="right" w:pos="8306"/>
      </w:tabs>
      <w:adjustRightInd w:val="0"/>
      <w:spacing w:line="240" w:lineRule="atLeast"/>
      <w:jc w:val="left"/>
      <w:textAlignment w:val="baseline"/>
    </w:pPr>
    <w:rPr>
      <w:sz w:val="18"/>
    </w:rPr>
  </w:style>
  <w:style w:type="paragraph" w:styleId="18">
    <w:name w:val="header"/>
    <w:basedOn w:val="1"/>
    <w:qFormat/>
    <w:uiPriority w:val="0"/>
    <w:pPr>
      <w:pBdr>
        <w:bottom w:val="single" w:color="auto" w:sz="6" w:space="1"/>
      </w:pBdr>
      <w:tabs>
        <w:tab w:val="center" w:pos="4153"/>
        <w:tab w:val="right" w:pos="8306"/>
      </w:tabs>
      <w:adjustRightInd w:val="0"/>
      <w:spacing w:line="240" w:lineRule="atLeast"/>
      <w:jc w:val="center"/>
      <w:textAlignment w:val="baseline"/>
    </w:pPr>
    <w:rPr>
      <w:sz w:val="18"/>
    </w:rPr>
  </w:style>
  <w:style w:type="paragraph" w:styleId="19">
    <w:name w:val="toc 1"/>
    <w:basedOn w:val="1"/>
    <w:next w:val="1"/>
    <w:qFormat/>
    <w:uiPriority w:val="39"/>
    <w:pPr>
      <w:spacing w:before="120" w:after="120" w:line="360" w:lineRule="auto"/>
      <w:jc w:val="left"/>
    </w:pPr>
    <w:rPr>
      <w:rFonts w:ascii="Calibri" w:hAnsi="Calibri"/>
      <w:b/>
      <w:bCs/>
      <w:caps/>
    </w:rPr>
  </w:style>
  <w:style w:type="paragraph" w:styleId="20">
    <w:name w:val="List"/>
    <w:basedOn w:val="1"/>
    <w:unhideWhenUsed/>
    <w:qFormat/>
    <w:uiPriority w:val="0"/>
    <w:pPr>
      <w:ind w:left="200" w:hanging="200" w:hangingChars="200"/>
      <w:contextualSpacing/>
    </w:pPr>
  </w:style>
  <w:style w:type="paragraph" w:styleId="21">
    <w:name w:val="toc 2"/>
    <w:basedOn w:val="1"/>
    <w:next w:val="1"/>
    <w:qFormat/>
    <w:uiPriority w:val="39"/>
    <w:pPr>
      <w:spacing w:line="360" w:lineRule="auto"/>
      <w:ind w:left="227"/>
      <w:jc w:val="left"/>
    </w:pPr>
    <w:rPr>
      <w:rFonts w:ascii="Calibri" w:hAnsi="Calibri"/>
      <w:b/>
      <w:smallCaps/>
    </w:rPr>
  </w:style>
  <w:style w:type="paragraph" w:styleId="22">
    <w:name w:val="Body Text First Indent"/>
    <w:basedOn w:val="1"/>
    <w:next w:val="23"/>
    <w:qFormat/>
    <w:uiPriority w:val="0"/>
    <w:pPr>
      <w:spacing w:after="120"/>
      <w:ind w:firstLine="420" w:firstLineChars="100"/>
      <w:jc w:val="left"/>
    </w:pPr>
  </w:style>
  <w:style w:type="paragraph" w:customStyle="1" w:styleId="23">
    <w:name w:val="Char Char Char"/>
    <w:basedOn w:val="1"/>
    <w:next w:val="16"/>
    <w:qFormat/>
    <w:uiPriority w:val="0"/>
    <w:pPr>
      <w:spacing w:line="360" w:lineRule="auto"/>
      <w:ind w:firstLine="3584"/>
    </w:pPr>
    <w:rPr>
      <w:rFonts w:ascii="Tahoma"/>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qFormat/>
    <w:uiPriority w:val="0"/>
  </w:style>
  <w:style w:type="character" w:styleId="28">
    <w:name w:val="FollowedHyperlink"/>
    <w:basedOn w:val="26"/>
    <w:unhideWhenUsed/>
    <w:qFormat/>
    <w:uiPriority w:val="99"/>
    <w:rPr>
      <w:color w:val="954F72"/>
      <w:u w:val="single"/>
    </w:rPr>
  </w:style>
  <w:style w:type="character" w:styleId="29">
    <w:name w:val="Emphasis"/>
    <w:qFormat/>
    <w:uiPriority w:val="0"/>
    <w:rPr>
      <w:rFonts w:ascii="宋体" w:hAnsi="宋体"/>
      <w:b/>
      <w:color w:val="000000"/>
      <w:kern w:val="0"/>
      <w:sz w:val="24"/>
    </w:rPr>
  </w:style>
  <w:style w:type="character" w:styleId="30">
    <w:name w:val="Hyperlink"/>
    <w:qFormat/>
    <w:uiPriority w:val="99"/>
    <w:rPr>
      <w:color w:val="0000FF"/>
      <w:u w:val="single"/>
    </w:rPr>
  </w:style>
  <w:style w:type="paragraph" w:customStyle="1" w:styleId="31">
    <w:name w:val="章节标题1"/>
    <w:basedOn w:val="3"/>
    <w:qFormat/>
    <w:uiPriority w:val="0"/>
    <w:pPr>
      <w:numPr>
        <w:ilvl w:val="0"/>
      </w:numPr>
      <w:jc w:val="center"/>
      <w:outlineLvl w:val="0"/>
    </w:pPr>
  </w:style>
  <w:style w:type="paragraph" w:customStyle="1" w:styleId="32">
    <w:name w:val="一级正文编号"/>
    <w:basedOn w:val="1"/>
    <w:qFormat/>
    <w:uiPriority w:val="0"/>
    <w:pPr>
      <w:widowControl/>
      <w:numPr>
        <w:ilvl w:val="0"/>
        <w:numId w:val="3"/>
      </w:numPr>
      <w:overflowPunct w:val="0"/>
      <w:autoSpaceDE w:val="0"/>
      <w:autoSpaceDN w:val="0"/>
      <w:adjustRightInd w:val="0"/>
      <w:snapToGrid w:val="0"/>
      <w:spacing w:beforeLines="30" w:after="60" w:line="360" w:lineRule="auto"/>
      <w:ind w:left="0" w:firstLine="0"/>
      <w:jc w:val="left"/>
      <w:textAlignment w:val="baseline"/>
    </w:pPr>
    <w:rPr>
      <w:rFonts w:ascii="宋体" w:hAnsi="宋体"/>
      <w:color w:val="000000"/>
      <w:sz w:val="24"/>
    </w:rPr>
  </w:style>
  <w:style w:type="paragraph" w:customStyle="1" w:styleId="33">
    <w:name w:val="编号正文项目"/>
    <w:basedOn w:val="1"/>
    <w:qFormat/>
    <w:uiPriority w:val="0"/>
    <w:pPr>
      <w:widowControl/>
      <w:numPr>
        <w:ilvl w:val="0"/>
        <w:numId w:val="4"/>
      </w:numPr>
      <w:adjustRightInd w:val="0"/>
      <w:snapToGrid w:val="0"/>
      <w:spacing w:line="360" w:lineRule="auto"/>
      <w:jc w:val="left"/>
    </w:pPr>
    <w:rPr>
      <w:rFonts w:ascii="宋体" w:hAnsi="宋体"/>
      <w:sz w:val="24"/>
    </w:rPr>
  </w:style>
  <w:style w:type="paragraph" w:customStyle="1" w:styleId="34">
    <w:name w:val="文章正文"/>
    <w:basedOn w:val="1"/>
    <w:qFormat/>
    <w:uiPriority w:val="0"/>
    <w:pPr>
      <w:adjustRightInd w:val="0"/>
      <w:snapToGrid w:val="0"/>
      <w:spacing w:beforeLines="30" w:line="360" w:lineRule="auto"/>
      <w:ind w:firstLine="480" w:firstLineChars="200"/>
    </w:pPr>
    <w:rPr>
      <w:rFonts w:ascii="宋体" w:hAnsi="宋体"/>
      <w:color w:val="000000"/>
      <w:sz w:val="24"/>
    </w:rPr>
  </w:style>
  <w:style w:type="paragraph" w:customStyle="1" w:styleId="35">
    <w:name w:val="编号正文"/>
    <w:basedOn w:val="36"/>
    <w:qFormat/>
    <w:uiPriority w:val="0"/>
    <w:pPr>
      <w:widowControl/>
      <w:numPr>
        <w:ilvl w:val="0"/>
        <w:numId w:val="5"/>
      </w:numPr>
      <w:adjustRightInd w:val="0"/>
      <w:snapToGrid w:val="0"/>
      <w:spacing w:line="360" w:lineRule="auto"/>
      <w:ind w:firstLineChars="0"/>
      <w:jc w:val="left"/>
    </w:pPr>
    <w:rPr>
      <w:rFonts w:ascii="宋体" w:hAnsi="宋体"/>
      <w:color w:val="000000"/>
      <w:sz w:val="24"/>
    </w:rPr>
  </w:style>
  <w:style w:type="paragraph" w:styleId="36">
    <w:name w:val="List Paragraph"/>
    <w:basedOn w:val="1"/>
    <w:qFormat/>
    <w:uiPriority w:val="99"/>
    <w:pPr>
      <w:ind w:firstLine="420" w:firstLineChars="200"/>
    </w:pPr>
  </w:style>
  <w:style w:type="paragraph" w:customStyle="1" w:styleId="37">
    <w:name w:val="p15"/>
    <w:basedOn w:val="1"/>
    <w:next w:val="38"/>
    <w:qFormat/>
    <w:uiPriority w:val="0"/>
    <w:pPr>
      <w:widowControl/>
      <w:spacing w:before="240" w:after="60"/>
      <w:jc w:val="center"/>
    </w:pPr>
    <w:rPr>
      <w:rFonts w:ascii="Arial" w:hAnsi="Arial" w:cs="Arial"/>
      <w:b/>
      <w:bCs/>
      <w:sz w:val="32"/>
      <w:szCs w:val="32"/>
    </w:rPr>
  </w:style>
  <w:style w:type="paragraph" w:customStyle="1" w:styleId="38">
    <w:name w:val="Char Char Char Char Char Char"/>
    <w:basedOn w:val="1"/>
    <w:next w:val="22"/>
    <w:qFormat/>
    <w:uiPriority w:val="0"/>
    <w:pPr>
      <w:spacing w:line="360" w:lineRule="auto"/>
      <w:ind w:firstLine="3584"/>
    </w:pPr>
    <w:rPr>
      <w:rFonts w:ascii="Tahoma"/>
    </w:rPr>
  </w:style>
  <w:style w:type="paragraph" w:customStyle="1" w:styleId="39">
    <w:name w:val="图表目录1"/>
    <w:basedOn w:val="40"/>
    <w:next w:val="40"/>
    <w:qFormat/>
    <w:uiPriority w:val="0"/>
    <w:pPr>
      <w:ind w:left="200" w:leftChars="200" w:hanging="200" w:hangingChars="200"/>
    </w:pPr>
    <w:rPr>
      <w:rFonts w:ascii="Calibri" w:hAnsi="Calibri"/>
    </w:rPr>
  </w:style>
  <w:style w:type="paragraph" w:customStyle="1" w:styleId="40">
    <w:name w:val="正文 New New New New New New New New New New New New New New New New New New New New New New New New New New New New New New New New New New New New New New New New New New New New New New New New New New New New New New New New New New New New New New Ne"/>
    <w:next w:val="39"/>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1">
    <w:name w:val="标题 1 字符"/>
    <w:basedOn w:val="26"/>
    <w:link w:val="2"/>
    <w:qFormat/>
    <w:uiPriority w:val="0"/>
    <w:rPr>
      <w:rFonts w:ascii="Times New Roman" w:hAnsi="Times New Roman" w:eastAsia="宋体" w:cs="Times New Roman"/>
      <w:b/>
      <w:bCs/>
      <w:kern w:val="44"/>
      <w:sz w:val="44"/>
      <w:szCs w:val="44"/>
    </w:rPr>
  </w:style>
  <w:style w:type="character" w:customStyle="1" w:styleId="42">
    <w:name w:val="正文文本 字符"/>
    <w:basedOn w:val="26"/>
    <w:link w:val="10"/>
    <w:qFormat/>
    <w:uiPriority w:val="99"/>
    <w:rPr>
      <w:rFonts w:ascii="Times New Roman" w:hAnsi="Times New Roman" w:eastAsia="宋体" w:cs="Times New Roman"/>
      <w:sz w:val="24"/>
    </w:rPr>
  </w:style>
  <w:style w:type="paragraph" w:customStyle="1" w:styleId="43">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44">
    <w:name w:val="font5"/>
    <w:basedOn w:val="1"/>
    <w:qFormat/>
    <w:uiPriority w:val="0"/>
    <w:pPr>
      <w:widowControl/>
      <w:spacing w:before="100" w:beforeAutospacing="1" w:after="100" w:afterAutospacing="1"/>
      <w:jc w:val="left"/>
    </w:pPr>
    <w:rPr>
      <w:rFonts w:ascii="宋体" w:hAnsi="宋体" w:cs="宋体"/>
      <w:b/>
      <w:bCs/>
    </w:rPr>
  </w:style>
  <w:style w:type="paragraph" w:customStyle="1" w:styleId="45">
    <w:name w:val="font6"/>
    <w:basedOn w:val="1"/>
    <w:qFormat/>
    <w:uiPriority w:val="0"/>
    <w:pPr>
      <w:widowControl/>
      <w:spacing w:before="100" w:beforeAutospacing="1" w:after="100" w:afterAutospacing="1"/>
      <w:jc w:val="left"/>
    </w:pPr>
    <w:rPr>
      <w:rFonts w:ascii="等线" w:hAnsi="等线" w:eastAsia="等线" w:cs="宋体"/>
      <w:sz w:val="18"/>
      <w:szCs w:val="18"/>
    </w:rPr>
  </w:style>
  <w:style w:type="paragraph" w:customStyle="1" w:styleId="46">
    <w:name w:val="font7"/>
    <w:basedOn w:val="1"/>
    <w:qFormat/>
    <w:uiPriority w:val="0"/>
    <w:pPr>
      <w:widowControl/>
      <w:spacing w:before="100" w:beforeAutospacing="1" w:after="100" w:afterAutospacing="1"/>
      <w:jc w:val="left"/>
    </w:pPr>
    <w:rPr>
      <w:rFonts w:ascii="宋体" w:hAnsi="宋体" w:cs="宋体"/>
    </w:rPr>
  </w:style>
  <w:style w:type="paragraph" w:customStyle="1" w:styleId="47">
    <w:name w:val="font8"/>
    <w:basedOn w:val="1"/>
    <w:qFormat/>
    <w:uiPriority w:val="0"/>
    <w:pPr>
      <w:widowControl/>
      <w:spacing w:before="100" w:beforeAutospacing="1" w:after="100" w:afterAutospacing="1"/>
      <w:jc w:val="left"/>
    </w:pPr>
    <w:rPr>
      <w:rFonts w:ascii="宋体" w:hAnsi="宋体" w:cs="宋体"/>
      <w:sz w:val="18"/>
      <w:szCs w:val="18"/>
    </w:rPr>
  </w:style>
  <w:style w:type="paragraph" w:customStyle="1" w:styleId="48">
    <w:name w:val="font9"/>
    <w:basedOn w:val="1"/>
    <w:qFormat/>
    <w:uiPriority w:val="0"/>
    <w:pPr>
      <w:widowControl/>
      <w:spacing w:before="100" w:beforeAutospacing="1" w:after="100" w:afterAutospacing="1"/>
      <w:jc w:val="left"/>
    </w:pPr>
    <w:rPr>
      <w:rFonts w:ascii="等线" w:hAnsi="等线" w:eastAsia="等线" w:cs="宋体"/>
      <w:sz w:val="18"/>
      <w:szCs w:val="18"/>
    </w:rPr>
  </w:style>
  <w:style w:type="paragraph" w:customStyle="1" w:styleId="49">
    <w:name w:val="font10"/>
    <w:basedOn w:val="1"/>
    <w:qFormat/>
    <w:uiPriority w:val="0"/>
    <w:pPr>
      <w:widowControl/>
      <w:spacing w:before="100" w:beforeAutospacing="1" w:after="100" w:afterAutospacing="1"/>
      <w:jc w:val="left"/>
    </w:pPr>
    <w:rPr>
      <w:rFonts w:ascii="Calibri" w:hAnsi="Calibri" w:cs="Calibri"/>
    </w:rPr>
  </w:style>
  <w:style w:type="paragraph" w:customStyle="1" w:styleId="50">
    <w:name w:val="font11"/>
    <w:basedOn w:val="1"/>
    <w:qFormat/>
    <w:uiPriority w:val="0"/>
    <w:pPr>
      <w:widowControl/>
      <w:spacing w:before="100" w:beforeAutospacing="1" w:after="100" w:afterAutospacing="1"/>
      <w:jc w:val="left"/>
    </w:pPr>
    <w:rPr>
      <w:rFonts w:ascii="Cambria Math" w:hAnsi="Cambria Math" w:cs="宋体"/>
    </w:rPr>
  </w:style>
  <w:style w:type="paragraph" w:customStyle="1" w:styleId="51">
    <w:name w:val="font12"/>
    <w:basedOn w:val="1"/>
    <w:qFormat/>
    <w:uiPriority w:val="0"/>
    <w:pPr>
      <w:widowControl/>
      <w:spacing w:before="100" w:beforeAutospacing="1" w:after="100" w:afterAutospacing="1"/>
      <w:jc w:val="left"/>
    </w:pPr>
    <w:rPr>
      <w:rFonts w:ascii="宋体" w:hAnsi="宋体" w:cs="宋体"/>
      <w:color w:val="000000"/>
    </w:rPr>
  </w:style>
  <w:style w:type="paragraph" w:customStyle="1" w:styleId="52">
    <w:name w:val="font13"/>
    <w:basedOn w:val="1"/>
    <w:qFormat/>
    <w:uiPriority w:val="0"/>
    <w:pPr>
      <w:widowControl/>
      <w:spacing w:before="100" w:beforeAutospacing="1" w:after="100" w:afterAutospacing="1"/>
      <w:jc w:val="left"/>
    </w:pPr>
    <w:rPr>
      <w:rFonts w:ascii="Calibri" w:hAnsi="Calibri" w:cs="Calibri"/>
      <w:color w:val="000000"/>
    </w:rPr>
  </w:style>
  <w:style w:type="paragraph" w:customStyle="1" w:styleId="5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rPr>
  </w:style>
  <w:style w:type="paragraph" w:customStyle="1" w:styleId="54">
    <w:name w:val="xl69"/>
    <w:basedOn w:val="1"/>
    <w:qFormat/>
    <w:uiPriority w:val="0"/>
    <w:pPr>
      <w:widowControl/>
      <w:spacing w:before="100" w:beforeAutospacing="1" w:after="100" w:afterAutospacing="1"/>
      <w:jc w:val="left"/>
    </w:pPr>
    <w:rPr>
      <w:rFonts w:ascii="宋体" w:hAnsi="宋体" w:cs="宋体"/>
    </w:rPr>
  </w:style>
  <w:style w:type="paragraph" w:customStyle="1" w:styleId="55">
    <w:name w:val="xl7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rPr>
  </w:style>
  <w:style w:type="paragraph" w:customStyle="1" w:styleId="5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57">
    <w:name w:val="xl72"/>
    <w:basedOn w:val="1"/>
    <w:qFormat/>
    <w:uiPriority w:val="0"/>
    <w:pPr>
      <w:widowControl/>
      <w:spacing w:before="100" w:beforeAutospacing="1" w:after="100" w:afterAutospacing="1"/>
      <w:jc w:val="left"/>
    </w:pPr>
    <w:rPr>
      <w:rFonts w:ascii="宋体" w:hAnsi="宋体" w:cs="宋体"/>
    </w:rPr>
  </w:style>
  <w:style w:type="paragraph" w:customStyle="1" w:styleId="5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5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6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6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6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6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6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rPr>
  </w:style>
  <w:style w:type="paragraph" w:customStyle="1" w:styleId="6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66">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67">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6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69">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rPr>
  </w:style>
  <w:style w:type="paragraph" w:customStyle="1" w:styleId="70">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7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7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73">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74">
    <w:name w:val="xl89"/>
    <w:basedOn w:val="1"/>
    <w:qFormat/>
    <w:uiPriority w:val="0"/>
    <w:pPr>
      <w:widowControl/>
      <w:spacing w:before="100" w:beforeAutospacing="1" w:after="100" w:afterAutospacing="1"/>
      <w:jc w:val="left"/>
    </w:pPr>
    <w:rPr>
      <w:rFonts w:ascii="宋体" w:hAnsi="宋体" w:cs="宋体"/>
      <w:b/>
      <w:bCs/>
    </w:rPr>
  </w:style>
  <w:style w:type="paragraph" w:customStyle="1" w:styleId="7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76">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77">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rPr>
  </w:style>
  <w:style w:type="paragraph" w:customStyle="1" w:styleId="78">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rPr>
  </w:style>
  <w:style w:type="paragraph" w:customStyle="1" w:styleId="79">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rPr>
  </w:style>
  <w:style w:type="paragraph" w:customStyle="1" w:styleId="80">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rPr>
  </w:style>
  <w:style w:type="paragraph" w:customStyle="1" w:styleId="8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b/>
      <w:bCs/>
    </w:rPr>
  </w:style>
  <w:style w:type="paragraph" w:customStyle="1" w:styleId="82">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rPr>
  </w:style>
  <w:style w:type="paragraph" w:customStyle="1" w:styleId="83">
    <w:name w:val="xl98"/>
    <w:basedOn w:val="1"/>
    <w:qFormat/>
    <w:uiPriority w:val="0"/>
    <w:pPr>
      <w:widowControl/>
      <w:spacing w:before="100" w:beforeAutospacing="1" w:after="100" w:afterAutospacing="1"/>
      <w:jc w:val="center"/>
    </w:pPr>
    <w:rPr>
      <w:rFonts w:ascii="宋体" w:hAnsi="宋体" w:cs="宋体"/>
    </w:rPr>
  </w:style>
  <w:style w:type="paragraph" w:customStyle="1" w:styleId="84">
    <w:name w:val="xl99"/>
    <w:basedOn w:val="1"/>
    <w:qFormat/>
    <w:uiPriority w:val="0"/>
    <w:pPr>
      <w:widowControl/>
      <w:spacing w:before="100" w:beforeAutospacing="1" w:after="100" w:afterAutospacing="1"/>
      <w:jc w:val="left"/>
    </w:pPr>
    <w:rPr>
      <w:rFonts w:ascii="宋体" w:hAnsi="宋体" w:cs="宋体"/>
    </w:rPr>
  </w:style>
  <w:style w:type="character" w:customStyle="1" w:styleId="85">
    <w:name w:val="纯文本 字符"/>
    <w:basedOn w:val="26"/>
    <w:link w:val="14"/>
    <w:qFormat/>
    <w:uiPriority w:val="0"/>
    <w:rPr>
      <w:rFonts w:ascii="宋体" w:hAnsi="Courier New" w:eastAsia="宋体" w:cs="Times New Roman"/>
      <w:kern w:val="2"/>
      <w:sz w:val="21"/>
    </w:rPr>
  </w:style>
  <w:style w:type="character" w:customStyle="1" w:styleId="86">
    <w:name w:val="标题 字符"/>
    <w:link w:val="11"/>
    <w:qFormat/>
    <w:uiPriority w:val="10"/>
    <w:rPr>
      <w:rFonts w:ascii="Arial" w:hAnsi="Arial" w:eastAsia="宋体" w:cs="Arial"/>
      <w:b/>
      <w:bCs/>
      <w:sz w:val="32"/>
      <w:szCs w:val="32"/>
    </w:rPr>
  </w:style>
  <w:style w:type="paragraph" w:customStyle="1" w:styleId="87">
    <w:name w:val="正文缩进3"/>
    <w:basedOn w:val="1"/>
    <w:next w:val="6"/>
    <w:qFormat/>
    <w:uiPriority w:val="0"/>
    <w:pPr>
      <w:widowControl/>
      <w:numPr>
        <w:ilvl w:val="0"/>
        <w:numId w:val="6"/>
      </w:numPr>
      <w:spacing w:before="120"/>
      <w:ind w:left="0" w:firstLine="454"/>
      <w:jc w:val="left"/>
    </w:pPr>
    <w:rPr>
      <w:rFonts w:ascii="宋体"/>
      <w:b/>
      <w:sz w:val="24"/>
    </w:rPr>
  </w:style>
  <w:style w:type="paragraph" w:customStyle="1" w:styleId="88">
    <w:name w:val="彩色列表 - 强调文字颜色 11"/>
    <w:basedOn w:val="1"/>
    <w:qFormat/>
    <w:uiPriority w:val="34"/>
    <w:pPr>
      <w:ind w:firstLine="420" w:firstLineChars="200"/>
    </w:pPr>
    <w:rPr>
      <w:kern w:val="2"/>
      <w:sz w:val="21"/>
      <w:szCs w:val="22"/>
    </w:rPr>
  </w:style>
  <w:style w:type="paragraph" w:customStyle="1" w:styleId="89">
    <w:name w:val="新正文"/>
    <w:basedOn w:val="1"/>
    <w:qFormat/>
    <w:uiPriority w:val="0"/>
    <w:pPr>
      <w:tabs>
        <w:tab w:val="left" w:pos="1277"/>
      </w:tabs>
      <w:autoSpaceDE w:val="0"/>
      <w:autoSpaceDN w:val="0"/>
      <w:adjustRightInd w:val="0"/>
      <w:snapToGrid w:val="0"/>
      <w:spacing w:line="360" w:lineRule="auto"/>
      <w:ind w:left="-26" w:leftChars="-11" w:firstLine="200" w:firstLineChars="200"/>
    </w:pPr>
    <w:rPr>
      <w:rFonts w:hAnsi="宋体"/>
      <w:snapToGrid w:val="0"/>
      <w:kern w:val="24"/>
      <w:sz w:val="24"/>
    </w:rPr>
  </w:style>
  <w:style w:type="character" w:customStyle="1" w:styleId="90">
    <w:name w:val="font21"/>
    <w:basedOn w:val="26"/>
    <w:qFormat/>
    <w:uiPriority w:val="0"/>
    <w:rPr>
      <w:rFonts w:hint="eastAsia" w:ascii="宋体" w:hAnsi="宋体" w:eastAsia="宋体" w:cs="宋体"/>
      <w:color w:val="000000"/>
      <w:sz w:val="20"/>
      <w:szCs w:val="20"/>
      <w:u w:val="none"/>
    </w:rPr>
  </w:style>
  <w:style w:type="character" w:customStyle="1" w:styleId="91">
    <w:name w:val="font81"/>
    <w:basedOn w:val="26"/>
    <w:qFormat/>
    <w:uiPriority w:val="0"/>
    <w:rPr>
      <w:rFonts w:ascii="Calibri" w:hAnsi="Calibri" w:cs="Calibri"/>
      <w:color w:val="000000"/>
      <w:sz w:val="20"/>
      <w:szCs w:val="20"/>
      <w:u w:val="none"/>
    </w:rPr>
  </w:style>
  <w:style w:type="character" w:customStyle="1" w:styleId="92">
    <w:name w:val="font51"/>
    <w:basedOn w:val="26"/>
    <w:qFormat/>
    <w:uiPriority w:val="0"/>
    <w:rPr>
      <w:rFonts w:hint="eastAsia" w:ascii="宋体" w:hAnsi="宋体" w:eastAsia="宋体" w:cs="宋体"/>
      <w:color w:val="000000"/>
      <w:sz w:val="20"/>
      <w:szCs w:val="20"/>
      <w:u w:val="none"/>
    </w:rPr>
  </w:style>
  <w:style w:type="character" w:customStyle="1" w:styleId="93">
    <w:name w:val="font91"/>
    <w:basedOn w:val="26"/>
    <w:qFormat/>
    <w:uiPriority w:val="0"/>
    <w:rPr>
      <w:rFonts w:hint="default" w:ascii="Calibri" w:hAnsi="Calibri" w:cs="Calibri"/>
      <w:color w:val="000000"/>
      <w:sz w:val="20"/>
      <w:szCs w:val="20"/>
      <w:u w:val="none"/>
    </w:rPr>
  </w:style>
  <w:style w:type="character" w:customStyle="1" w:styleId="94">
    <w:name w:val="font101"/>
    <w:basedOn w:val="26"/>
    <w:qFormat/>
    <w:uiPriority w:val="0"/>
    <w:rPr>
      <w:rFonts w:ascii="Cambria Math" w:hAnsi="Cambria Math" w:eastAsia="Cambria Math" w:cs="Cambria Math"/>
      <w:color w:val="000000"/>
      <w:sz w:val="20"/>
      <w:szCs w:val="20"/>
      <w:u w:val="none"/>
    </w:rPr>
  </w:style>
  <w:style w:type="character" w:customStyle="1" w:styleId="95">
    <w:name w:val="font71"/>
    <w:basedOn w:val="26"/>
    <w:qFormat/>
    <w:uiPriority w:val="0"/>
    <w:rPr>
      <w:rFonts w:hint="eastAsia" w:ascii="宋体" w:hAnsi="宋体" w:eastAsia="宋体" w:cs="宋体"/>
      <w:b/>
      <w:bCs/>
      <w:color w:val="000000"/>
      <w:sz w:val="20"/>
      <w:szCs w:val="20"/>
      <w:u w:val="none"/>
    </w:rPr>
  </w:style>
  <w:style w:type="character" w:customStyle="1" w:styleId="96">
    <w:name w:val="font41"/>
    <w:basedOn w:val="26"/>
    <w:qFormat/>
    <w:uiPriority w:val="0"/>
    <w:rPr>
      <w:rFonts w:hint="eastAsia" w:ascii="宋体" w:hAnsi="宋体" w:eastAsia="宋体" w:cs="宋体"/>
      <w:color w:val="000000"/>
      <w:sz w:val="20"/>
      <w:szCs w:val="20"/>
      <w:u w:val="none"/>
    </w:rPr>
  </w:style>
  <w:style w:type="character" w:customStyle="1" w:styleId="97">
    <w:name w:val="font112"/>
    <w:basedOn w:val="26"/>
    <w:qFormat/>
    <w:uiPriority w:val="0"/>
    <w:rPr>
      <w:rFonts w:ascii="Cambria Math" w:hAnsi="Cambria Math" w:eastAsia="Cambria Math" w:cs="Cambria Math"/>
      <w:color w:val="000000"/>
      <w:sz w:val="20"/>
      <w:szCs w:val="20"/>
      <w:u w:val="none"/>
    </w:rPr>
  </w:style>
  <w:style w:type="character" w:customStyle="1" w:styleId="98">
    <w:name w:val="font61"/>
    <w:basedOn w:val="26"/>
    <w:qFormat/>
    <w:uiPriority w:val="0"/>
    <w:rPr>
      <w:rFonts w:hint="eastAsia" w:ascii="宋体" w:hAnsi="宋体" w:eastAsia="宋体" w:cs="宋体"/>
      <w:b/>
      <w:bCs/>
      <w:color w:val="000000"/>
      <w:sz w:val="20"/>
      <w:szCs w:val="20"/>
      <w:u w:val="none"/>
    </w:rPr>
  </w:style>
  <w:style w:type="character" w:customStyle="1" w:styleId="99">
    <w:name w:val="文档结构图 字符"/>
    <w:basedOn w:val="26"/>
    <w:link w:val="8"/>
    <w:qFormat/>
    <w:uiPriority w:val="0"/>
    <w:rPr>
      <w:rFonts w:ascii="宋体"/>
      <w:sz w:val="18"/>
      <w:szCs w:val="18"/>
    </w:rPr>
  </w:style>
  <w:style w:type="character" w:customStyle="1" w:styleId="100">
    <w:name w:val="font31"/>
    <w:basedOn w:val="26"/>
    <w:qFormat/>
    <w:uiPriority w:val="0"/>
    <w:rPr>
      <w:rFonts w:hint="eastAsia" w:ascii="宋体" w:hAnsi="宋体" w:eastAsia="宋体" w:cs="宋体"/>
      <w:color w:val="000000"/>
      <w:sz w:val="18"/>
      <w:szCs w:val="18"/>
      <w:u w:val="none"/>
    </w:rPr>
  </w:style>
  <w:style w:type="character" w:customStyle="1" w:styleId="101">
    <w:name w:val="font01"/>
    <w:basedOn w:val="2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30</Pages>
  <Words>12403</Words>
  <Characters>14141</Characters>
  <Lines>1767</Lines>
  <Paragraphs>1895</Paragraphs>
  <TotalTime>0</TotalTime>
  <ScaleCrop>false</ScaleCrop>
  <LinksUpToDate>false</LinksUpToDate>
  <CharactersWithSpaces>24649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2023-08-28T16:35:00Z</dcterms:created>
  <dc:creator>25042</dc:creator>
  <cp:lastModifiedBy>xielexin</cp:lastModifiedBy>
  <cp:lastPrinted>2024-02-25T16:03:00Z</cp:lastPrinted>
  <dcterms:modified xsi:type="dcterms:W3CDTF">2026-07-20T07:26:41Z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733800228CBD479F87DC84EAF76C0829_13</vt:lpwstr>
  </property>
  <property fmtid="{D5CDD505-2E9C-101B-9397-08002B2CF9AE}" pid="4" name="KSOTemplateDocerSaveRecord">
    <vt:lpwstr>eyJoZGlkIjoiOTUzZDk1ZDEwZWIwNWUwMTMzYTQ5MTRjNmM0OTg3YzUiLCJ1c2VySWQiOiIxOTk3NTg5MDQifQ==</vt:lpwstr>
  </property>
</Properties>
</file>