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5A5BA">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14:paraId="0963956F">
      <w:pPr>
        <w:adjustRightInd w:val="0"/>
        <w:snapToGrid w:val="0"/>
        <w:rPr>
          <w:sz w:val="28"/>
          <w:szCs w:val="36"/>
        </w:rPr>
      </w:pPr>
    </w:p>
    <w:p w14:paraId="4C687407">
      <w:pPr>
        <w:adjustRightInd w:val="0"/>
        <w:snapToGrid w:val="0"/>
        <w:rPr>
          <w:sz w:val="28"/>
          <w:szCs w:val="36"/>
        </w:rPr>
      </w:pPr>
    </w:p>
    <w:p w14:paraId="5E380CEE">
      <w:pPr>
        <w:adjustRightInd w:val="0"/>
        <w:snapToGrid w:val="0"/>
        <w:rPr>
          <w:sz w:val="28"/>
          <w:szCs w:val="36"/>
        </w:rPr>
      </w:pPr>
    </w:p>
    <w:p w14:paraId="2754DEE1">
      <w:pPr>
        <w:adjustRightInd w:val="0"/>
        <w:snapToGrid w:val="0"/>
        <w:rPr>
          <w:sz w:val="28"/>
          <w:szCs w:val="36"/>
        </w:rPr>
      </w:pPr>
    </w:p>
    <w:p w14:paraId="7DF71E19">
      <w:pPr>
        <w:adjustRightInd w:val="0"/>
        <w:snapToGrid w:val="0"/>
        <w:rPr>
          <w:sz w:val="28"/>
          <w:szCs w:val="36"/>
        </w:rPr>
      </w:pPr>
    </w:p>
    <w:p w14:paraId="0C4AA669">
      <w:pPr>
        <w:adjustRightInd w:val="0"/>
        <w:snapToGrid w:val="0"/>
        <w:rPr>
          <w:sz w:val="28"/>
          <w:szCs w:val="36"/>
        </w:rPr>
      </w:pPr>
    </w:p>
    <w:p w14:paraId="26DED167">
      <w:pPr>
        <w:adjustRightInd w:val="0"/>
        <w:snapToGrid w:val="0"/>
        <w:rPr>
          <w:sz w:val="28"/>
          <w:szCs w:val="36"/>
        </w:rPr>
      </w:pPr>
    </w:p>
    <w:p w14:paraId="4D142C4B">
      <w:pPr>
        <w:adjustRightInd w:val="0"/>
        <w:snapToGrid w:val="0"/>
        <w:jc w:val="center"/>
        <w:rPr>
          <w:rFonts w:eastAsia="黑体"/>
          <w:b/>
          <w:sz w:val="52"/>
        </w:rPr>
      </w:pPr>
      <w:r>
        <w:rPr>
          <w:rFonts w:hint="eastAsia" w:eastAsia="黑体"/>
          <w:b/>
          <w:sz w:val="52"/>
          <w:lang w:val="en-US" w:eastAsia="zh-CN"/>
        </w:rPr>
        <w:t>便携式智能绝缘绳索运维保障装置研究</w:t>
      </w:r>
    </w:p>
    <w:p w14:paraId="19F404DA">
      <w:pPr>
        <w:adjustRightInd w:val="0"/>
        <w:snapToGrid w:val="0"/>
        <w:jc w:val="center"/>
        <w:rPr>
          <w:rFonts w:eastAsia="黑体"/>
          <w:b/>
          <w:sz w:val="52"/>
        </w:rPr>
      </w:pPr>
      <w:r>
        <w:rPr>
          <w:rFonts w:eastAsia="黑体"/>
          <w:b/>
          <w:sz w:val="52"/>
        </w:rPr>
        <w:t>技术规范书</w:t>
      </w:r>
    </w:p>
    <w:p w14:paraId="416ADD3C">
      <w:pPr>
        <w:adjustRightInd w:val="0"/>
        <w:snapToGrid w:val="0"/>
        <w:rPr>
          <w:sz w:val="28"/>
          <w:szCs w:val="36"/>
        </w:rPr>
      </w:pPr>
    </w:p>
    <w:p w14:paraId="3BB62FEC">
      <w:pPr>
        <w:adjustRightInd w:val="0"/>
        <w:snapToGrid w:val="0"/>
        <w:rPr>
          <w:sz w:val="28"/>
          <w:szCs w:val="36"/>
        </w:rPr>
      </w:pPr>
    </w:p>
    <w:p w14:paraId="57594481">
      <w:pPr>
        <w:adjustRightInd w:val="0"/>
        <w:snapToGrid w:val="0"/>
        <w:rPr>
          <w:sz w:val="28"/>
          <w:szCs w:val="36"/>
        </w:rPr>
      </w:pPr>
    </w:p>
    <w:p w14:paraId="16A5E58D">
      <w:pPr>
        <w:adjustRightInd w:val="0"/>
        <w:snapToGrid w:val="0"/>
        <w:rPr>
          <w:sz w:val="28"/>
          <w:szCs w:val="36"/>
        </w:rPr>
      </w:pPr>
    </w:p>
    <w:p w14:paraId="75642025">
      <w:pPr>
        <w:adjustRightInd w:val="0"/>
        <w:snapToGrid w:val="0"/>
        <w:rPr>
          <w:sz w:val="28"/>
          <w:szCs w:val="36"/>
        </w:rPr>
      </w:pPr>
    </w:p>
    <w:p w14:paraId="1D32280D">
      <w:pPr>
        <w:adjustRightInd w:val="0"/>
        <w:snapToGrid w:val="0"/>
        <w:rPr>
          <w:sz w:val="28"/>
          <w:szCs w:val="36"/>
        </w:rPr>
      </w:pPr>
    </w:p>
    <w:p w14:paraId="283730E6">
      <w:pPr>
        <w:adjustRightInd w:val="0"/>
        <w:snapToGrid w:val="0"/>
        <w:rPr>
          <w:sz w:val="28"/>
          <w:szCs w:val="36"/>
        </w:rPr>
      </w:pPr>
    </w:p>
    <w:p w14:paraId="685BA78B">
      <w:pPr>
        <w:adjustRightInd w:val="0"/>
        <w:snapToGrid w:val="0"/>
        <w:rPr>
          <w:sz w:val="28"/>
          <w:szCs w:val="36"/>
        </w:rPr>
      </w:pPr>
    </w:p>
    <w:p w14:paraId="1F375DFC">
      <w:pPr>
        <w:adjustRightInd w:val="0"/>
        <w:snapToGrid w:val="0"/>
        <w:rPr>
          <w:sz w:val="28"/>
          <w:szCs w:val="36"/>
        </w:rPr>
      </w:pPr>
    </w:p>
    <w:p w14:paraId="2A1D41E6">
      <w:pPr>
        <w:adjustRightInd w:val="0"/>
        <w:snapToGrid w:val="0"/>
        <w:rPr>
          <w:sz w:val="28"/>
          <w:szCs w:val="36"/>
        </w:rPr>
      </w:pPr>
    </w:p>
    <w:p w14:paraId="3F75D49E">
      <w:pPr>
        <w:adjustRightInd w:val="0"/>
        <w:snapToGrid w:val="0"/>
        <w:rPr>
          <w:sz w:val="28"/>
          <w:szCs w:val="36"/>
        </w:rPr>
      </w:pPr>
    </w:p>
    <w:p w14:paraId="266A96DA">
      <w:pPr>
        <w:adjustRightInd w:val="0"/>
        <w:snapToGrid w:val="0"/>
        <w:jc w:val="center"/>
        <w:rPr>
          <w:rFonts w:hint="eastAsia" w:ascii="黑体" w:hAnsi="黑体" w:eastAsia="黑体" w:cs="黑体"/>
          <w:sz w:val="32"/>
          <w:szCs w:val="32"/>
        </w:rPr>
      </w:pPr>
      <w:r>
        <w:rPr>
          <w:rFonts w:hint="eastAsia" w:ascii="黑体" w:hAnsi="黑体" w:eastAsia="黑体" w:cs="黑体"/>
          <w:sz w:val="32"/>
          <w:szCs w:val="32"/>
        </w:rPr>
        <w:t>中国南方电网超高压输电公司南宁局</w:t>
      </w:r>
    </w:p>
    <w:p w14:paraId="622A00C9">
      <w:pPr>
        <w:adjustRightInd w:val="0"/>
        <w:snapToGrid w:val="0"/>
        <w:jc w:val="center"/>
        <w:rPr>
          <w:rFonts w:hint="eastAsia" w:ascii="黑体" w:hAnsi="黑体" w:eastAsia="黑体" w:cs="黑体"/>
          <w:sz w:val="32"/>
          <w:szCs w:val="32"/>
        </w:rPr>
      </w:pPr>
      <w:r>
        <w:rPr>
          <w:rFonts w:hint="eastAsia" w:ascii="黑体" w:hAnsi="黑体" w:eastAsia="黑体" w:cs="黑体"/>
          <w:sz w:val="32"/>
          <w:szCs w:val="32"/>
        </w:rPr>
        <w:t>2026年</w:t>
      </w:r>
      <w:r>
        <w:rPr>
          <w:rFonts w:hint="eastAsia" w:ascii="黑体" w:hAnsi="黑体" w:eastAsia="黑体" w:cs="黑体"/>
          <w:sz w:val="32"/>
          <w:szCs w:val="32"/>
          <w:lang w:val="en-US" w:eastAsia="zh-CN"/>
        </w:rPr>
        <w:t>7</w:t>
      </w:r>
      <w:r>
        <w:rPr>
          <w:rFonts w:hint="eastAsia" w:ascii="黑体" w:hAnsi="黑体" w:eastAsia="黑体" w:cs="黑体"/>
          <w:sz w:val="32"/>
          <w:szCs w:val="32"/>
        </w:rPr>
        <w:t>月</w:t>
      </w:r>
    </w:p>
    <w:p w14:paraId="006D05D3">
      <w:pPr>
        <w:adjustRightInd w:val="0"/>
        <w:snapToGrid w:val="0"/>
        <w:jc w:val="center"/>
        <w:rPr>
          <w:rFonts w:hint="eastAsia"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14:paraId="71852B38">
      <w:pPr>
        <w:snapToGrid w:val="0"/>
        <w:spacing w:before="120"/>
        <w:rPr>
          <w:rFonts w:hint="eastAsia" w:ascii="黑体" w:hAnsi="黑体" w:eastAsia="黑体" w:cs="黑体"/>
          <w:b/>
          <w:bCs/>
          <w:sz w:val="28"/>
          <w:szCs w:val="28"/>
        </w:rPr>
      </w:pPr>
      <w:r>
        <w:rPr>
          <w:rFonts w:hint="eastAsia" w:ascii="黑体" w:hAnsi="黑体" w:eastAsia="黑体" w:cs="黑体"/>
          <w:b/>
          <w:bCs/>
          <w:sz w:val="28"/>
          <w:szCs w:val="36"/>
        </w:rPr>
        <w:t>1 总则</w:t>
      </w:r>
    </w:p>
    <w:p w14:paraId="1CD7ECB2">
      <w:pPr>
        <w:pStyle w:val="9"/>
        <w:numPr>
          <w:ilvl w:val="255"/>
          <w:numId w:val="0"/>
        </w:numPr>
        <w:shd w:val="clear" w:color="auto" w:fill="FDFDFE"/>
        <w:spacing w:before="0" w:beforeAutospacing="0" w:after="0" w:afterAutospacing="0"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w:t>
      </w:r>
      <w:r>
        <w:rPr>
          <w:rFonts w:hint="eastAsia" w:asciiTheme="minorEastAsia" w:hAnsiTheme="minorEastAsia" w:eastAsiaTheme="minorEastAsia" w:cstheme="minorEastAsia"/>
          <w:kern w:val="2"/>
          <w:sz w:val="24"/>
          <w:szCs w:val="24"/>
          <w:lang w:val="en-US" w:eastAsia="zh-CN" w:bidi="ar-SA"/>
        </w:rPr>
        <w:t>本技术规范书适用于《便携式智能绝缘绳索运维保障装置研究》职工技术创新项目，提出了通过研制一款集成化、智能化的绝缘绳索运维保障装置，实现绝缘绳索的智能储存、张力自适应收放、快速除湿、多参数实时监测等功能，解决超特高压输电线路带电作业中绝缘绳索依赖人工管理、绝缘性能易受环境影响、收放效率低、张力控制依赖经验、状态监测缺失等问题，最终实现绝缘绳索全流程规范化、智能化管理，提升带电作业的安全性、效率性及可靠性。投标方应针对自身特点，根据本技术规范书所描述的具体要求，提供完整的解决方案。</w:t>
      </w:r>
    </w:p>
    <w:p w14:paraId="22A03684">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投标方应保证提供符合本技术规范书和相关国际、国内标准的优质研发服务。对国家有关安全、环保等强制性标准，必须满足其要求。如果规范书所使用的标准与投标方所执行的标准不一致时，按较高标准执行。</w:t>
      </w:r>
    </w:p>
    <w:p w14:paraId="7758353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任何与本技术规范书或标准的偏差只有在得到招标方的书面批准后方能认可。</w:t>
      </w:r>
    </w:p>
    <w:p w14:paraId="0DFED2A8">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在合同签订之后，招标方有权提出因规范标准和规程变化而产生的一些补充要求，具体项目及内容由双方共同商定。</w:t>
      </w:r>
    </w:p>
    <w:p w14:paraId="03E42FC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 投标人编制应标文件时，可以提出不同的建议方案，但建议方案必须满足但不限于本技术规范书所阐述的全部要求，应标文件要求文字详细、数据准确、表述及图示清晰明确，具有针对性。</w:t>
      </w:r>
    </w:p>
    <w:p w14:paraId="6408C5D8">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 本技术规范书仅提出基本的技术需求，不保证对一切技术细节做出规定，也不保证已充分引述有关标准和技术条文，投标方须根据需求目标提供进一步具体的可满足要求的服务内容。</w:t>
      </w:r>
    </w:p>
    <w:p w14:paraId="3F9ADB4A">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 投标方在应标文件中应如实反映与本技术规范书的技术差异。如果投标方没有提出技术差异，招标方即认为投标方所提供的服务完全满足本技术规范书的要求，在执行合同的过程中，招标方发现投标方提供的服务与其应标技术规范书的条文存在差异，招标方有权利要求中止合同。</w:t>
      </w:r>
    </w:p>
    <w:p w14:paraId="32DB8E55">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 投标方应充分理解本技术规范书并按本技术规范书的具体条款、格式要求填写应标的技术文件，如发现应标的技术文件条款、格式不符合本技术规范书的要求，则认为应标不严肃，在评标时将有不同程度的扣分。</w:t>
      </w:r>
    </w:p>
    <w:p w14:paraId="2BF034A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 本技术规范书未尽事宜，由招标方与投标方双方协商确定。</w:t>
      </w:r>
    </w:p>
    <w:p w14:paraId="392112CF">
      <w:pPr>
        <w:snapToGrid w:val="0"/>
        <w:spacing w:before="120"/>
        <w:rPr>
          <w:rFonts w:hint="eastAsia" w:ascii="黑体" w:hAnsi="黑体" w:eastAsia="黑体" w:cs="黑体"/>
          <w:b/>
          <w:bCs/>
          <w:sz w:val="28"/>
          <w:szCs w:val="36"/>
        </w:rPr>
      </w:pPr>
      <w:bookmarkStart w:id="0" w:name="_Toc26376"/>
      <w:bookmarkStart w:id="1" w:name="_Toc155114607"/>
      <w:bookmarkStart w:id="2" w:name="_Toc241911995"/>
      <w:r>
        <w:rPr>
          <w:rFonts w:hint="eastAsia" w:ascii="黑体" w:hAnsi="黑体" w:eastAsia="黑体" w:cs="黑体"/>
          <w:b/>
          <w:bCs/>
          <w:sz w:val="28"/>
          <w:szCs w:val="36"/>
        </w:rPr>
        <w:t xml:space="preserve">2 </w:t>
      </w:r>
      <w:bookmarkEnd w:id="0"/>
      <w:bookmarkStart w:id="3" w:name="_Toc441483964"/>
      <w:bookmarkStart w:id="4" w:name="_Toc531004210"/>
      <w:bookmarkStart w:id="5" w:name="_Toc531004264"/>
      <w:r>
        <w:rPr>
          <w:rFonts w:hint="eastAsia" w:ascii="黑体" w:hAnsi="黑体" w:eastAsia="黑体" w:cs="黑体"/>
          <w:b/>
          <w:bCs/>
          <w:sz w:val="28"/>
          <w:szCs w:val="36"/>
        </w:rPr>
        <w:t>项目有关内容</w:t>
      </w:r>
      <w:bookmarkEnd w:id="3"/>
      <w:bookmarkEnd w:id="4"/>
      <w:bookmarkEnd w:id="5"/>
    </w:p>
    <w:p w14:paraId="44DB59C1">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2.1项目背景</w:t>
      </w:r>
    </w:p>
    <w:bookmarkEnd w:id="1"/>
    <w:bookmarkEnd w:id="2"/>
    <w:p w14:paraId="40BF2090">
      <w:pPr>
        <w:adjustRightInd w:val="0"/>
        <w:snapToGrid w:val="0"/>
        <w:rPr>
          <w:rFonts w:hint="eastAsia" w:asciiTheme="minorEastAsia" w:hAnsiTheme="minorEastAsia" w:eastAsiaTheme="minorEastAsia" w:cstheme="minorEastAsia"/>
          <w:sz w:val="24"/>
        </w:rPr>
      </w:pPr>
      <w:bookmarkStart w:id="6" w:name="_Toc22304900"/>
      <w:bookmarkStart w:id="7" w:name="_Toc20556"/>
      <w:bookmarkStart w:id="8" w:name="_Toc39753999"/>
      <w:bookmarkStart w:id="9" w:name="_Toc384340980"/>
      <w:bookmarkStart w:id="10" w:name="_Toc39753342"/>
      <w:r>
        <w:rPr>
          <w:rFonts w:hint="eastAsia" w:asciiTheme="minorEastAsia" w:hAnsiTheme="minorEastAsia" w:eastAsiaTheme="minorEastAsia" w:cstheme="minorEastAsia"/>
          <w:sz w:val="24"/>
        </w:rPr>
        <w:t>超特高压输电线路带电作业中，绝缘绳索是保障带电作业、登高防护、跨越保护及无人机辅助作业安全的关键装备，其绝缘性能直接关系到作业人员的安全与作业可靠性。然而，在当前电网规模持续扩大、带电作业频次日益增加的背景下，绝缘绳索的储存、运输、使用及维护仍以人工为主，正面临四大日益严峻的现实痛点，亟需通过技术手段实现根本性变革。</w:t>
      </w:r>
    </w:p>
    <w:p w14:paraId="6D02283E">
      <w:pPr>
        <w:numPr>
          <w:ilvl w:val="0"/>
          <w:numId w:val="2"/>
        </w:numPr>
        <w:adjustRightInd w:val="0"/>
        <w:snapToGrid w:val="0"/>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绝缘性能难以保障，环境因素导致安全风险突出</w:t>
      </w:r>
      <w:r>
        <w:rPr>
          <w:rFonts w:hint="default" w:asciiTheme="minorEastAsia" w:hAnsiTheme="minorEastAsia" w:eastAsiaTheme="minorEastAsia" w:cstheme="minorEastAsia"/>
          <w:kern w:val="2"/>
          <w:sz w:val="24"/>
          <w:szCs w:val="24"/>
          <w:lang w:val="en-US" w:eastAsia="zh-CN" w:bidi="ar-SA"/>
        </w:rPr>
        <w:br w:type="textWrapping"/>
      </w:r>
      <w:r>
        <w:rPr>
          <w:rFonts w:hint="default" w:asciiTheme="minorEastAsia" w:hAnsiTheme="minorEastAsia" w:eastAsiaTheme="minorEastAsia" w:cstheme="minorEastAsia"/>
          <w:kern w:val="2"/>
          <w:sz w:val="24"/>
          <w:szCs w:val="24"/>
          <w:lang w:val="en-US" w:eastAsia="zh-CN" w:bidi="ar-SA"/>
        </w:rPr>
        <w:t>绝缘绳索在储存和运输过程中易受环境温湿度影响，潮湿状态下绝缘性能显著下降，若直接用于带电作业，将极大增加作业人员触电风险。传统储存运输方式无法有效保证绝缘绳索抵达现场时温湿度依旧符合带电作业要求，缺乏主动除湿与绝缘状态监测手段，绝缘性能的保障完全依赖人工经验判断，存在严重安全隐患。</w:t>
      </w:r>
    </w:p>
    <w:p w14:paraId="2EFD5007">
      <w:pPr>
        <w:numPr>
          <w:ilvl w:val="0"/>
          <w:numId w:val="0"/>
        </w:numPr>
        <w:adjustRightInd w:val="0"/>
        <w:snapToGrid w:val="0"/>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二、</w:t>
      </w:r>
      <w:r>
        <w:rPr>
          <w:rFonts w:hint="eastAsia" w:asciiTheme="minorEastAsia" w:hAnsiTheme="minorEastAsia" w:eastAsiaTheme="minorEastAsia" w:cstheme="minorEastAsia"/>
          <w:kern w:val="2"/>
          <w:sz w:val="24"/>
          <w:szCs w:val="24"/>
          <w:lang w:val="en-US" w:eastAsia="zh-CN" w:bidi="ar-SA"/>
        </w:rPr>
        <w:t>管理使用不便，现场整理耗时耗力影响作业效率</w:t>
      </w:r>
      <w:r>
        <w:rPr>
          <w:rFonts w:hint="default" w:asciiTheme="minorEastAsia" w:hAnsiTheme="minorEastAsia" w:eastAsiaTheme="minorEastAsia" w:cstheme="minorEastAsia"/>
          <w:kern w:val="2"/>
          <w:sz w:val="24"/>
          <w:szCs w:val="24"/>
          <w:lang w:val="en-US" w:eastAsia="zh-CN" w:bidi="ar-SA"/>
        </w:rPr>
        <w:br w:type="textWrapping"/>
      </w:r>
      <w:r>
        <w:rPr>
          <w:rFonts w:hint="default" w:asciiTheme="minorEastAsia" w:hAnsiTheme="minorEastAsia" w:eastAsiaTheme="minorEastAsia" w:cstheme="minorEastAsia"/>
          <w:kern w:val="2"/>
          <w:sz w:val="24"/>
          <w:szCs w:val="24"/>
          <w:lang w:val="en-US" w:eastAsia="zh-CN" w:bidi="ar-SA"/>
        </w:rPr>
        <w:t>作业现场需人工整理、收放绳索，由于绳索长度长、重量大，现场整理极易缠绕打结，需花费大量时间进行解绕和铺设，严重影响作业效率。尤其在多塔基、多作业面并行开展时，人工收放绳索成为制约整体作业进度的瓶颈环节。</w:t>
      </w:r>
    </w:p>
    <w:p w14:paraId="6DF97C06">
      <w:pPr>
        <w:pStyle w:val="9"/>
        <w:keepNext w:val="0"/>
        <w:keepLines w:val="0"/>
        <w:widowControl/>
        <w:suppressLineNumbers w:val="0"/>
        <w:shd w:val="clear" w:fill="FFFFFF"/>
        <w:spacing w:before="120" w:beforeAutospacing="0" w:after="120" w:afterAutospacing="0"/>
        <w:ind w:left="0" w:right="0" w:firstLine="0"/>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三、张力控制依赖经验，与无人机协同作业精度不足</w:t>
      </w:r>
      <w:r>
        <w:rPr>
          <w:rFonts w:hint="default" w:asciiTheme="minorEastAsia" w:hAnsiTheme="minorEastAsia" w:eastAsiaTheme="minorEastAsia" w:cstheme="minorEastAsia"/>
          <w:kern w:val="2"/>
          <w:sz w:val="24"/>
          <w:szCs w:val="24"/>
          <w:lang w:val="en-US" w:eastAsia="zh-CN" w:bidi="ar-SA"/>
        </w:rPr>
        <w:br w:type="textWrapping"/>
      </w:r>
      <w:r>
        <w:rPr>
          <w:rFonts w:hint="default" w:asciiTheme="minorEastAsia" w:hAnsiTheme="minorEastAsia" w:eastAsiaTheme="minorEastAsia" w:cstheme="minorEastAsia"/>
          <w:kern w:val="2"/>
          <w:sz w:val="24"/>
          <w:szCs w:val="24"/>
          <w:lang w:val="en-US" w:eastAsia="zh-CN" w:bidi="ar-SA"/>
        </w:rPr>
        <w:t>随着无人机在输电线路巡检和辅助作业中的广泛应用，绝缘绳索需与无人机配合作业。当前绳索收放完全依赖人工调节，响应慢、精度低，无法根据无人机牵引力动态调整绳索张力，容易导致绳索过紧或过松，影响无人机飞行安全及作业可靠性。</w:t>
      </w:r>
    </w:p>
    <w:p w14:paraId="256B5B30">
      <w:pPr>
        <w:pStyle w:val="9"/>
        <w:keepNext w:val="0"/>
        <w:keepLines w:val="0"/>
        <w:widowControl/>
        <w:suppressLineNumbers w:val="0"/>
        <w:shd w:val="clear" w:fill="FFFFFF"/>
        <w:spacing w:before="120" w:beforeAutospacing="0" w:after="120" w:afterAutospacing="0"/>
        <w:ind w:left="0" w:right="0" w:firstLine="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四、状态监测缺失，预防性维护缺乏数据支撑</w:t>
      </w:r>
    </w:p>
    <w:p w14:paraId="24A2C651">
      <w:pPr>
        <w:pStyle w:val="9"/>
        <w:keepNext w:val="0"/>
        <w:keepLines w:val="0"/>
        <w:widowControl/>
        <w:suppressLineNumbers w:val="0"/>
        <w:shd w:val="clear" w:fill="FFFFFF"/>
        <w:spacing w:before="120" w:beforeAutospacing="0" w:after="120" w:afterAutospacing="0"/>
        <w:ind w:left="0" w:right="0" w:firstLine="0"/>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缺乏对绳索收放长度、箱内温湿度、绳索绝缘状态等关键参数的实时监测与预警功能。绳索的使用次数、受力历史、绝缘劣化趋势等均无记录，维护人员无法判断绳索是否达到报废标准，不利于预防性维护和全生命周期管理。</w:t>
      </w:r>
    </w:p>
    <w:p w14:paraId="66606E59">
      <w:pPr>
        <w:pStyle w:val="9"/>
        <w:keepNext w:val="0"/>
        <w:keepLines w:val="0"/>
        <w:widowControl/>
        <w:suppressLineNumbers w:val="0"/>
        <w:shd w:val="clear" w:fill="FFFFFF"/>
        <w:spacing w:before="120" w:beforeAutospacing="0" w:after="120" w:afterAutospacing="0"/>
        <w:ind w:left="0" w:right="0" w:firstLine="0"/>
        <w:rPr>
          <w:rFonts w:hint="default" w:asciiTheme="minorEastAsia" w:hAnsiTheme="minorEastAsia" w:eastAsiaTheme="minorEastAsia" w:cstheme="minorEastAsia"/>
          <w:kern w:val="2"/>
          <w:sz w:val="24"/>
          <w:szCs w:val="24"/>
          <w:lang w:val="en-US" w:eastAsia="zh-CN" w:bidi="ar-SA"/>
        </w:rPr>
      </w:pPr>
      <w:r>
        <w:rPr>
          <w:rFonts w:hint="default" w:asciiTheme="minorEastAsia" w:hAnsiTheme="minorEastAsia" w:eastAsiaTheme="minorEastAsia" w:cstheme="minorEastAsia"/>
          <w:kern w:val="2"/>
          <w:sz w:val="24"/>
          <w:szCs w:val="24"/>
          <w:lang w:val="en-US" w:eastAsia="zh-CN" w:bidi="ar-SA"/>
        </w:rPr>
        <w:t>为解决上述问题，本项目提出研制一款集成化、智能化的绝缘绳索运维保障装置，具备绳索储存、张力智能收放、快速除湿、多参数实时监测等功能，实现绝缘绳索的全流程规范化、智能化管理，从源头提升带电作业的本质安全水平与作业效率。</w:t>
      </w:r>
    </w:p>
    <w:p w14:paraId="6CCC7696">
      <w:pPr>
        <w:snapToGrid w:val="0"/>
        <w:spacing w:before="120"/>
        <w:rPr>
          <w:rFonts w:hint="eastAsia" w:asciiTheme="minorEastAsia" w:hAnsiTheme="minorEastAsia" w:eastAsiaTheme="minorEastAsia" w:cstheme="minorEastAsia"/>
          <w:sz w:val="24"/>
        </w:rPr>
      </w:pPr>
      <w:r>
        <w:rPr>
          <w:rFonts w:hint="eastAsia" w:ascii="黑体" w:hAnsi="黑体" w:eastAsia="黑体" w:cs="黑体"/>
          <w:b/>
          <w:bCs/>
          <w:sz w:val="28"/>
          <w:szCs w:val="36"/>
        </w:rPr>
        <w:t>3 应遵循的主要标准</w:t>
      </w:r>
      <w:bookmarkEnd w:id="6"/>
      <w:bookmarkEnd w:id="7"/>
      <w:bookmarkEnd w:id="8"/>
      <w:bookmarkEnd w:id="9"/>
      <w:bookmarkEnd w:id="10"/>
    </w:p>
    <w:p w14:paraId="7AEE3A59">
      <w:pPr>
        <w:adjustRightInd w:val="0"/>
        <w:snapToGrid w:val="0"/>
        <w:rPr>
          <w:rFonts w:hint="eastAsia" w:asciiTheme="minorEastAsia" w:hAnsiTheme="minorEastAsia" w:eastAsiaTheme="minorEastAsia" w:cstheme="minorEastAsia"/>
          <w:sz w:val="24"/>
        </w:rPr>
      </w:pPr>
      <w:bookmarkStart w:id="11" w:name="_Toc455373921"/>
      <w:bookmarkStart w:id="12" w:name="_Toc482581219"/>
      <w:bookmarkStart w:id="13" w:name="_Toc457979127"/>
      <w:bookmarkStart w:id="14" w:name="_Toc155114612"/>
      <w:bookmarkStart w:id="15" w:name="_Toc114253693"/>
      <w:bookmarkStart w:id="16" w:name="_Toc459534976"/>
      <w:bookmarkStart w:id="17" w:name="_Toc457986926"/>
      <w:bookmarkStart w:id="18" w:name="_Toc448828694"/>
      <w:bookmarkStart w:id="19" w:name="_Toc455543289"/>
      <w:bookmarkStart w:id="20" w:name="_Toc241912000"/>
      <w:bookmarkStart w:id="21" w:name="_Toc146182538"/>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14:paraId="204161CB">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14:paraId="3666C68C">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13035《带电作业用绝缘绳索》</w:t>
      </w:r>
    </w:p>
    <w:p w14:paraId="0E9AB453">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6568《带电作业用屏蔽服装》</w:t>
      </w:r>
    </w:p>
    <w:p w14:paraId="5AC989FF">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14286《带电作业术语》</w:t>
      </w:r>
    </w:p>
    <w:p w14:paraId="3ED452DB">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2900.55《电工术语 带电作业》</w:t>
      </w:r>
    </w:p>
    <w:p w14:paraId="43286552">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878《带电作业用绝缘工具试验导则》</w:t>
      </w:r>
    </w:p>
    <w:p w14:paraId="51B8DFE5">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976《带电作业工具、装置和设备预防性试验规程》</w:t>
      </w:r>
    </w:p>
    <w:p w14:paraId="54F8433E">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1476《电力用绝缘绳索检测技术规范》</w:t>
      </w:r>
    </w:p>
    <w:p w14:paraId="6C89E8B9">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875《架空输电线路施工机具基本技术要求》</w:t>
      </w:r>
    </w:p>
    <w:p w14:paraId="02CF3D70">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1741《电力作业用小型施工机具预防性试验规程》</w:t>
      </w:r>
    </w:p>
    <w:p w14:paraId="10026683">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4208《外壳防护等级（IP代码）》</w:t>
      </w:r>
    </w:p>
    <w:p w14:paraId="51F783E3">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2423《电工电子产品环境试验》系列标准</w:t>
      </w:r>
    </w:p>
    <w:p w14:paraId="38FB339F">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17626《电磁兼容 试验和测量技术》系列标准</w:t>
      </w:r>
    </w:p>
    <w:p w14:paraId="7FE5CB7E">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 2021008-2021 中国南方电网有限责任公司规章制度管理规定</w:t>
      </w:r>
    </w:p>
    <w:p w14:paraId="7B2FB465">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Q/CSG-EHV 222001-2022 超高压输电公司管理制度管理规定</w:t>
      </w:r>
    </w:p>
    <w:p w14:paraId="2E9DF720">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 2153002-2022 中国南方电网有限责任公司数据质量管理细则</w:t>
      </w:r>
    </w:p>
    <w:p w14:paraId="0A65405C">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南方电网生技〔2022〕29号 附件1《南方电网公司数字生产“十四五”行动计划》</w:t>
      </w:r>
    </w:p>
    <w:p w14:paraId="2D2E9D1E">
      <w:pPr>
        <w:rPr>
          <w:rFonts w:ascii="Times New Roman" w:hAnsi="Times New Roman"/>
          <w:szCs w:val="21"/>
        </w:rPr>
      </w:pPr>
      <w:r>
        <w:rPr>
          <w:rFonts w:hint="eastAsia" w:ascii="Times New Roman" w:hAnsi="Times New Roman"/>
          <w:szCs w:val="21"/>
        </w:rPr>
        <w:t>注：上述标准是招标方最低要求。除此标准以外，投标人可以推荐其他标准，但事先必须通过招标方认可，或选择其中较高标准。</w:t>
      </w:r>
    </w:p>
    <w:p w14:paraId="704E4D81"/>
    <w:p w14:paraId="39C47896"/>
    <w:p w14:paraId="19C2EE67"/>
    <w:p w14:paraId="07004441">
      <w:pPr>
        <w:snapToGrid w:val="0"/>
        <w:spacing w:before="120"/>
        <w:rPr>
          <w:rFonts w:hint="eastAsia" w:ascii="黑体" w:hAnsi="黑体" w:eastAsia="黑体" w:cs="黑体"/>
          <w:b/>
          <w:bCs/>
          <w:sz w:val="28"/>
          <w:szCs w:val="36"/>
        </w:rPr>
      </w:pPr>
      <w:bookmarkStart w:id="22" w:name="_Toc39753345"/>
      <w:bookmarkStart w:id="23" w:name="_Toc282993253"/>
      <w:bookmarkStart w:id="24" w:name="_Toc22304904"/>
      <w:bookmarkStart w:id="25" w:name="_Toc39754002"/>
      <w:bookmarkStart w:id="26" w:name="_Toc32408"/>
      <w:bookmarkStart w:id="27" w:name="_Toc384340984"/>
      <w:r>
        <w:rPr>
          <w:rFonts w:hint="eastAsia" w:ascii="黑体" w:hAnsi="黑体" w:eastAsia="黑体" w:cs="黑体"/>
          <w:b/>
          <w:bCs/>
          <w:sz w:val="28"/>
          <w:szCs w:val="36"/>
        </w:rPr>
        <w:t>4 技术要求</w:t>
      </w:r>
      <w:bookmarkEnd w:id="22"/>
      <w:bookmarkEnd w:id="23"/>
      <w:bookmarkEnd w:id="24"/>
      <w:bookmarkEnd w:id="25"/>
      <w:bookmarkEnd w:id="26"/>
      <w:bookmarkEnd w:id="27"/>
    </w:p>
    <w:p w14:paraId="345B358C">
      <w:pPr>
        <w:adjustRightInd w:val="0"/>
        <w:snapToGrid w:val="0"/>
        <w:rPr>
          <w:rFonts w:hint="eastAsia" w:ascii="宋体" w:hAnsi="宋体"/>
          <w:sz w:val="24"/>
        </w:rPr>
      </w:pPr>
      <w:r>
        <w:rPr>
          <w:rFonts w:hint="eastAsia" w:ascii="宋体" w:hAnsi="宋体"/>
          <w:sz w:val="24"/>
          <w:lang w:eastAsia="zh-CN"/>
        </w:rPr>
        <w:t>4.1</w:t>
      </w:r>
      <w:r>
        <w:rPr>
          <w:rFonts w:hint="eastAsia" w:ascii="宋体" w:hAnsi="宋体"/>
          <w:sz w:val="24"/>
        </w:rPr>
        <w:t xml:space="preserve"> 研究内容。</w:t>
      </w:r>
    </w:p>
    <w:p w14:paraId="2A21FF5F">
      <w:pPr>
        <w:adjustRightInd w:val="0"/>
        <w:snapToGrid w:val="0"/>
        <w:rPr>
          <w:rFonts w:hint="eastAsia" w:ascii="宋体" w:hAnsi="宋体"/>
          <w:sz w:val="24"/>
        </w:rPr>
      </w:pPr>
      <w:r>
        <w:rPr>
          <w:rFonts w:hint="eastAsia" w:ascii="宋体" w:hAnsi="宋体"/>
          <w:sz w:val="24"/>
          <w:lang w:eastAsia="zh-CN"/>
        </w:rPr>
        <w:t>4.1</w:t>
      </w:r>
      <w:r>
        <w:rPr>
          <w:rFonts w:hint="eastAsia" w:ascii="宋体" w:hAnsi="宋体"/>
          <w:sz w:val="24"/>
        </w:rPr>
        <w:t>.1 主要项目内容</w:t>
      </w:r>
    </w:p>
    <w:p w14:paraId="754EAC3C">
      <w:pPr>
        <w:adjustRightInd w:val="0"/>
        <w:snapToGrid w:val="0"/>
        <w:rPr>
          <w:rFonts w:hint="eastAsia"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14:paraId="21EC3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14:paraId="663279FF">
            <w:pPr>
              <w:spacing w:line="240" w:lineRule="auto"/>
              <w:jc w:val="center"/>
              <w:rPr>
                <w:rFonts w:hint="eastAsia" w:ascii="宋体" w:hAnsi="宋体" w:cs="宋体"/>
                <w:b/>
                <w:bCs/>
                <w:szCs w:val="21"/>
              </w:rPr>
            </w:pPr>
            <w:r>
              <w:rPr>
                <w:rFonts w:hint="eastAsia" w:ascii="宋体" w:hAnsi="宋体" w:cs="宋体"/>
                <w:b/>
                <w:bCs/>
                <w:szCs w:val="21"/>
              </w:rPr>
              <w:t>序号</w:t>
            </w:r>
          </w:p>
        </w:tc>
        <w:tc>
          <w:tcPr>
            <w:tcW w:w="2985" w:type="dxa"/>
            <w:vAlign w:val="center"/>
          </w:tcPr>
          <w:p w14:paraId="397F23BF">
            <w:pPr>
              <w:spacing w:line="240" w:lineRule="auto"/>
              <w:jc w:val="center"/>
              <w:rPr>
                <w:rFonts w:hint="eastAsia" w:ascii="宋体" w:hAnsi="宋体" w:cs="宋体"/>
                <w:b/>
                <w:bCs/>
                <w:szCs w:val="21"/>
              </w:rPr>
            </w:pPr>
            <w:r>
              <w:rPr>
                <w:rFonts w:hint="eastAsia" w:ascii="宋体" w:hAnsi="宋体" w:cs="宋体"/>
                <w:b/>
                <w:bCs/>
                <w:szCs w:val="21"/>
              </w:rPr>
              <w:t>主要项目内容</w:t>
            </w:r>
          </w:p>
        </w:tc>
        <w:tc>
          <w:tcPr>
            <w:tcW w:w="2363" w:type="dxa"/>
            <w:vAlign w:val="center"/>
          </w:tcPr>
          <w:p w14:paraId="5D8B36BE">
            <w:pPr>
              <w:spacing w:line="240" w:lineRule="auto"/>
              <w:jc w:val="center"/>
              <w:rPr>
                <w:rFonts w:hint="eastAsia" w:ascii="宋体" w:hAnsi="宋体" w:cs="宋体"/>
                <w:b/>
                <w:bCs/>
                <w:szCs w:val="21"/>
              </w:rPr>
            </w:pPr>
            <w:r>
              <w:rPr>
                <w:rFonts w:hint="eastAsia" w:ascii="宋体" w:hAnsi="宋体" w:cs="宋体"/>
                <w:b/>
                <w:bCs/>
                <w:szCs w:val="21"/>
              </w:rPr>
              <w:t>交付物</w:t>
            </w:r>
          </w:p>
        </w:tc>
        <w:tc>
          <w:tcPr>
            <w:tcW w:w="2357" w:type="dxa"/>
            <w:vAlign w:val="center"/>
          </w:tcPr>
          <w:p w14:paraId="40C0077E">
            <w:pPr>
              <w:spacing w:line="240" w:lineRule="auto"/>
              <w:jc w:val="center"/>
              <w:rPr>
                <w:rFonts w:hint="eastAsia" w:ascii="宋体" w:hAnsi="宋体" w:cs="宋体"/>
                <w:b/>
                <w:bCs/>
                <w:szCs w:val="21"/>
              </w:rPr>
            </w:pPr>
            <w:r>
              <w:rPr>
                <w:rFonts w:hint="eastAsia" w:ascii="宋体" w:hAnsi="宋体" w:cs="宋体"/>
                <w:b/>
                <w:bCs/>
                <w:szCs w:val="21"/>
              </w:rPr>
              <w:t>时间要求</w:t>
            </w:r>
          </w:p>
        </w:tc>
      </w:tr>
      <w:tr w14:paraId="401DA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7E4FBE5F">
            <w:pPr>
              <w:spacing w:line="240" w:lineRule="auto"/>
              <w:jc w:val="center"/>
              <w:rPr>
                <w:rFonts w:hint="eastAsia" w:ascii="宋体" w:hAnsi="宋体" w:cs="宋体"/>
                <w:szCs w:val="21"/>
              </w:rPr>
            </w:pPr>
            <w:r>
              <w:rPr>
                <w:rFonts w:hint="eastAsia" w:ascii="宋体" w:hAnsi="宋体" w:cs="宋体"/>
                <w:szCs w:val="21"/>
              </w:rPr>
              <w:t>1</w:t>
            </w:r>
          </w:p>
        </w:tc>
        <w:tc>
          <w:tcPr>
            <w:tcW w:w="2985" w:type="dxa"/>
            <w:shd w:val="clear" w:color="auto" w:fill="auto"/>
            <w:vAlign w:val="center"/>
          </w:tcPr>
          <w:p w14:paraId="1154CB43">
            <w:pPr>
              <w:spacing w:line="240" w:lineRule="auto"/>
              <w:jc w:val="center"/>
              <w:rPr>
                <w:rFonts w:hint="eastAsia" w:ascii="宋体" w:hAnsi="宋体" w:cs="宋体"/>
                <w:szCs w:val="21"/>
                <w:lang w:val="en-US" w:eastAsia="zh-CN"/>
              </w:rPr>
            </w:pPr>
            <w:r>
              <w:rPr>
                <w:rFonts w:hint="eastAsia" w:ascii="宋体" w:hAnsi="宋体" w:cs="宋体"/>
                <w:szCs w:val="21"/>
                <w:lang w:val="en-US" w:eastAsia="zh-CN"/>
              </w:rPr>
              <w:t>（1）完成装置总体方案与结构设计，设计一体化箱体结构，集成储绳舱、收放机构、除湿模块、控制系统等，兼顾便携性、防护性与人机工效；</w:t>
            </w:r>
          </w:p>
          <w:p w14:paraId="6463C532">
            <w:pPr>
              <w:spacing w:line="240" w:lineRule="auto"/>
              <w:jc w:val="center"/>
              <w:rPr>
                <w:rFonts w:hint="eastAsia" w:ascii="宋体" w:hAnsi="宋体" w:cs="宋体"/>
                <w:szCs w:val="21"/>
                <w:lang w:val="en-US" w:eastAsia="zh-CN"/>
              </w:rPr>
            </w:pPr>
            <w:r>
              <w:rPr>
                <w:rFonts w:hint="eastAsia" w:ascii="宋体" w:hAnsi="宋体" w:cs="宋体"/>
                <w:szCs w:val="21"/>
                <w:lang w:val="en-US" w:eastAsia="zh-CN"/>
              </w:rPr>
              <w:t>（2）研制绝缘绳索智能收放与张力控制系统，实现基于无人牵引力反馈的伺服控制，自适应调节收放速度与张力；</w:t>
            </w:r>
          </w:p>
          <w:p w14:paraId="4A71E0CE">
            <w:pPr>
              <w:spacing w:line="240" w:lineRule="auto"/>
              <w:jc w:val="center"/>
              <w:rPr>
                <w:rFonts w:hint="eastAsia" w:ascii="宋体" w:hAnsi="宋体" w:cs="宋体"/>
                <w:szCs w:val="21"/>
                <w:lang w:val="en-US" w:eastAsia="zh-CN"/>
              </w:rPr>
            </w:pPr>
            <w:r>
              <w:rPr>
                <w:rFonts w:hint="eastAsia" w:ascii="宋体" w:hAnsi="宋体" w:cs="宋体"/>
                <w:szCs w:val="21"/>
                <w:lang w:val="en-US" w:eastAsia="zh-CN"/>
              </w:rPr>
              <w:t>（3）开发高精度绳索长度与状态监测模块，集成编码器与张力传感器，实现实时监测与物联网数据远程上传；</w:t>
            </w:r>
          </w:p>
          <w:p w14:paraId="51F1E1FE">
            <w:pPr>
              <w:spacing w:line="240" w:lineRule="auto"/>
              <w:jc w:val="center"/>
              <w:rPr>
                <w:rFonts w:hint="eastAsia" w:ascii="宋体" w:hAnsi="宋体" w:cs="宋体"/>
                <w:szCs w:val="21"/>
                <w:lang w:val="en-US" w:eastAsia="zh-CN"/>
              </w:rPr>
            </w:pPr>
            <w:r>
              <w:rPr>
                <w:rFonts w:hint="eastAsia" w:ascii="宋体" w:hAnsi="宋体" w:cs="宋体"/>
                <w:szCs w:val="21"/>
                <w:lang w:val="en-US" w:eastAsia="zh-CN"/>
              </w:rPr>
              <w:t>（4）研发高效除湿与绝缘保障模块，实现箱内湿度主动控制，确保绝缘性能满足带电作业要求；</w:t>
            </w:r>
          </w:p>
          <w:p w14:paraId="6860F948">
            <w:pPr>
              <w:spacing w:line="240" w:lineRule="auto"/>
              <w:jc w:val="center"/>
              <w:rPr>
                <w:rFonts w:hint="eastAsia" w:ascii="宋体" w:hAnsi="宋体" w:cs="宋体"/>
                <w:szCs w:val="21"/>
                <w:lang w:val="en-US" w:eastAsia="zh-CN"/>
              </w:rPr>
            </w:pPr>
            <w:r>
              <w:rPr>
                <w:rFonts w:hint="eastAsia" w:ascii="宋体" w:hAnsi="宋体" w:cs="宋体"/>
                <w:szCs w:val="21"/>
                <w:lang w:val="en-US" w:eastAsia="zh-CN"/>
              </w:rPr>
              <w:t>（5）开发箱内环境智能监控系统，集成温湿度、绝缘电阻监测模块，具备阈值报警与数据记录功能；</w:t>
            </w:r>
          </w:p>
          <w:p w14:paraId="1E9C80CC">
            <w:pPr>
              <w:spacing w:line="240" w:lineRule="auto"/>
              <w:jc w:val="center"/>
              <w:rPr>
                <w:rFonts w:hint="eastAsia" w:ascii="宋体" w:hAnsi="宋体" w:cs="宋体"/>
                <w:szCs w:val="21"/>
              </w:rPr>
            </w:pPr>
            <w:r>
              <w:rPr>
                <w:rFonts w:hint="eastAsia" w:ascii="宋体" w:hAnsi="宋体" w:cs="宋体"/>
                <w:szCs w:val="21"/>
                <w:lang w:val="en-US" w:eastAsia="zh-CN"/>
              </w:rPr>
              <w:t>（6）完成装置轻量化与工程化实现，优选轻质材料与紧凑布局，完成样机试制与可靠性验证。</w:t>
            </w:r>
          </w:p>
        </w:tc>
        <w:tc>
          <w:tcPr>
            <w:tcW w:w="2363" w:type="dxa"/>
            <w:shd w:val="clear" w:color="auto" w:fill="auto"/>
            <w:vAlign w:val="center"/>
          </w:tcPr>
          <w:p w14:paraId="0AE1E90B">
            <w:pPr>
              <w:spacing w:line="240" w:lineRule="auto"/>
              <w:jc w:val="center"/>
              <w:rPr>
                <w:rFonts w:hint="eastAsia" w:ascii="PingFang-SC-Regular" w:hAnsi="PingFang-SC-Regular" w:cs="Segoe UI"/>
                <w:lang w:val="en-US" w:eastAsia="zh-CN"/>
              </w:rPr>
            </w:pPr>
            <w:r>
              <w:rPr>
                <w:rFonts w:hint="default" w:ascii="宋体" w:hAnsi="宋体" w:cs="宋体"/>
                <w:szCs w:val="21"/>
                <w:lang w:val="en-US" w:eastAsia="zh-CN"/>
              </w:rPr>
              <w:t>便携式智能绝缘绳索运维保障装置样机一套</w:t>
            </w:r>
          </w:p>
        </w:tc>
        <w:tc>
          <w:tcPr>
            <w:tcW w:w="2357" w:type="dxa"/>
            <w:vAlign w:val="center"/>
          </w:tcPr>
          <w:p w14:paraId="7FCEEB16">
            <w:pPr>
              <w:spacing w:line="240" w:lineRule="auto"/>
              <w:jc w:val="center"/>
              <w:rPr>
                <w:rFonts w:hint="eastAsia" w:ascii="宋体" w:hAnsi="宋体" w:cs="宋体"/>
              </w:rPr>
            </w:pPr>
            <w:r>
              <w:rPr>
                <w:rFonts w:hint="eastAsia" w:asciiTheme="minorEastAsia" w:hAnsiTheme="minorEastAsia" w:cstheme="minorEastAsia"/>
                <w:szCs w:val="21"/>
              </w:rPr>
              <w:t>2026年11月</w:t>
            </w:r>
          </w:p>
        </w:tc>
      </w:tr>
      <w:tr w14:paraId="4CD6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4B99C1CB">
            <w:pPr>
              <w:spacing w:line="240" w:lineRule="auto"/>
              <w:jc w:val="center"/>
              <w:rPr>
                <w:rFonts w:hint="eastAsia" w:ascii="宋体" w:hAnsi="宋体" w:cs="宋体"/>
                <w:szCs w:val="21"/>
              </w:rPr>
            </w:pPr>
            <w:r>
              <w:rPr>
                <w:rFonts w:hint="eastAsia" w:ascii="宋体" w:hAnsi="宋体" w:cs="宋体"/>
                <w:szCs w:val="21"/>
              </w:rPr>
              <w:t>2</w:t>
            </w:r>
          </w:p>
        </w:tc>
        <w:tc>
          <w:tcPr>
            <w:tcW w:w="2985" w:type="dxa"/>
            <w:shd w:val="clear" w:color="auto" w:fill="auto"/>
            <w:vAlign w:val="center"/>
          </w:tcPr>
          <w:p w14:paraId="64AC5CF7">
            <w:pPr>
              <w:spacing w:line="240" w:lineRule="auto"/>
              <w:jc w:val="left"/>
              <w:rPr>
                <w:rFonts w:hint="eastAsia" w:ascii="宋体" w:hAnsi="宋体" w:cs="宋体"/>
                <w:szCs w:val="21"/>
              </w:rPr>
            </w:pPr>
            <w:r>
              <w:rPr>
                <w:rFonts w:hint="eastAsia" w:ascii="宋体" w:hAnsi="宋体" w:cs="宋体"/>
                <w:szCs w:val="21"/>
              </w:rPr>
              <w:t>【挑战指标】总结项目成果形成专利1项。</w:t>
            </w:r>
          </w:p>
        </w:tc>
        <w:tc>
          <w:tcPr>
            <w:tcW w:w="2363" w:type="dxa"/>
            <w:shd w:val="clear" w:color="auto" w:fill="auto"/>
            <w:vAlign w:val="center"/>
          </w:tcPr>
          <w:p w14:paraId="43774FDD">
            <w:pPr>
              <w:spacing w:line="240" w:lineRule="auto"/>
              <w:jc w:val="center"/>
              <w:rPr>
                <w:rFonts w:hint="eastAsia" w:ascii="宋体" w:hAnsi="宋体" w:cs="宋体"/>
                <w:szCs w:val="21"/>
              </w:rPr>
            </w:pPr>
            <w:r>
              <w:rPr>
                <w:rFonts w:hint="eastAsia" w:ascii="宋体" w:hAnsi="宋体" w:cs="宋体"/>
                <w:szCs w:val="21"/>
              </w:rPr>
              <w:t>专利1项（受理阶段）</w:t>
            </w:r>
          </w:p>
        </w:tc>
        <w:tc>
          <w:tcPr>
            <w:tcW w:w="2357" w:type="dxa"/>
            <w:vAlign w:val="center"/>
          </w:tcPr>
          <w:p w14:paraId="533FACD9">
            <w:pPr>
              <w:spacing w:line="240" w:lineRule="auto"/>
              <w:jc w:val="center"/>
              <w:rPr>
                <w:rFonts w:hint="eastAsia" w:asciiTheme="minorEastAsia" w:hAnsiTheme="minorEastAsia" w:eastAsiaTheme="minorEastAsia" w:cstheme="minorEastAsia"/>
                <w:szCs w:val="21"/>
              </w:rPr>
            </w:pPr>
            <w:r>
              <w:rPr>
                <w:rFonts w:hint="eastAsia" w:asciiTheme="minorEastAsia" w:hAnsiTheme="minorEastAsia" w:cstheme="minorEastAsia"/>
                <w:szCs w:val="21"/>
              </w:rPr>
              <w:t>2026年12月</w:t>
            </w:r>
          </w:p>
        </w:tc>
      </w:tr>
      <w:tr w14:paraId="7E920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695C0C7B">
            <w:pPr>
              <w:spacing w:line="240" w:lineRule="auto"/>
              <w:jc w:val="center"/>
              <w:rPr>
                <w:rFonts w:hint="eastAsia" w:ascii="宋体" w:hAnsi="宋体" w:eastAsia="宋体" w:cs="宋体"/>
                <w:szCs w:val="21"/>
                <w:lang w:eastAsia="zh-CN"/>
              </w:rPr>
            </w:pPr>
            <w:r>
              <w:rPr>
                <w:rFonts w:hint="eastAsia" w:ascii="宋体" w:hAnsi="宋体" w:cs="宋体"/>
                <w:szCs w:val="21"/>
                <w:lang w:val="en-US" w:eastAsia="zh-CN"/>
              </w:rPr>
              <w:t>3</w:t>
            </w:r>
          </w:p>
        </w:tc>
        <w:tc>
          <w:tcPr>
            <w:tcW w:w="2985" w:type="dxa"/>
            <w:shd w:val="clear" w:color="auto" w:fill="auto"/>
            <w:vAlign w:val="center"/>
          </w:tcPr>
          <w:p w14:paraId="0B57C7E4">
            <w:pPr>
              <w:spacing w:line="240" w:lineRule="auto"/>
              <w:jc w:val="left"/>
              <w:rPr>
                <w:rFonts w:hint="default" w:ascii="宋体" w:hAnsi="宋体" w:eastAsia="宋体" w:cs="宋体"/>
                <w:szCs w:val="21"/>
                <w:lang w:val="en-US" w:eastAsia="zh-CN"/>
              </w:rPr>
            </w:pPr>
            <w:r>
              <w:rPr>
                <w:rFonts w:hint="eastAsia" w:ascii="宋体" w:hAnsi="宋体" w:cs="宋体"/>
                <w:szCs w:val="21"/>
                <w:lang w:val="en-US" w:eastAsia="zh-CN"/>
              </w:rPr>
              <w:t>发表论文一篇</w:t>
            </w:r>
          </w:p>
        </w:tc>
        <w:tc>
          <w:tcPr>
            <w:tcW w:w="2363" w:type="dxa"/>
            <w:shd w:val="clear" w:color="auto" w:fill="auto"/>
            <w:vAlign w:val="center"/>
          </w:tcPr>
          <w:p w14:paraId="419C3D4F">
            <w:pPr>
              <w:spacing w:line="240" w:lineRule="auto"/>
              <w:jc w:val="left"/>
              <w:rPr>
                <w:rFonts w:hint="default" w:ascii="宋体" w:hAnsi="宋体" w:eastAsia="宋体" w:cs="宋体"/>
                <w:lang w:val="en-US" w:eastAsia="zh-CN"/>
              </w:rPr>
            </w:pPr>
            <w:r>
              <w:rPr>
                <w:rFonts w:hint="eastAsia" w:ascii="宋体" w:hAnsi="宋体" w:cs="宋体"/>
                <w:lang w:val="en-US" w:eastAsia="zh-CN"/>
              </w:rPr>
              <w:t>发表论文一篇</w:t>
            </w:r>
          </w:p>
        </w:tc>
        <w:tc>
          <w:tcPr>
            <w:tcW w:w="2357" w:type="dxa"/>
            <w:vAlign w:val="center"/>
          </w:tcPr>
          <w:p w14:paraId="21E8E47B">
            <w:pPr>
              <w:spacing w:line="240" w:lineRule="auto"/>
              <w:jc w:val="center"/>
              <w:rPr>
                <w:rFonts w:hint="eastAsia" w:asciiTheme="minorEastAsia" w:hAnsiTheme="minorEastAsia" w:eastAsiaTheme="minorEastAsia" w:cstheme="minorEastAsia"/>
                <w:szCs w:val="21"/>
              </w:rPr>
            </w:pPr>
            <w:r>
              <w:rPr>
                <w:rFonts w:hint="eastAsia" w:asciiTheme="minorEastAsia" w:hAnsiTheme="minorEastAsia" w:cstheme="minorEastAsia"/>
                <w:szCs w:val="21"/>
              </w:rPr>
              <w:t>2026年12月</w:t>
            </w:r>
          </w:p>
        </w:tc>
      </w:tr>
      <w:tr w14:paraId="3EF8E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3F60BDCA">
            <w:pPr>
              <w:spacing w:line="240" w:lineRule="auto"/>
              <w:jc w:val="center"/>
              <w:rPr>
                <w:rFonts w:hint="default" w:ascii="宋体" w:hAnsi="宋体" w:eastAsia="宋体" w:cs="宋体"/>
                <w:szCs w:val="21"/>
                <w:lang w:val="en-US" w:eastAsia="zh-CN"/>
              </w:rPr>
            </w:pPr>
            <w:r>
              <w:rPr>
                <w:rFonts w:hint="eastAsia" w:ascii="宋体" w:hAnsi="宋体" w:cs="宋体"/>
                <w:szCs w:val="21"/>
                <w:lang w:val="en-US" w:eastAsia="zh-CN"/>
              </w:rPr>
              <w:t>4</w:t>
            </w:r>
          </w:p>
        </w:tc>
        <w:tc>
          <w:tcPr>
            <w:tcW w:w="2985" w:type="dxa"/>
            <w:shd w:val="clear" w:color="auto" w:fill="auto"/>
            <w:vAlign w:val="center"/>
          </w:tcPr>
          <w:p w14:paraId="41EB6DB6">
            <w:pPr>
              <w:spacing w:line="240" w:lineRule="auto"/>
              <w:jc w:val="left"/>
              <w:rPr>
                <w:rFonts w:hint="eastAsia" w:ascii="宋体" w:hAnsi="宋体" w:cs="宋体"/>
                <w:szCs w:val="21"/>
              </w:rPr>
            </w:pPr>
            <w:r>
              <w:rPr>
                <w:rFonts w:hint="eastAsia" w:ascii="宋体" w:hAnsi="宋体" w:cs="宋体"/>
                <w:szCs w:val="21"/>
              </w:rPr>
              <w:t>项目验收检查</w:t>
            </w:r>
          </w:p>
        </w:tc>
        <w:tc>
          <w:tcPr>
            <w:tcW w:w="2363" w:type="dxa"/>
            <w:shd w:val="clear" w:color="auto" w:fill="auto"/>
            <w:vAlign w:val="center"/>
          </w:tcPr>
          <w:p w14:paraId="2675ACCE">
            <w:pPr>
              <w:spacing w:line="240" w:lineRule="auto"/>
              <w:jc w:val="left"/>
              <w:rPr>
                <w:rFonts w:hint="eastAsia" w:ascii="宋体" w:hAnsi="宋体" w:cs="宋体"/>
              </w:rPr>
            </w:pPr>
            <w:r>
              <w:rPr>
                <w:rFonts w:hint="eastAsia" w:ascii="宋体" w:hAnsi="宋体" w:cs="宋体"/>
              </w:rPr>
              <w:t>完成项目全部验收内容</w:t>
            </w:r>
          </w:p>
        </w:tc>
        <w:tc>
          <w:tcPr>
            <w:tcW w:w="2357" w:type="dxa"/>
            <w:vAlign w:val="center"/>
          </w:tcPr>
          <w:p w14:paraId="090CC0E8">
            <w:pPr>
              <w:spacing w:line="240" w:lineRule="auto"/>
              <w:jc w:val="center"/>
              <w:rPr>
                <w:rFonts w:hint="eastAsia" w:asciiTheme="minorEastAsia" w:hAnsiTheme="minorEastAsia" w:cstheme="minorEastAsia"/>
                <w:szCs w:val="21"/>
              </w:rPr>
            </w:pPr>
            <w:r>
              <w:rPr>
                <w:rFonts w:hint="eastAsia" w:asciiTheme="minorEastAsia" w:hAnsiTheme="minorEastAsia" w:cstheme="minorEastAsia"/>
                <w:szCs w:val="21"/>
              </w:rPr>
              <w:t>2026年12月</w:t>
            </w:r>
          </w:p>
        </w:tc>
      </w:tr>
    </w:tbl>
    <w:p w14:paraId="4260A043">
      <w:pPr>
        <w:rPr>
          <w:rFonts w:hint="eastAsia" w:ascii="宋体" w:hAnsi="宋体" w:cs="宋体"/>
          <w:color w:val="000000"/>
          <w:sz w:val="24"/>
        </w:rPr>
      </w:pPr>
      <w:r>
        <w:rPr>
          <w:rFonts w:hint="eastAsia" w:ascii="宋体" w:hAnsi="宋体" w:cs="宋体"/>
          <w:color w:val="000000"/>
          <w:sz w:val="24"/>
          <w:lang w:eastAsia="zh-CN"/>
        </w:rPr>
        <w:t>4.1</w:t>
      </w:r>
      <w:r>
        <w:rPr>
          <w:rFonts w:hint="eastAsia" w:ascii="宋体" w:hAnsi="宋体" w:cs="宋体"/>
          <w:color w:val="000000"/>
          <w:sz w:val="24"/>
        </w:rPr>
        <w:t xml:space="preserve">.2 </w:t>
      </w:r>
      <w:r>
        <w:rPr>
          <w:rFonts w:hint="eastAsia" w:ascii="宋体" w:hAnsi="宋体" w:cs="宋体"/>
          <w:color w:val="000000"/>
          <w:sz w:val="24"/>
          <w:lang w:val="en-US" w:eastAsia="zh-CN"/>
        </w:rPr>
        <w:t>便携式智能绝缘绳索运维保障装置</w:t>
      </w:r>
      <w:r>
        <w:rPr>
          <w:rFonts w:hint="eastAsia" w:ascii="宋体" w:hAnsi="宋体" w:cs="宋体"/>
          <w:kern w:val="0"/>
          <w:sz w:val="24"/>
        </w:rPr>
        <w:t>研究实施要求</w:t>
      </w:r>
    </w:p>
    <w:p w14:paraId="0FF108FA">
      <w:pPr>
        <w:pStyle w:val="8"/>
        <w:spacing w:after="0" w:line="360" w:lineRule="auto"/>
        <w:ind w:left="0"/>
        <w:rPr>
          <w:rFonts w:hint="eastAsia" w:ascii="宋体" w:hAnsi="宋体" w:cs="宋体"/>
          <w:sz w:val="24"/>
        </w:rPr>
      </w:pPr>
      <w:r>
        <w:rPr>
          <w:rFonts w:hint="eastAsia" w:ascii="宋体" w:hAnsi="宋体" w:cs="宋体"/>
          <w:sz w:val="24"/>
          <w:lang w:eastAsia="zh-CN"/>
        </w:rPr>
        <w:t>4.1</w:t>
      </w:r>
      <w:r>
        <w:rPr>
          <w:rFonts w:hint="eastAsia" w:ascii="宋体" w:hAnsi="宋体" w:cs="宋体"/>
          <w:sz w:val="24"/>
        </w:rPr>
        <w:t>.2.1总体要求</w:t>
      </w:r>
    </w:p>
    <w:p w14:paraId="601343FE">
      <w:pPr>
        <w:pStyle w:val="8"/>
        <w:numPr>
          <w:ilvl w:val="0"/>
          <w:numId w:val="3"/>
        </w:numPr>
        <w:spacing w:after="0" w:line="360" w:lineRule="auto"/>
        <w:ind w:left="0"/>
        <w:rPr>
          <w:rFonts w:hint="eastAsia" w:ascii="宋体" w:hAnsi="宋体" w:cs="宋体"/>
          <w:sz w:val="24"/>
        </w:rPr>
      </w:pPr>
      <w:r>
        <w:rPr>
          <w:rFonts w:hint="eastAsia" w:ascii="宋体" w:hAnsi="宋体" w:cs="宋体"/>
          <w:sz w:val="24"/>
        </w:rPr>
        <w:t>稳定性和可靠性</w:t>
      </w:r>
    </w:p>
    <w:p w14:paraId="31462859">
      <w:pPr>
        <w:pStyle w:val="8"/>
        <w:spacing w:after="0" w:line="360" w:lineRule="auto"/>
        <w:ind w:left="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装置为独立运行的一体化解决方案，箱体具备工业级防护设计（防尘、防水、抗冲击），适应野外复杂作业环境；具备完善的本地数据存储与管理功能，支持断网情况下数据本地缓存，网络恢复后自动同步。</w:t>
      </w:r>
    </w:p>
    <w:p w14:paraId="5E244D79">
      <w:pPr>
        <w:pStyle w:val="8"/>
        <w:spacing w:after="0" w:line="360" w:lineRule="auto"/>
        <w:ind w:left="0"/>
        <w:rPr>
          <w:rFonts w:hint="eastAsia" w:ascii="宋体" w:hAnsi="宋体" w:cs="宋体"/>
          <w:sz w:val="24"/>
        </w:rPr>
      </w:pPr>
      <w:r>
        <w:rPr>
          <w:rFonts w:hint="eastAsia" w:ascii="宋体" w:hAnsi="宋体" w:cs="宋体"/>
          <w:sz w:val="24"/>
        </w:rPr>
        <w:t>（2）易用性</w:t>
      </w:r>
    </w:p>
    <w:p w14:paraId="533FEC70">
      <w:pPr>
        <w:rPr>
          <w:rFonts w:hint="eastAsia" w:ascii="宋体" w:hAnsi="宋体" w:cs="宋体"/>
          <w:sz w:val="24"/>
        </w:rPr>
      </w:pPr>
      <w:r>
        <w:rPr>
          <w:rFonts w:hint="eastAsia" w:ascii="宋体" w:hAnsi="宋体" w:cs="宋体"/>
          <w:sz w:val="24"/>
        </w:rPr>
        <w:t>装置提供清晰的人机交互界面（显示屏与按键/触控操作），支持绳索收放速度、张力目标值等参数设置，实时显示绳索长度、张力、箱内温湿度及绝缘电阻等关键状态信息；操作流程简洁，符合现场作业人员使用习惯。</w:t>
      </w:r>
    </w:p>
    <w:p w14:paraId="1B14C94D">
      <w:pP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便携式</w:t>
      </w:r>
    </w:p>
    <w:p w14:paraId="243D6AA2">
      <w:pPr>
        <w:rPr>
          <w:rFonts w:hint="default" w:asciiTheme="minorEastAsia" w:hAnsiTheme="minorEastAsia" w:eastAsiaTheme="minorEastAsia" w:cstheme="minorEastAsia"/>
          <w:sz w:val="24"/>
          <w:lang w:val="en-US" w:eastAsia="zh-CN"/>
        </w:rPr>
      </w:pPr>
      <w:r>
        <w:rPr>
          <w:rFonts w:hint="default" w:asciiTheme="minorEastAsia" w:hAnsiTheme="minorEastAsia" w:eastAsiaTheme="minorEastAsia" w:cstheme="minorEastAsia"/>
          <w:sz w:val="24"/>
          <w:lang w:val="en-US" w:eastAsia="zh-CN"/>
        </w:rPr>
        <w:t>在保证功能与强度的前提下，整机重量不超过15kg，便于单人或双人携带转运，适应输电线路野外作业场景。</w:t>
      </w:r>
    </w:p>
    <w:p w14:paraId="5BFB8DCC">
      <w:pPr>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4.1</w:t>
      </w:r>
      <w:r>
        <w:rPr>
          <w:rFonts w:hint="eastAsia" w:asciiTheme="minorEastAsia" w:hAnsiTheme="minorEastAsia" w:eastAsiaTheme="minorEastAsia" w:cstheme="minorEastAsia"/>
          <w:sz w:val="24"/>
        </w:rPr>
        <w:t>.2.2系统实施要求</w:t>
      </w:r>
    </w:p>
    <w:p w14:paraId="6A13D69D">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4.1</w:t>
      </w:r>
      <w:r>
        <w:rPr>
          <w:rFonts w:hint="eastAsia" w:asciiTheme="minorEastAsia" w:hAnsiTheme="minorEastAsia" w:eastAsiaTheme="minorEastAsia" w:cstheme="minorEastAsia"/>
          <w:sz w:val="24"/>
        </w:rPr>
        <w:t>.2.2.1 系统架构及技术</w:t>
      </w:r>
    </w:p>
    <w:p w14:paraId="30125770">
      <w:pPr>
        <w:numPr>
          <w:ilvl w:val="0"/>
          <w:numId w:val="4"/>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智能收放与张力控制系统：采用伺服电机驱动收放机构，集成高精度张力传感器（测量精度优于±2%F.S.），实现绳索收放速度0~1.5m/s无级可调，张力闭环控制，响应时间≤0.5s；支持基于无人机牵引力反馈的自动张力调节模式，确保协同作业平稳可靠。</w:t>
      </w:r>
    </w:p>
    <w:p w14:paraId="26310E59">
      <w:pPr>
        <w:numPr>
          <w:ilvl w:val="0"/>
          <w:numId w:val="4"/>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绳索长度与状态监测：集成光电编码器或磁栅编码器，收放长度测量精度优于±0.5%；实时记录绳索累计使用长度、收放次数，为寿命评估提供数据支撑。</w:t>
      </w:r>
    </w:p>
    <w:p w14:paraId="0CB60957">
      <w:pPr>
        <w:numPr>
          <w:ilvl w:val="0"/>
          <w:numId w:val="4"/>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高效除湿与绝缘保障：采用低功耗半导体制冷除湿或吸附式除湿方案，箱内相对湿度可主动控制在≤40%RH（环境温度-10℃~+50℃范围内），除湿功率≤60W，除湿启动后30分钟内将箱内湿度从80%RH降至40%RH以下；箱内绝缘电阻监测范围0~100GΩ，测量精度±5%。</w:t>
      </w:r>
    </w:p>
    <w:p w14:paraId="3B281459">
      <w:pPr>
        <w:numPr>
          <w:ilvl w:val="0"/>
          <w:numId w:val="4"/>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箱内环境智能监控系统：集成温湿度传感器（</w:t>
      </w:r>
      <w:bookmarkStart w:id="37" w:name="_GoBack"/>
      <w:bookmarkEnd w:id="37"/>
      <w:r>
        <w:rPr>
          <w:rFonts w:hint="default" w:ascii="宋体" w:hAnsi="宋体" w:eastAsia="宋体" w:cs="宋体"/>
          <w:kern w:val="0"/>
          <w:sz w:val="24"/>
          <w:szCs w:val="24"/>
          <w:lang w:val="en-US" w:eastAsia="zh-CN" w:bidi="ar-SA"/>
        </w:rPr>
        <w:t>温度精度±0.5℃，湿度精度±3%RH）和绝缘电阻监测模块，具备阈值可设的声光报警功能，支持本地显示与无线数据传输（4G/5G或蓝牙），数据上传至云端管理平台，实现远程监控与预警</w:t>
      </w:r>
      <w:r>
        <w:rPr>
          <w:rFonts w:hint="eastAsia" w:ascii="宋体" w:hAnsi="宋体" w:cs="宋体"/>
          <w:kern w:val="0"/>
          <w:sz w:val="24"/>
          <w:szCs w:val="24"/>
          <w:lang w:val="en-US" w:eastAsia="zh-CN" w:bidi="ar-SA"/>
        </w:rPr>
        <w:t>。</w:t>
      </w:r>
    </w:p>
    <w:p w14:paraId="4F4E7F4F">
      <w:pPr>
        <w:numPr>
          <w:ilvl w:val="0"/>
          <w:numId w:val="4"/>
        </w:numPr>
        <w:ind w:left="425" w:leftChars="0" w:hanging="425" w:firstLineChars="0"/>
        <w:rPr>
          <w:rFonts w:ascii="宋体" w:hAnsi="宋体" w:eastAsia="宋体" w:cs="宋体"/>
          <w:kern w:val="0"/>
          <w:sz w:val="24"/>
          <w:szCs w:val="24"/>
          <w:lang w:val="en-US" w:eastAsia="zh-CN" w:bidi="ar-SA"/>
        </w:rPr>
      </w:pPr>
      <w:r>
        <w:rPr>
          <w:rFonts w:hint="default" w:ascii="宋体" w:hAnsi="宋体" w:eastAsia="宋体" w:cs="宋体"/>
          <w:kern w:val="0"/>
          <w:sz w:val="24"/>
          <w:szCs w:val="24"/>
          <w:lang w:val="en-US" w:eastAsia="zh-CN" w:bidi="ar-SA"/>
        </w:rPr>
        <w:t>工业设计与防护：箱体采用轻质高强度工程塑料或铝合金材质，防护等级不低于IP54；储绳舱内衬软质防磨材料，防止绳索磨损；收放机构出入口设导向轮与清洁毛刷，避免泥沙杂物进入。</w:t>
      </w:r>
    </w:p>
    <w:p w14:paraId="07CCAB0D">
      <w:pPr>
        <w:pStyle w:val="8"/>
        <w:ind w:left="0" w:leftChars="0" w:firstLine="0" w:firstLine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4.1</w:t>
      </w:r>
      <w:r>
        <w:rPr>
          <w:rFonts w:hint="eastAsia" w:asciiTheme="minorEastAsia" w:hAnsiTheme="minorEastAsia" w:eastAsiaTheme="minorEastAsia" w:cstheme="minorEastAsia"/>
          <w:sz w:val="24"/>
        </w:rPr>
        <w:t>.2.3系统功能</w:t>
      </w:r>
    </w:p>
    <w:tbl>
      <w:tblPr>
        <w:tblStyle w:val="12"/>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268"/>
        <w:gridCol w:w="5494"/>
      </w:tblGrid>
      <w:tr w14:paraId="707BC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59" w:type="dxa"/>
            <w:vAlign w:val="center"/>
          </w:tcPr>
          <w:p w14:paraId="51CAC340">
            <w:pPr>
              <w:jc w:val="center"/>
              <w:rPr>
                <w:rFonts w:ascii="Arial" w:hAnsi="Arial" w:cs="Arial"/>
              </w:rPr>
            </w:pPr>
            <w:r>
              <w:rPr>
                <w:rFonts w:hint="eastAsia" w:ascii="Arial" w:hAnsi="Arial" w:cs="Arial"/>
              </w:rPr>
              <w:t>序号</w:t>
            </w:r>
          </w:p>
        </w:tc>
        <w:tc>
          <w:tcPr>
            <w:tcW w:w="2268" w:type="dxa"/>
            <w:vAlign w:val="center"/>
          </w:tcPr>
          <w:p w14:paraId="6AB14A8F">
            <w:pPr>
              <w:jc w:val="center"/>
              <w:rPr>
                <w:rFonts w:ascii="Arial" w:hAnsi="Arial" w:cs="Arial"/>
              </w:rPr>
            </w:pPr>
            <w:r>
              <w:rPr>
                <w:rFonts w:hint="eastAsia" w:ascii="Arial" w:hAnsi="Arial" w:cs="Arial"/>
              </w:rPr>
              <w:t>功能</w:t>
            </w:r>
          </w:p>
        </w:tc>
        <w:tc>
          <w:tcPr>
            <w:tcW w:w="5494" w:type="dxa"/>
            <w:vAlign w:val="center"/>
          </w:tcPr>
          <w:p w14:paraId="2E8647C3">
            <w:pPr>
              <w:jc w:val="center"/>
              <w:rPr>
                <w:rFonts w:ascii="Arial" w:hAnsi="Arial" w:cs="Arial"/>
              </w:rPr>
            </w:pPr>
            <w:r>
              <w:rPr>
                <w:rFonts w:hint="eastAsia" w:ascii="Arial" w:hAnsi="Arial" w:cs="Arial"/>
              </w:rPr>
              <w:t>描述</w:t>
            </w:r>
          </w:p>
        </w:tc>
      </w:tr>
      <w:tr w14:paraId="359BF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57C0F2BD">
            <w:pPr>
              <w:jc w:val="center"/>
              <w:rPr>
                <w:rFonts w:ascii="Arial" w:hAnsi="Arial" w:cs="Arial"/>
              </w:rPr>
            </w:pPr>
            <w:r>
              <w:rPr>
                <w:rFonts w:hint="eastAsia" w:ascii="Arial" w:hAnsi="Arial" w:cs="Arial"/>
              </w:rPr>
              <w:t>1</w:t>
            </w:r>
          </w:p>
        </w:tc>
        <w:tc>
          <w:tcPr>
            <w:tcW w:w="2268" w:type="dxa"/>
            <w:vAlign w:val="center"/>
          </w:tcPr>
          <w:p w14:paraId="202D2DBB">
            <w:pPr>
              <w:ind w:firstLine="210" w:firstLineChars="100"/>
              <w:rPr>
                <w:rFonts w:ascii="Arial" w:hAnsi="Arial" w:cs="Arial"/>
              </w:rPr>
            </w:pPr>
            <w:r>
              <w:rPr>
                <w:rFonts w:hint="eastAsia" w:ascii="Arial" w:hAnsi="Arial" w:cs="Arial"/>
              </w:rPr>
              <w:t>智能收放控制</w:t>
            </w:r>
          </w:p>
        </w:tc>
        <w:tc>
          <w:tcPr>
            <w:tcW w:w="5494" w:type="dxa"/>
          </w:tcPr>
          <w:p w14:paraId="00401616">
            <w:pPr>
              <w:rPr>
                <w:rFonts w:ascii="Arial" w:hAnsi="Arial" w:cs="Arial"/>
              </w:rPr>
            </w:pPr>
            <w:r>
              <w:rPr>
                <w:rFonts w:hint="eastAsia" w:ascii="Arial" w:hAnsi="Arial" w:cs="Arial"/>
              </w:rPr>
              <w:t>集成北斗/GPS定位模块，实时采集经纬度与高程信息，实现螺栓位置精准标注</w:t>
            </w:r>
          </w:p>
        </w:tc>
      </w:tr>
      <w:tr w14:paraId="62F25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3A8BCAF6">
            <w:pPr>
              <w:jc w:val="center"/>
              <w:rPr>
                <w:rFonts w:ascii="Arial" w:hAnsi="Arial" w:cs="Arial"/>
              </w:rPr>
            </w:pPr>
            <w:r>
              <w:rPr>
                <w:rFonts w:ascii="Arial" w:hAnsi="Arial" w:cs="Arial"/>
              </w:rPr>
              <w:t>2</w:t>
            </w:r>
          </w:p>
        </w:tc>
        <w:tc>
          <w:tcPr>
            <w:tcW w:w="2268" w:type="dxa"/>
            <w:vAlign w:val="center"/>
          </w:tcPr>
          <w:p w14:paraId="1FF607FA">
            <w:pPr>
              <w:ind w:firstLine="210" w:firstLineChars="100"/>
              <w:rPr>
                <w:rFonts w:ascii="Arial" w:hAnsi="Arial" w:cs="Arial"/>
              </w:rPr>
            </w:pPr>
            <w:r>
              <w:rPr>
                <w:rFonts w:hint="eastAsia" w:ascii="Arial" w:hAnsi="Arial" w:cs="Arial"/>
              </w:rPr>
              <w:t>张力自适应调节</w:t>
            </w:r>
          </w:p>
        </w:tc>
        <w:tc>
          <w:tcPr>
            <w:tcW w:w="5494" w:type="dxa"/>
          </w:tcPr>
          <w:p w14:paraId="3C9CB5AC">
            <w:pPr>
              <w:rPr>
                <w:rFonts w:ascii="Arial" w:hAnsi="Arial" w:cs="Arial"/>
              </w:rPr>
            </w:pPr>
            <w:r>
              <w:rPr>
                <w:rFonts w:hint="eastAsia" w:ascii="Arial" w:hAnsi="Arial" w:cs="Arial"/>
              </w:rPr>
              <w:t>通过4G/5G与蓝牙模块，实现扭矩数据、位置信息等实时上传至云端平台</w:t>
            </w:r>
          </w:p>
        </w:tc>
      </w:tr>
      <w:tr w14:paraId="7F3AE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05CC1301">
            <w:pPr>
              <w:jc w:val="center"/>
              <w:rPr>
                <w:rFonts w:ascii="Arial" w:hAnsi="Arial" w:cs="Arial"/>
              </w:rPr>
            </w:pPr>
            <w:r>
              <w:rPr>
                <w:rFonts w:ascii="Arial" w:hAnsi="Arial" w:cs="Arial"/>
              </w:rPr>
              <w:t>3</w:t>
            </w:r>
          </w:p>
        </w:tc>
        <w:tc>
          <w:tcPr>
            <w:tcW w:w="2268" w:type="dxa"/>
            <w:vAlign w:val="center"/>
          </w:tcPr>
          <w:p w14:paraId="0101B71A">
            <w:pPr>
              <w:ind w:firstLine="210" w:firstLineChars="100"/>
              <w:rPr>
                <w:rFonts w:ascii="Arial" w:hAnsi="Arial" w:cs="Arial"/>
              </w:rPr>
            </w:pPr>
            <w:r>
              <w:rPr>
                <w:rFonts w:hint="eastAsia" w:ascii="Arial" w:hAnsi="Arial" w:cs="Arial"/>
              </w:rPr>
              <w:t>长度精准计量</w:t>
            </w:r>
          </w:p>
        </w:tc>
        <w:tc>
          <w:tcPr>
            <w:tcW w:w="5494" w:type="dxa"/>
          </w:tcPr>
          <w:p w14:paraId="39DA1A97">
            <w:pPr>
              <w:rPr>
                <w:rFonts w:ascii="Arial" w:hAnsi="Arial" w:cs="Arial"/>
              </w:rPr>
            </w:pPr>
            <w:r>
              <w:rPr>
                <w:rFonts w:hint="eastAsia" w:ascii="Arial" w:hAnsi="Arial" w:cs="Arial"/>
              </w:rPr>
              <w:t>一键生成包含抽检明细、合格率统计、不合格项定位及可视化图表的验收报告</w:t>
            </w:r>
          </w:p>
        </w:tc>
      </w:tr>
      <w:tr w14:paraId="1BB95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125248E8">
            <w:pPr>
              <w:jc w:val="center"/>
              <w:rPr>
                <w:rFonts w:ascii="Arial" w:hAnsi="Arial" w:cs="Arial"/>
              </w:rPr>
            </w:pPr>
            <w:r>
              <w:rPr>
                <w:rFonts w:hint="eastAsia" w:ascii="Arial" w:hAnsi="Arial" w:cs="Arial"/>
              </w:rPr>
              <w:t>4</w:t>
            </w:r>
          </w:p>
        </w:tc>
        <w:tc>
          <w:tcPr>
            <w:tcW w:w="2268" w:type="dxa"/>
            <w:vAlign w:val="center"/>
          </w:tcPr>
          <w:p w14:paraId="79C3AD8A">
            <w:pPr>
              <w:ind w:firstLine="210" w:firstLineChars="100"/>
              <w:rPr>
                <w:rFonts w:ascii="Arial" w:hAnsi="Arial" w:cs="Arial"/>
              </w:rPr>
            </w:pPr>
            <w:r>
              <w:rPr>
                <w:rFonts w:hint="eastAsia" w:ascii="Arial" w:hAnsi="Arial" w:cs="Arial"/>
              </w:rPr>
              <w:t>箱内环境监控</w:t>
            </w:r>
          </w:p>
        </w:tc>
        <w:tc>
          <w:tcPr>
            <w:tcW w:w="5494" w:type="dxa"/>
          </w:tcPr>
          <w:p w14:paraId="62E58F5A">
            <w:pPr>
              <w:rPr>
                <w:rFonts w:ascii="Arial" w:hAnsi="Arial" w:cs="Arial"/>
              </w:rPr>
            </w:pPr>
            <w:r>
              <w:rPr>
                <w:rFonts w:hint="eastAsia" w:ascii="Arial" w:hAnsi="Arial" w:cs="Arial"/>
              </w:rPr>
              <w:t>基于应变片式扭矩传感器与高精度ADC芯片，实现扭矩值的高精度测量与数字化显示</w:t>
            </w:r>
          </w:p>
        </w:tc>
      </w:tr>
      <w:tr w14:paraId="3CF91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2B9B6FCB">
            <w:pPr>
              <w:jc w:val="center"/>
              <w:rPr>
                <w:rFonts w:hint="eastAsia" w:ascii="Arial" w:hAnsi="Arial" w:eastAsia="宋体" w:cs="Arial"/>
                <w:lang w:val="en-US" w:eastAsia="zh-CN"/>
              </w:rPr>
            </w:pPr>
            <w:r>
              <w:rPr>
                <w:rFonts w:hint="eastAsia" w:ascii="Arial" w:hAnsi="Arial" w:cs="Arial"/>
                <w:lang w:val="en-US" w:eastAsia="zh-CN"/>
              </w:rPr>
              <w:t>5</w:t>
            </w:r>
          </w:p>
        </w:tc>
        <w:tc>
          <w:tcPr>
            <w:tcW w:w="2268" w:type="dxa"/>
            <w:vAlign w:val="center"/>
          </w:tcPr>
          <w:p w14:paraId="771AEABB">
            <w:pPr>
              <w:ind w:firstLine="210" w:firstLineChars="100"/>
              <w:rPr>
                <w:rFonts w:hint="eastAsia" w:ascii="Arial" w:hAnsi="Arial" w:cs="Arial"/>
              </w:rPr>
            </w:pPr>
            <w:r>
              <w:rPr>
                <w:rFonts w:hint="eastAsia" w:ascii="Arial" w:hAnsi="Arial" w:cs="Arial"/>
              </w:rPr>
              <w:t>主动除湿</w:t>
            </w:r>
          </w:p>
        </w:tc>
        <w:tc>
          <w:tcPr>
            <w:tcW w:w="5494" w:type="dxa"/>
          </w:tcPr>
          <w:p w14:paraId="7AEBAB2D">
            <w:pPr>
              <w:rPr>
                <w:rFonts w:hint="eastAsia" w:ascii="Arial" w:hAnsi="Arial" w:cs="Arial"/>
              </w:rPr>
            </w:pPr>
            <w:r>
              <w:rPr>
                <w:rFonts w:hint="eastAsia" w:ascii="Arial" w:hAnsi="Arial" w:cs="Arial"/>
              </w:rPr>
              <w:t>根据箱内湿度自动或手动启动除湿模块，快速降低湿度至设定值，保障绝缘性能</w:t>
            </w:r>
          </w:p>
        </w:tc>
      </w:tr>
      <w:tr w14:paraId="7E5DD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0352CB58">
            <w:pPr>
              <w:jc w:val="center"/>
              <w:rPr>
                <w:rFonts w:hint="eastAsia" w:ascii="Arial" w:hAnsi="Arial" w:eastAsia="宋体" w:cs="Arial"/>
                <w:lang w:val="en-US" w:eastAsia="zh-CN"/>
              </w:rPr>
            </w:pPr>
            <w:r>
              <w:rPr>
                <w:rFonts w:hint="eastAsia" w:ascii="Arial" w:hAnsi="Arial" w:cs="Arial"/>
                <w:lang w:val="en-US" w:eastAsia="zh-CN"/>
              </w:rPr>
              <w:t>6</w:t>
            </w:r>
          </w:p>
        </w:tc>
        <w:tc>
          <w:tcPr>
            <w:tcW w:w="2268" w:type="dxa"/>
            <w:vAlign w:val="center"/>
          </w:tcPr>
          <w:p w14:paraId="062AC40A">
            <w:pPr>
              <w:ind w:firstLine="210" w:firstLineChars="100"/>
              <w:rPr>
                <w:rFonts w:hint="eastAsia" w:ascii="Arial" w:hAnsi="Arial" w:cs="Arial"/>
              </w:rPr>
            </w:pPr>
            <w:r>
              <w:rPr>
                <w:rFonts w:hint="eastAsia" w:ascii="Arial" w:hAnsi="Arial" w:cs="Arial"/>
              </w:rPr>
              <w:t>数据远程传输</w:t>
            </w:r>
          </w:p>
        </w:tc>
        <w:tc>
          <w:tcPr>
            <w:tcW w:w="5494" w:type="dxa"/>
          </w:tcPr>
          <w:p w14:paraId="05A88819">
            <w:pPr>
              <w:rPr>
                <w:rFonts w:hint="eastAsia" w:ascii="Arial" w:hAnsi="Arial" w:cs="Arial"/>
              </w:rPr>
            </w:pPr>
            <w:r>
              <w:rPr>
                <w:rFonts w:hint="eastAsia" w:ascii="Arial" w:hAnsi="Arial" w:cs="Arial"/>
              </w:rPr>
              <w:t>通过物联网模块将绳索长度、张力、温湿度、绝缘电阻等数据上传至云端平台，支持手机APP或网页端查看</w:t>
            </w:r>
          </w:p>
        </w:tc>
      </w:tr>
      <w:tr w14:paraId="6AB23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7DB9BFA4">
            <w:pPr>
              <w:jc w:val="center"/>
              <w:rPr>
                <w:rFonts w:hint="eastAsia" w:ascii="Arial" w:hAnsi="Arial" w:eastAsia="宋体" w:cs="Arial"/>
                <w:lang w:val="en-US" w:eastAsia="zh-CN"/>
              </w:rPr>
            </w:pPr>
            <w:r>
              <w:rPr>
                <w:rFonts w:hint="eastAsia" w:ascii="Arial" w:hAnsi="Arial" w:cs="Arial"/>
                <w:lang w:val="en-US" w:eastAsia="zh-CN"/>
              </w:rPr>
              <w:t>7</w:t>
            </w:r>
          </w:p>
        </w:tc>
        <w:tc>
          <w:tcPr>
            <w:tcW w:w="2268" w:type="dxa"/>
            <w:vAlign w:val="center"/>
          </w:tcPr>
          <w:p w14:paraId="6ABE2A00">
            <w:pPr>
              <w:ind w:firstLine="210" w:firstLineChars="100"/>
              <w:rPr>
                <w:rFonts w:hint="eastAsia" w:ascii="Arial" w:hAnsi="Arial" w:cs="Arial"/>
              </w:rPr>
            </w:pPr>
            <w:r>
              <w:rPr>
                <w:rFonts w:hint="eastAsia" w:ascii="Arial" w:hAnsi="Arial" w:cs="Arial"/>
              </w:rPr>
              <w:t>本地显示与操作</w:t>
            </w:r>
          </w:p>
        </w:tc>
        <w:tc>
          <w:tcPr>
            <w:tcW w:w="5494" w:type="dxa"/>
          </w:tcPr>
          <w:p w14:paraId="2AC99550">
            <w:pPr>
              <w:rPr>
                <w:rFonts w:hint="eastAsia" w:ascii="Arial" w:hAnsi="Arial" w:cs="Arial"/>
              </w:rPr>
            </w:pPr>
            <w:r>
              <w:rPr>
                <w:rFonts w:hint="eastAsia" w:ascii="Arial" w:hAnsi="Arial" w:cs="Arial"/>
              </w:rPr>
              <w:t>配备显示屏，实时显示所有状态参数，支持参数设置与手动控制</w:t>
            </w:r>
          </w:p>
        </w:tc>
      </w:tr>
    </w:tbl>
    <w:p w14:paraId="2F944F71">
      <w:pPr>
        <w:rPr>
          <w:rFonts w:hint="eastAsia" w:ascii="宋体" w:hAnsi="宋体" w:cs="宋体"/>
          <w:sz w:val="24"/>
        </w:rPr>
      </w:pPr>
      <w:r>
        <w:rPr>
          <w:rFonts w:hint="eastAsia" w:ascii="宋体" w:hAnsi="宋体" w:cs="宋体"/>
          <w:sz w:val="24"/>
          <w:lang w:eastAsia="zh-CN"/>
        </w:rPr>
        <w:t>4.1</w:t>
      </w:r>
      <w:r>
        <w:rPr>
          <w:rFonts w:hint="eastAsia" w:ascii="宋体" w:hAnsi="宋体" w:cs="宋体"/>
          <w:sz w:val="24"/>
        </w:rPr>
        <w:t>.2.4实施要求</w:t>
      </w:r>
    </w:p>
    <w:p w14:paraId="67B869C1">
      <w:pPr>
        <w:ind w:left="720" w:hanging="720" w:hangingChars="300"/>
        <w:rPr>
          <w:rFonts w:hint="eastAsia" w:ascii="宋体" w:hAnsi="宋体" w:cs="宋体"/>
          <w:sz w:val="24"/>
        </w:rPr>
      </w:pPr>
      <w:r>
        <w:rPr>
          <w:rFonts w:hint="eastAsia" w:ascii="宋体" w:hAnsi="宋体" w:cs="宋体"/>
          <w:sz w:val="24"/>
        </w:rPr>
        <w:t>（1）提供完整的装置设计方案、原理图、结构图纸、软件源代码及说明文档、样机测试报告等</w:t>
      </w:r>
      <w:r>
        <w:rPr>
          <w:rFonts w:ascii="宋体" w:hAnsi="宋体" w:cs="宋体"/>
          <w:sz w:val="24"/>
        </w:rPr>
        <w:t>。</w:t>
      </w:r>
    </w:p>
    <w:p w14:paraId="28BE0ACC">
      <w:pPr>
        <w:rPr>
          <w:rFonts w:hint="eastAsia" w:ascii="宋体" w:hAnsi="宋体" w:cs="宋体"/>
          <w:sz w:val="24"/>
        </w:rPr>
      </w:pPr>
      <w:r>
        <w:rPr>
          <w:rFonts w:hint="eastAsia" w:ascii="宋体" w:hAnsi="宋体" w:cs="宋体"/>
          <w:sz w:val="24"/>
        </w:rPr>
        <w:t>（2）系统需在合同签订后6个月内完成样机试制与调试。</w:t>
      </w:r>
    </w:p>
    <w:p w14:paraId="1DB10D5A">
      <w:pPr>
        <w:pStyle w:val="4"/>
        <w:ind w:firstLine="0" w:firstLineChars="0"/>
        <w:rPr>
          <w:rFonts w:hint="eastAsia" w:ascii="宋体" w:hAnsi="宋体" w:eastAsia="宋体" w:cs="宋体"/>
          <w:sz w:val="24"/>
          <w:szCs w:val="24"/>
        </w:rPr>
      </w:pPr>
      <w:r>
        <w:rPr>
          <w:rFonts w:hint="eastAsia" w:ascii="宋体" w:hAnsi="宋体" w:eastAsia="宋体" w:cs="宋体"/>
          <w:sz w:val="24"/>
          <w:szCs w:val="24"/>
        </w:rPr>
        <w:t>（3）投标方需提前确认绝缘绳索规格（材质、直径、长度范围、额定张力等）及带电作业现场环境条件（温湿度范围、海拔等），明确硬件选型与结构设计要求</w:t>
      </w:r>
      <w:r>
        <w:rPr>
          <w:rFonts w:ascii="宋体" w:hAnsi="宋体" w:eastAsia="宋体" w:cs="宋体"/>
          <w:sz w:val="24"/>
          <w:szCs w:val="24"/>
        </w:rPr>
        <w:t>。</w:t>
      </w:r>
    </w:p>
    <w:p w14:paraId="2C59F5FC">
      <w:pPr>
        <w:pStyle w:val="8"/>
        <w:rPr>
          <w:rFonts w:hint="eastAsia" w:ascii="宋体" w:hAnsi="宋体" w:cs="宋体"/>
          <w:sz w:val="24"/>
        </w:rPr>
      </w:pPr>
      <w:r>
        <w:rPr>
          <w:rFonts w:hint="eastAsia" w:ascii="宋体" w:hAnsi="宋体" w:cs="宋体"/>
          <w:sz w:val="24"/>
          <w:lang w:eastAsia="zh-CN"/>
        </w:rPr>
        <w:t>4.1</w:t>
      </w:r>
      <w:r>
        <w:rPr>
          <w:rFonts w:hint="eastAsia" w:ascii="宋体" w:hAnsi="宋体" w:cs="宋体"/>
          <w:sz w:val="24"/>
        </w:rPr>
        <w:t>.2.5技术服务要求</w:t>
      </w:r>
    </w:p>
    <w:p w14:paraId="123E988B">
      <w:pPr>
        <w:ind w:firstLine="480" w:firstLineChars="200"/>
        <w:rPr>
          <w:rFonts w:hint="eastAsia" w:ascii="宋体" w:hAnsi="宋体" w:cs="宋体"/>
          <w:sz w:val="24"/>
        </w:rPr>
      </w:pPr>
      <w:r>
        <w:rPr>
          <w:rFonts w:hint="eastAsia" w:ascii="宋体" w:hAnsi="宋体" w:cs="宋体"/>
          <w:sz w:val="24"/>
        </w:rPr>
        <w:t>提供全方位、优质、高效的质量保证体系，以及技术支持和售后服务。投标方应充分考虑技术支持与售后服务，提供详细的售后服务计划，服务内容、服务方式及响应时间。要求如下：</w:t>
      </w:r>
    </w:p>
    <w:p w14:paraId="066ED7BA">
      <w:pPr>
        <w:rPr>
          <w:rFonts w:hint="eastAsia" w:ascii="宋体" w:hAnsi="宋体" w:cs="宋体"/>
          <w:sz w:val="24"/>
        </w:rPr>
      </w:pPr>
      <w:r>
        <w:rPr>
          <w:rFonts w:hint="eastAsia" w:ascii="宋体" w:hAnsi="宋体" w:cs="宋体"/>
          <w:sz w:val="24"/>
        </w:rPr>
        <w:t>（1）验收合格后提供1年免费维护。</w:t>
      </w:r>
    </w:p>
    <w:p w14:paraId="6556BC21">
      <w:pPr>
        <w:rPr>
          <w:rFonts w:hint="eastAsia" w:ascii="宋体" w:hAnsi="宋体" w:cs="宋体"/>
          <w:sz w:val="24"/>
        </w:rPr>
      </w:pPr>
      <w:r>
        <w:rPr>
          <w:rFonts w:hint="eastAsia" w:ascii="宋体" w:hAnsi="宋体" w:cs="宋体"/>
          <w:sz w:val="24"/>
        </w:rPr>
        <w:t>（2）中标方在故障发生2小时响应处置。</w:t>
      </w:r>
    </w:p>
    <w:p w14:paraId="4B7C3BB8">
      <w:pPr>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3</w:t>
      </w:r>
      <w:r>
        <w:rPr>
          <w:rFonts w:hint="eastAsia" w:ascii="宋体" w:hAnsi="宋体" w:cs="宋体"/>
          <w:sz w:val="24"/>
          <w:lang w:eastAsia="zh-CN"/>
        </w:rPr>
        <w:t>）</w:t>
      </w:r>
      <w:r>
        <w:rPr>
          <w:rFonts w:hint="eastAsia" w:ascii="宋体" w:hAnsi="宋体" w:cs="宋体"/>
          <w:sz w:val="24"/>
        </w:rPr>
        <w:t>提供充分的人员培训。</w:t>
      </w:r>
    </w:p>
    <w:p w14:paraId="780BD3BD">
      <w:pPr>
        <w:pStyle w:val="8"/>
        <w:rPr>
          <w:rFonts w:hint="eastAsia" w:ascii="宋体" w:hAnsi="宋体" w:cs="宋体"/>
          <w:sz w:val="24"/>
        </w:rPr>
      </w:pPr>
      <w:r>
        <w:rPr>
          <w:rFonts w:hint="eastAsia" w:ascii="宋体" w:hAnsi="宋体" w:cs="宋体"/>
          <w:sz w:val="24"/>
          <w:lang w:eastAsia="zh-CN"/>
        </w:rPr>
        <w:t>4.1</w:t>
      </w:r>
      <w:r>
        <w:rPr>
          <w:rFonts w:hint="eastAsia" w:ascii="宋体" w:hAnsi="宋体" w:cs="宋体"/>
          <w:sz w:val="24"/>
        </w:rPr>
        <w:t>.2.6系统交付项</w:t>
      </w:r>
    </w:p>
    <w:p w14:paraId="78C6E7F4">
      <w:pPr>
        <w:ind w:firstLine="480" w:firstLineChars="200"/>
        <w:rPr>
          <w:rFonts w:hint="eastAsia" w:ascii="宋体" w:hAnsi="宋体" w:cs="宋体"/>
          <w:sz w:val="24"/>
        </w:rPr>
      </w:pPr>
      <w:r>
        <w:rPr>
          <w:rFonts w:hint="eastAsia" w:ascii="宋体" w:hAnsi="宋体" w:cs="宋体"/>
          <w:sz w:val="24"/>
        </w:rPr>
        <w:t>投标方应在合同规定时间内，向招标方提供相应资料，包括：</w:t>
      </w:r>
    </w:p>
    <w:p w14:paraId="59AD0899">
      <w:pPr>
        <w:rPr>
          <w:rFonts w:hint="eastAsia" w:ascii="宋体" w:hAnsi="宋体" w:cs="宋体"/>
          <w:color w:val="000000"/>
          <w:sz w:val="24"/>
          <w:lang w:val="en-US" w:eastAsia="zh-CN"/>
        </w:rPr>
      </w:pPr>
      <w:r>
        <w:rPr>
          <w:rFonts w:hint="eastAsia" w:ascii="宋体" w:hAnsi="宋体" w:cs="宋体"/>
          <w:color w:val="000000"/>
          <w:sz w:val="24"/>
        </w:rPr>
        <w:t>（</w:t>
      </w:r>
      <w:r>
        <w:rPr>
          <w:rFonts w:hint="eastAsia" w:ascii="宋体" w:hAnsi="宋体" w:cs="宋体"/>
          <w:color w:val="000000"/>
          <w:sz w:val="24"/>
          <w:lang w:val="en-US" w:eastAsia="zh-CN"/>
        </w:rPr>
        <w:t>1</w:t>
      </w:r>
      <w:r>
        <w:rPr>
          <w:rFonts w:hint="eastAsia" w:ascii="宋体" w:hAnsi="宋体" w:cs="宋体"/>
          <w:color w:val="000000"/>
          <w:sz w:val="24"/>
        </w:rPr>
        <w:t>）</w:t>
      </w:r>
      <w:r>
        <w:rPr>
          <w:rFonts w:hint="eastAsia" w:ascii="宋体" w:hAnsi="宋体" w:cs="宋体"/>
          <w:color w:val="000000"/>
          <w:sz w:val="24"/>
          <w:lang w:val="en-US" w:eastAsia="zh-CN"/>
        </w:rPr>
        <w:t>便携式智能绝缘绳索运维保障装置样机1套（含所有硬件模块及配套软件）；</w:t>
      </w:r>
    </w:p>
    <w:p w14:paraId="2C26C12C">
      <w:pPr>
        <w:rPr>
          <w:rFonts w:hint="eastAsia" w:ascii="宋体" w:hAnsi="宋体" w:cs="宋体"/>
          <w:color w:val="000000"/>
          <w:sz w:val="24"/>
          <w:lang w:val="en-US" w:eastAsia="zh-CN"/>
        </w:rPr>
      </w:pPr>
      <w:r>
        <w:rPr>
          <w:rFonts w:hint="eastAsia" w:ascii="宋体" w:hAnsi="宋体" w:cs="宋体"/>
          <w:color w:val="000000"/>
          <w:sz w:val="24"/>
          <w:lang w:val="en-US" w:eastAsia="zh-CN"/>
        </w:rPr>
        <w:t>（2）装置设计图纸、电气原理图、结构装配图等全套技术资料；</w:t>
      </w:r>
    </w:p>
    <w:p w14:paraId="7290FFA1">
      <w:pPr>
        <w:rPr>
          <w:rFonts w:hint="eastAsia" w:ascii="宋体" w:hAnsi="宋体" w:cs="宋体"/>
          <w:color w:val="000000"/>
          <w:sz w:val="24"/>
          <w:lang w:val="en-US" w:eastAsia="zh-CN"/>
        </w:rPr>
      </w:pPr>
      <w:r>
        <w:rPr>
          <w:rFonts w:hint="eastAsia" w:ascii="宋体" w:hAnsi="宋体" w:cs="宋体"/>
          <w:color w:val="000000"/>
          <w:sz w:val="24"/>
          <w:lang w:val="en-US" w:eastAsia="zh-CN"/>
        </w:rPr>
        <w:t>（3）用户操作手册、维护保养手册；</w:t>
      </w:r>
    </w:p>
    <w:p w14:paraId="23A2C7F3">
      <w:pPr>
        <w:rPr>
          <w:rFonts w:hint="eastAsia" w:ascii="宋体" w:hAnsi="宋体" w:cs="宋体"/>
          <w:color w:val="000000"/>
          <w:sz w:val="24"/>
          <w:lang w:val="en-US" w:eastAsia="zh-CN"/>
        </w:rPr>
      </w:pPr>
      <w:r>
        <w:rPr>
          <w:rFonts w:hint="eastAsia" w:ascii="宋体" w:hAnsi="宋体" w:cs="宋体"/>
          <w:color w:val="000000"/>
          <w:sz w:val="24"/>
          <w:lang w:val="en-US" w:eastAsia="zh-CN"/>
        </w:rPr>
        <w:t>（4）项目总结报告。</w:t>
      </w:r>
    </w:p>
    <w:p w14:paraId="5E2FC454">
      <w:pPr>
        <w:rPr>
          <w:rFonts w:hint="eastAsia"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2</w:t>
      </w:r>
      <w:r>
        <w:rPr>
          <w:rFonts w:hint="eastAsia" w:ascii="宋体" w:hAnsi="宋体" w:cs="宋体"/>
          <w:color w:val="000000"/>
          <w:sz w:val="24"/>
        </w:rPr>
        <w:t xml:space="preserve"> 项目组织。投标方需成立项目组，具备良好的专业背景和经验。在与招标方协商的基础上确定，确保人员稳定。更换项目组成员的替代人选及更换时机需经双方协商认可，并保证工作的连续性和工作质量。</w:t>
      </w:r>
    </w:p>
    <w:bookmarkEnd w:id="11"/>
    <w:bookmarkEnd w:id="12"/>
    <w:bookmarkEnd w:id="13"/>
    <w:bookmarkEnd w:id="14"/>
    <w:bookmarkEnd w:id="15"/>
    <w:bookmarkEnd w:id="16"/>
    <w:bookmarkEnd w:id="17"/>
    <w:bookmarkEnd w:id="18"/>
    <w:bookmarkEnd w:id="19"/>
    <w:bookmarkEnd w:id="20"/>
    <w:bookmarkEnd w:id="21"/>
    <w:p w14:paraId="698BA6D3">
      <w:pPr>
        <w:rPr>
          <w:rFonts w:hint="eastAsia" w:ascii="宋体" w:hAnsi="宋体" w:cs="宋体"/>
          <w:sz w:val="24"/>
        </w:rPr>
      </w:pPr>
      <w:bookmarkStart w:id="28"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28"/>
      <w:bookmarkStart w:id="29" w:name="_Toc309805604"/>
      <w:bookmarkStart w:id="30" w:name="_Toc531004269"/>
      <w:bookmarkStart w:id="31" w:name="_Toc312827040"/>
      <w:bookmarkStart w:id="32" w:name="_Toc309593280"/>
      <w:bookmarkStart w:id="33" w:name="_Toc531004215"/>
      <w:bookmarkStart w:id="34" w:name="_Toc441483969"/>
      <w:bookmarkStart w:id="35" w:name="_Toc309593209"/>
      <w:bookmarkStart w:id="36" w:name="_Toc18633"/>
      <w:r>
        <w:rPr>
          <w:rFonts w:hint="eastAsia" w:ascii="宋体" w:hAnsi="宋体" w:cs="宋体"/>
          <w:sz w:val="24"/>
        </w:rPr>
        <w:t>通过项目实施，形成符合超高压输电公司实际需求的装置样机及配套成果。投标方提供的图纸、资料、文件应使用国家法定单位制即国际单位制，语言为中文。资料的组织结构清晰、逻辑性强。资料内容要正确、准确、一致、清晰、完整。</w:t>
      </w:r>
    </w:p>
    <w:p w14:paraId="2D8BE477">
      <w:pPr>
        <w:pStyle w:val="6"/>
        <w:rPr>
          <w:rFonts w:hint="eastAsia"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ascii="Times New Roman" w:hAnsi="Times New Roman"/>
          <w:sz w:val="24"/>
          <w:szCs w:val="24"/>
        </w:rPr>
        <w:t>技术服务其它要求。</w:t>
      </w:r>
      <w:r>
        <w:rPr>
          <w:rFonts w:hint="eastAsia" w:hAnsi="宋体"/>
          <w:sz w:val="24"/>
        </w:rPr>
        <w:t>除上述工作量范围以外，投标方负责组织项目评审会议、中期评审、项目相关协调会或研讨会，并负责会务及会议费用。</w:t>
      </w:r>
    </w:p>
    <w:p w14:paraId="6AC86DB6">
      <w:pPr>
        <w:autoSpaceDN w:val="0"/>
        <w:rPr>
          <w:rFonts w:hint="eastAsia"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14:paraId="2625E012">
      <w:pPr>
        <w:pStyle w:val="6"/>
        <w:rPr>
          <w:rFonts w:hint="eastAsia"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14:paraId="1611DD3F">
      <w:pPr>
        <w:pStyle w:val="6"/>
        <w:ind w:left="465"/>
        <w:rPr>
          <w:rFonts w:hint="eastAsia" w:hAnsi="宋体"/>
          <w:sz w:val="24"/>
        </w:rPr>
      </w:pPr>
      <w:r>
        <w:rPr>
          <w:rFonts w:hint="eastAsia" w:ascii="Times New Roman" w:hAnsi="Times New Roman"/>
          <w:sz w:val="24"/>
        </w:rPr>
        <w:t>（1）沟通项目所需资料的收集</w:t>
      </w:r>
      <w:r>
        <w:rPr>
          <w:rFonts w:hint="eastAsia" w:hAnsi="宋体"/>
          <w:sz w:val="24"/>
        </w:rPr>
        <w:t>。</w:t>
      </w:r>
    </w:p>
    <w:p w14:paraId="46617109">
      <w:pPr>
        <w:pStyle w:val="6"/>
        <w:ind w:firstLine="480" w:firstLineChars="200"/>
        <w:rPr>
          <w:rFonts w:hint="eastAsia" w:hAnsi="宋体"/>
          <w:sz w:val="24"/>
        </w:rPr>
      </w:pPr>
      <w:r>
        <w:rPr>
          <w:rFonts w:hint="eastAsia" w:ascii="Times New Roman" w:hAnsi="Times New Roman"/>
          <w:sz w:val="24"/>
        </w:rPr>
        <w:t>（2）沟通项目进度信息。</w:t>
      </w:r>
    </w:p>
    <w:p w14:paraId="233A341F">
      <w:pPr>
        <w:pStyle w:val="6"/>
        <w:ind w:left="465"/>
        <w:rPr>
          <w:rFonts w:hint="eastAsia" w:hAnsi="宋体"/>
          <w:sz w:val="24"/>
        </w:rPr>
      </w:pPr>
      <w:r>
        <w:rPr>
          <w:rFonts w:hint="eastAsia" w:ascii="Times New Roman" w:hAnsi="Times New Roman"/>
          <w:sz w:val="24"/>
        </w:rPr>
        <w:t>（3）协商解决项目执行过程中遇到的问题。</w:t>
      </w:r>
    </w:p>
    <w:p w14:paraId="0AEE588A">
      <w:pPr>
        <w:pStyle w:val="6"/>
        <w:ind w:firstLine="480" w:firstLineChars="200"/>
        <w:rPr>
          <w:rFonts w:hint="eastAsia"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14:paraId="74C76059">
      <w:pPr>
        <w:pStyle w:val="6"/>
        <w:rPr>
          <w:rFonts w:hint="eastAsia"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14:paraId="1FC83BB5">
      <w:pPr>
        <w:pStyle w:val="6"/>
        <w:ind w:firstLine="240"/>
        <w:rPr>
          <w:rFonts w:hint="eastAsia" w:hAnsi="宋体"/>
          <w:sz w:val="24"/>
        </w:rPr>
      </w:pPr>
      <w:r>
        <w:rPr>
          <w:rFonts w:hAnsi="宋体"/>
          <w:sz w:val="24"/>
        </w:rPr>
        <w:t xml:space="preserve">    </w:t>
      </w:r>
      <w:r>
        <w:rPr>
          <w:rFonts w:hint="eastAsia" w:hAnsi="宋体"/>
          <w:sz w:val="24"/>
        </w:rPr>
        <w:t>招标方</w:t>
      </w:r>
      <w:r>
        <w:rPr>
          <w:rFonts w:hAnsi="宋体"/>
          <w:sz w:val="24"/>
        </w:rPr>
        <w:t>：</w:t>
      </w:r>
    </w:p>
    <w:p w14:paraId="5FA74E84">
      <w:pPr>
        <w:pStyle w:val="6"/>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307C0DE6">
      <w:pPr>
        <w:pStyle w:val="6"/>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222DF245">
      <w:pPr>
        <w:pStyle w:val="6"/>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57B40001">
      <w:pPr>
        <w:pStyle w:val="6"/>
        <w:ind w:firstLine="720" w:firstLineChars="300"/>
        <w:rPr>
          <w:rFonts w:hint="eastAsia"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14:paraId="2F711662">
      <w:pPr>
        <w:pStyle w:val="6"/>
        <w:ind w:firstLine="240"/>
        <w:rPr>
          <w:rFonts w:hint="eastAsia" w:hAnsi="宋体"/>
          <w:sz w:val="24"/>
        </w:rPr>
      </w:pPr>
      <w:r>
        <w:rPr>
          <w:rFonts w:hAnsi="宋体"/>
          <w:sz w:val="24"/>
        </w:rPr>
        <w:t xml:space="preserve">    </w:t>
      </w:r>
      <w:r>
        <w:rPr>
          <w:rFonts w:hint="eastAsia" w:hAnsi="宋体"/>
          <w:sz w:val="24"/>
        </w:rPr>
        <w:t>投标方</w:t>
      </w:r>
      <w:r>
        <w:rPr>
          <w:rFonts w:hAnsi="宋体"/>
          <w:sz w:val="24"/>
        </w:rPr>
        <w:t xml:space="preserve">：  </w:t>
      </w:r>
    </w:p>
    <w:p w14:paraId="20747649">
      <w:pPr>
        <w:pStyle w:val="6"/>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2EEA8957">
      <w:pPr>
        <w:pStyle w:val="6"/>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76A398A2">
      <w:pPr>
        <w:pStyle w:val="6"/>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7D236A5F">
      <w:pPr>
        <w:pStyle w:val="6"/>
        <w:ind w:firstLine="720" w:firstLineChars="300"/>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14:paraId="52B4B187">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5.项目验收</w:t>
      </w:r>
      <w:bookmarkEnd w:id="29"/>
      <w:bookmarkEnd w:id="30"/>
      <w:bookmarkEnd w:id="31"/>
      <w:bookmarkEnd w:id="32"/>
      <w:bookmarkEnd w:id="33"/>
      <w:bookmarkEnd w:id="34"/>
      <w:bookmarkEnd w:id="35"/>
    </w:p>
    <w:p w14:paraId="790B5AFC">
      <w:pPr>
        <w:rPr>
          <w:rFonts w:hint="eastAsia" w:ascii="宋体" w:hAnsi="宋体" w:cs="宋体"/>
          <w:sz w:val="24"/>
        </w:rPr>
      </w:pPr>
      <w:r>
        <w:rPr>
          <w:rFonts w:hint="eastAsia" w:ascii="宋体" w:hAnsi="宋体" w:cs="宋体"/>
          <w:sz w:val="24"/>
        </w:rPr>
        <w:t>5.1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14:paraId="43AE78AC">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6 其他要求</w:t>
      </w:r>
      <w:bookmarkEnd w:id="36"/>
    </w:p>
    <w:p w14:paraId="17583388">
      <w:pPr>
        <w:rPr>
          <w:rFonts w:hint="eastAsia" w:ascii="宋体" w:hAnsi="宋体" w:cs="宋体"/>
          <w:sz w:val="24"/>
        </w:rPr>
      </w:pPr>
      <w:r>
        <w:rPr>
          <w:rFonts w:hint="eastAsia" w:ascii="宋体" w:hAnsi="宋体" w:cs="宋体"/>
          <w:sz w:val="24"/>
        </w:rPr>
        <w:t>6.1 进度控制以投标方向招标方提交的报告为考核依据，按期执行、推进相应工作，保障任务最终完成的时间节点。</w:t>
      </w:r>
    </w:p>
    <w:p w14:paraId="2DBDA21A">
      <w:pPr>
        <w:rPr>
          <w:rFonts w:hint="eastAsia" w:ascii="宋体" w:hAnsi="宋体" w:cs="宋体"/>
          <w:sz w:val="24"/>
        </w:rPr>
      </w:pPr>
      <w:r>
        <w:rPr>
          <w:rFonts w:hint="eastAsia" w:ascii="宋体" w:hAnsi="宋体" w:cs="宋体"/>
          <w:sz w:val="24"/>
        </w:rPr>
        <w:t>6.2 招标方有义务协助投标方开展相关沟通协调工作，但投标方须按照本技术规范书第二部分服务范围及要求的时间节点，完成各项工作。</w:t>
      </w:r>
    </w:p>
    <w:p w14:paraId="5F00940A">
      <w:pPr>
        <w:rPr>
          <w:rFonts w:hint="eastAsia" w:ascii="宋体" w:hAnsi="宋体" w:cs="宋体"/>
          <w:sz w:val="24"/>
        </w:rPr>
      </w:pPr>
      <w:r>
        <w:rPr>
          <w:rFonts w:hint="eastAsia" w:ascii="宋体" w:hAnsi="宋体" w:cs="宋体"/>
          <w:sz w:val="24"/>
        </w:rPr>
        <w:t>6.3 投标方应按照工作计划，明晰组织结构，明确责任人，成立专业团队，加紧开展工作。</w:t>
      </w:r>
    </w:p>
    <w:p w14:paraId="343C203F">
      <w:pPr>
        <w:rPr>
          <w:rFonts w:hint="eastAsia" w:ascii="宋体" w:hAnsi="宋体" w:cs="宋体"/>
          <w:sz w:val="24"/>
        </w:rPr>
      </w:pPr>
      <w:r>
        <w:rPr>
          <w:rFonts w:hint="eastAsia" w:ascii="宋体" w:hAnsi="宋体" w:cs="宋体"/>
          <w:sz w:val="24"/>
        </w:rPr>
        <w:t>6.4 工作过程中出现报告质量与完整性不足的情况，投标方应负责辅导更正。</w:t>
      </w:r>
    </w:p>
    <w:p w14:paraId="01ADD7D9">
      <w:pPr>
        <w:rPr>
          <w:rFonts w:hint="eastAsia" w:ascii="宋体" w:hAnsi="宋体" w:cs="宋体"/>
          <w:sz w:val="24"/>
        </w:rPr>
      </w:pPr>
      <w:r>
        <w:rPr>
          <w:rFonts w:hint="eastAsia" w:ascii="宋体" w:hAnsi="宋体" w:cs="宋体"/>
          <w:sz w:val="24"/>
        </w:rPr>
        <w:t>6.5 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PingFang-SC-Regular">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KSOF7FC4CF2A">
    <w:panose1 w:val="020B0604020202020204"/>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88EB81"/>
    <w:multiLevelType w:val="singleLevel"/>
    <w:tmpl w:val="BE88EB81"/>
    <w:lvl w:ilvl="0" w:tentative="0">
      <w:start w:val="1"/>
      <w:numFmt w:val="chineseCounting"/>
      <w:suff w:val="nothing"/>
      <w:lvlText w:val="%1、"/>
      <w:lvlJc w:val="left"/>
      <w:rPr>
        <w:rFonts w:hint="eastAsia"/>
      </w:rPr>
    </w:lvl>
  </w:abstractNum>
  <w:abstractNum w:abstractNumId="1">
    <w:nsid w:val="CF89C16B"/>
    <w:multiLevelType w:val="singleLevel"/>
    <w:tmpl w:val="CF89C16B"/>
    <w:lvl w:ilvl="0" w:tentative="0">
      <w:start w:val="1"/>
      <w:numFmt w:val="decimal"/>
      <w:suff w:val="nothing"/>
      <w:lvlText w:val="（%1）"/>
      <w:lvlJc w:val="left"/>
    </w:lvl>
  </w:abstractNum>
  <w:abstractNum w:abstractNumId="2">
    <w:nsid w:val="00000010"/>
    <w:multiLevelType w:val="multilevel"/>
    <w:tmpl w:val="00000010"/>
    <w:lvl w:ilvl="0" w:tentative="0">
      <w:start w:val="1"/>
      <w:numFmt w:val="decimal"/>
      <w:pStyle w:val="2"/>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abstractNum w:abstractNumId="3">
    <w:nsid w:val="762FFCCC"/>
    <w:multiLevelType w:val="singleLevel"/>
    <w:tmpl w:val="762FFCCC"/>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B5C76"/>
    <w:rsid w:val="00134895"/>
    <w:rsid w:val="00180D33"/>
    <w:rsid w:val="00291379"/>
    <w:rsid w:val="003A4DD8"/>
    <w:rsid w:val="004A72AF"/>
    <w:rsid w:val="00531528"/>
    <w:rsid w:val="00533971"/>
    <w:rsid w:val="00583545"/>
    <w:rsid w:val="0058678F"/>
    <w:rsid w:val="005C42BD"/>
    <w:rsid w:val="006D6C23"/>
    <w:rsid w:val="006F59F4"/>
    <w:rsid w:val="007318D0"/>
    <w:rsid w:val="00746122"/>
    <w:rsid w:val="007C6002"/>
    <w:rsid w:val="0081520A"/>
    <w:rsid w:val="00825484"/>
    <w:rsid w:val="009648F6"/>
    <w:rsid w:val="00975AE9"/>
    <w:rsid w:val="009D048B"/>
    <w:rsid w:val="00A5073F"/>
    <w:rsid w:val="00A9312B"/>
    <w:rsid w:val="00AA6538"/>
    <w:rsid w:val="00AA7138"/>
    <w:rsid w:val="00AE4439"/>
    <w:rsid w:val="00B5473C"/>
    <w:rsid w:val="00B548A2"/>
    <w:rsid w:val="00C50F57"/>
    <w:rsid w:val="00CA3628"/>
    <w:rsid w:val="00CC1C57"/>
    <w:rsid w:val="00D235DA"/>
    <w:rsid w:val="00D620BA"/>
    <w:rsid w:val="00D70460"/>
    <w:rsid w:val="00DD609C"/>
    <w:rsid w:val="00E4648D"/>
    <w:rsid w:val="00F11A8A"/>
    <w:rsid w:val="00F73F8D"/>
    <w:rsid w:val="00FA086C"/>
    <w:rsid w:val="01543C57"/>
    <w:rsid w:val="040F0075"/>
    <w:rsid w:val="04340829"/>
    <w:rsid w:val="06D27AF8"/>
    <w:rsid w:val="06F2484F"/>
    <w:rsid w:val="088A7F5F"/>
    <w:rsid w:val="08BC2462"/>
    <w:rsid w:val="09CC0FD8"/>
    <w:rsid w:val="0A210078"/>
    <w:rsid w:val="0C030754"/>
    <w:rsid w:val="0CA05D46"/>
    <w:rsid w:val="0F966A31"/>
    <w:rsid w:val="10550F6F"/>
    <w:rsid w:val="12BD66DE"/>
    <w:rsid w:val="13132954"/>
    <w:rsid w:val="149A59CD"/>
    <w:rsid w:val="163A1216"/>
    <w:rsid w:val="166F3EB8"/>
    <w:rsid w:val="191A5617"/>
    <w:rsid w:val="1B7A15F1"/>
    <w:rsid w:val="1F4C5B16"/>
    <w:rsid w:val="1F8A11CF"/>
    <w:rsid w:val="22431066"/>
    <w:rsid w:val="23D05B4F"/>
    <w:rsid w:val="27FA20BD"/>
    <w:rsid w:val="28677108"/>
    <w:rsid w:val="2BC76C50"/>
    <w:rsid w:val="2C4C628B"/>
    <w:rsid w:val="2D112F45"/>
    <w:rsid w:val="2DB575CA"/>
    <w:rsid w:val="2E9A689E"/>
    <w:rsid w:val="2F036DE8"/>
    <w:rsid w:val="2F8649A3"/>
    <w:rsid w:val="30936BC2"/>
    <w:rsid w:val="319B592F"/>
    <w:rsid w:val="31D450F3"/>
    <w:rsid w:val="33F27DDD"/>
    <w:rsid w:val="35577297"/>
    <w:rsid w:val="36515C79"/>
    <w:rsid w:val="373C54BB"/>
    <w:rsid w:val="37643739"/>
    <w:rsid w:val="37AC319E"/>
    <w:rsid w:val="37E33064"/>
    <w:rsid w:val="39A1268B"/>
    <w:rsid w:val="3B4F326E"/>
    <w:rsid w:val="3C0F5DF2"/>
    <w:rsid w:val="3E6B5B61"/>
    <w:rsid w:val="3EF75647"/>
    <w:rsid w:val="40C512FC"/>
    <w:rsid w:val="42817701"/>
    <w:rsid w:val="42C6746E"/>
    <w:rsid w:val="42EE5CD4"/>
    <w:rsid w:val="44E126D9"/>
    <w:rsid w:val="45D97826"/>
    <w:rsid w:val="45F20916"/>
    <w:rsid w:val="46DF0E9A"/>
    <w:rsid w:val="48736764"/>
    <w:rsid w:val="48D82303"/>
    <w:rsid w:val="4D3F13B6"/>
    <w:rsid w:val="4DFF75F2"/>
    <w:rsid w:val="52420D12"/>
    <w:rsid w:val="53A60BE2"/>
    <w:rsid w:val="56061A78"/>
    <w:rsid w:val="5643156F"/>
    <w:rsid w:val="57AF48B9"/>
    <w:rsid w:val="592823C4"/>
    <w:rsid w:val="5981212C"/>
    <w:rsid w:val="5B187842"/>
    <w:rsid w:val="5D615387"/>
    <w:rsid w:val="5FE64BF0"/>
    <w:rsid w:val="61C27952"/>
    <w:rsid w:val="62DB3950"/>
    <w:rsid w:val="637B25C6"/>
    <w:rsid w:val="63D72C4E"/>
    <w:rsid w:val="6470717E"/>
    <w:rsid w:val="66FE4F15"/>
    <w:rsid w:val="68C8466A"/>
    <w:rsid w:val="68F22857"/>
    <w:rsid w:val="69A41DA4"/>
    <w:rsid w:val="69BA736E"/>
    <w:rsid w:val="6A5A6906"/>
    <w:rsid w:val="6BCF0AA5"/>
    <w:rsid w:val="6BEF5D56"/>
    <w:rsid w:val="6E062826"/>
    <w:rsid w:val="6F664872"/>
    <w:rsid w:val="6F942155"/>
    <w:rsid w:val="704439AD"/>
    <w:rsid w:val="710900CC"/>
    <w:rsid w:val="725B0573"/>
    <w:rsid w:val="74366DF1"/>
    <w:rsid w:val="74F35D39"/>
    <w:rsid w:val="75083064"/>
    <w:rsid w:val="75110011"/>
    <w:rsid w:val="79694470"/>
    <w:rsid w:val="7D5140B3"/>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3">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99"/>
    <w:pPr>
      <w:ind w:firstLine="880" w:firstLineChars="200"/>
    </w:pPr>
    <w:rPr>
      <w:rFonts w:ascii="仿宋_GB2312" w:hAnsi="仿宋_GB2312" w:eastAsia="仿宋_GB2312" w:cs="Arial"/>
      <w:sz w:val="32"/>
      <w:szCs w:val="20"/>
    </w:rPr>
  </w:style>
  <w:style w:type="paragraph" w:styleId="5">
    <w:name w:val="Body Text Indent"/>
    <w:basedOn w:val="1"/>
    <w:unhideWhenUsed/>
    <w:qFormat/>
    <w:uiPriority w:val="99"/>
    <w:pPr>
      <w:spacing w:after="120"/>
      <w:ind w:left="420" w:leftChars="200"/>
    </w:pPr>
  </w:style>
  <w:style w:type="paragraph" w:styleId="6">
    <w:name w:val="Plain Text"/>
    <w:basedOn w:val="1"/>
    <w:qFormat/>
    <w:uiPriority w:val="0"/>
    <w:rPr>
      <w:rFonts w:ascii="宋体" w:hAnsi="Courier New"/>
      <w:szCs w:val="21"/>
    </w:rPr>
  </w:style>
  <w:style w:type="paragraph" w:styleId="7">
    <w:name w:val="footer"/>
    <w:basedOn w:val="1"/>
    <w:qFormat/>
    <w:uiPriority w:val="99"/>
    <w:pPr>
      <w:tabs>
        <w:tab w:val="center" w:pos="4153"/>
        <w:tab w:val="right" w:pos="8306"/>
      </w:tabs>
      <w:snapToGrid w:val="0"/>
    </w:pPr>
    <w:rPr>
      <w:sz w:val="18"/>
      <w:szCs w:val="18"/>
    </w:rPr>
  </w:style>
  <w:style w:type="paragraph" w:styleId="8">
    <w:name w:val="toc 2"/>
    <w:basedOn w:val="1"/>
    <w:next w:val="1"/>
    <w:unhideWhenUsed/>
    <w:qFormat/>
    <w:uiPriority w:val="39"/>
    <w:pPr>
      <w:widowControl/>
      <w:spacing w:after="100" w:line="259" w:lineRule="auto"/>
      <w:ind w:left="220"/>
    </w:pPr>
    <w:rPr>
      <w:kern w:val="0"/>
      <w:sz w:val="22"/>
    </w:rPr>
  </w:style>
  <w:style w:type="paragraph" w:styleId="9">
    <w:name w:val="Normal (Web)"/>
    <w:basedOn w:val="1"/>
    <w:qFormat/>
    <w:uiPriority w:val="0"/>
    <w:pPr>
      <w:spacing w:beforeAutospacing="1" w:afterAutospacing="1"/>
    </w:pPr>
    <w:rPr>
      <w:kern w:val="0"/>
      <w:sz w:val="24"/>
    </w:rPr>
  </w:style>
  <w:style w:type="paragraph" w:styleId="10">
    <w:name w:val="Title"/>
    <w:basedOn w:val="1"/>
    <w:next w:val="1"/>
    <w:qFormat/>
    <w:uiPriority w:val="99"/>
    <w:pPr>
      <w:spacing w:before="240" w:after="60"/>
      <w:jc w:val="center"/>
      <w:outlineLvl w:val="0"/>
    </w:pPr>
    <w:rPr>
      <w:rFonts w:ascii="Arial" w:hAnsi="Arial"/>
      <w:b/>
      <w:bCs/>
      <w:sz w:val="32"/>
      <w:szCs w:val="32"/>
    </w:rPr>
  </w:style>
  <w:style w:type="paragraph" w:styleId="11">
    <w:name w:val="Body Text First Indent 2"/>
    <w:basedOn w:val="5"/>
    <w:unhideWhenUsed/>
    <w:qFormat/>
    <w:uiPriority w:val="99"/>
    <w:pPr>
      <w:ind w:firstLine="42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5217</Words>
  <Characters>5538</Characters>
  <Lines>32</Lines>
  <Paragraphs>9</Paragraphs>
  <TotalTime>0</TotalTime>
  <ScaleCrop>false</ScaleCrop>
  <LinksUpToDate>false</LinksUpToDate>
  <CharactersWithSpaces>5600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WPS_1746614869</cp:lastModifiedBy>
  <dcterms:modified xsi:type="dcterms:W3CDTF">2026-07-19T14:26:19Z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7295A18B1DE740ECBB269B9E11B42AF1_13</vt:lpwstr>
  </property>
  <property fmtid="{D5CDD505-2E9C-101B-9397-08002B2CF9AE}" pid="4" name="KSOTemplateDocerSaveRecord">
    <vt:lpwstr>eyJoZGlkIjoiY2VkNDc0ZDU1OTdlMjQ0YzE2NThiYWIwMTQyNTVkMGUiLCJ1c2VySWQiOiIxNzAwMTk0MjQ1In0=</vt:lpwstr>
  </property>
</Properties>
</file>