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5A5BA">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14:paraId="0963956F">
      <w:pPr>
        <w:adjustRightInd w:val="0"/>
        <w:snapToGrid w:val="0"/>
        <w:rPr>
          <w:sz w:val="28"/>
          <w:szCs w:val="36"/>
        </w:rPr>
      </w:pPr>
    </w:p>
    <w:p w14:paraId="4C687407">
      <w:pPr>
        <w:adjustRightInd w:val="0"/>
        <w:snapToGrid w:val="0"/>
        <w:rPr>
          <w:sz w:val="28"/>
          <w:szCs w:val="36"/>
        </w:rPr>
      </w:pPr>
    </w:p>
    <w:p w14:paraId="5E380CEE">
      <w:pPr>
        <w:adjustRightInd w:val="0"/>
        <w:snapToGrid w:val="0"/>
        <w:rPr>
          <w:sz w:val="28"/>
          <w:szCs w:val="36"/>
        </w:rPr>
      </w:pPr>
    </w:p>
    <w:p w14:paraId="2754DEE1">
      <w:pPr>
        <w:adjustRightInd w:val="0"/>
        <w:snapToGrid w:val="0"/>
        <w:rPr>
          <w:sz w:val="28"/>
          <w:szCs w:val="36"/>
        </w:rPr>
      </w:pPr>
    </w:p>
    <w:p w14:paraId="7DF71E19">
      <w:pPr>
        <w:adjustRightInd w:val="0"/>
        <w:snapToGrid w:val="0"/>
        <w:rPr>
          <w:sz w:val="28"/>
          <w:szCs w:val="36"/>
        </w:rPr>
      </w:pPr>
    </w:p>
    <w:p w14:paraId="0C4AA669">
      <w:pPr>
        <w:adjustRightInd w:val="0"/>
        <w:snapToGrid w:val="0"/>
        <w:rPr>
          <w:sz w:val="28"/>
          <w:szCs w:val="36"/>
        </w:rPr>
      </w:pPr>
    </w:p>
    <w:p w14:paraId="26DED167">
      <w:pPr>
        <w:adjustRightInd w:val="0"/>
        <w:snapToGrid w:val="0"/>
        <w:rPr>
          <w:sz w:val="28"/>
          <w:szCs w:val="36"/>
        </w:rPr>
      </w:pPr>
    </w:p>
    <w:p w14:paraId="19F404DA">
      <w:pPr>
        <w:adjustRightInd w:val="0"/>
        <w:snapToGrid w:val="0"/>
        <w:jc w:val="center"/>
        <w:rPr>
          <w:rFonts w:eastAsia="黑体"/>
          <w:b/>
          <w:sz w:val="52"/>
        </w:rPr>
      </w:pPr>
      <w:r>
        <w:rPr>
          <w:rFonts w:hint="eastAsia" w:eastAsia="黑体"/>
          <w:b/>
          <w:sz w:val="52"/>
          <w:lang w:val="en-US" w:eastAsia="zh-CN"/>
        </w:rPr>
        <w:t>重载无人机吊载应急脱离装置研究</w:t>
      </w:r>
      <w:r>
        <w:rPr>
          <w:rFonts w:eastAsia="黑体"/>
          <w:b/>
          <w:sz w:val="52"/>
        </w:rPr>
        <w:t>技术规范书</w:t>
      </w:r>
    </w:p>
    <w:p w14:paraId="416ADD3C">
      <w:pPr>
        <w:adjustRightInd w:val="0"/>
        <w:snapToGrid w:val="0"/>
        <w:rPr>
          <w:sz w:val="28"/>
          <w:szCs w:val="36"/>
        </w:rPr>
      </w:pPr>
    </w:p>
    <w:p w14:paraId="3BB62FEC">
      <w:pPr>
        <w:adjustRightInd w:val="0"/>
        <w:snapToGrid w:val="0"/>
        <w:rPr>
          <w:sz w:val="28"/>
          <w:szCs w:val="36"/>
        </w:rPr>
      </w:pPr>
    </w:p>
    <w:p w14:paraId="57594481">
      <w:pPr>
        <w:adjustRightInd w:val="0"/>
        <w:snapToGrid w:val="0"/>
        <w:rPr>
          <w:sz w:val="28"/>
          <w:szCs w:val="36"/>
        </w:rPr>
      </w:pPr>
    </w:p>
    <w:p w14:paraId="16A5E58D">
      <w:pPr>
        <w:adjustRightInd w:val="0"/>
        <w:snapToGrid w:val="0"/>
        <w:rPr>
          <w:sz w:val="28"/>
          <w:szCs w:val="36"/>
        </w:rPr>
      </w:pPr>
    </w:p>
    <w:p w14:paraId="75642025">
      <w:pPr>
        <w:adjustRightInd w:val="0"/>
        <w:snapToGrid w:val="0"/>
        <w:rPr>
          <w:sz w:val="28"/>
          <w:szCs w:val="36"/>
        </w:rPr>
      </w:pPr>
    </w:p>
    <w:p w14:paraId="1D32280D">
      <w:pPr>
        <w:adjustRightInd w:val="0"/>
        <w:snapToGrid w:val="0"/>
        <w:rPr>
          <w:sz w:val="28"/>
          <w:szCs w:val="36"/>
        </w:rPr>
      </w:pPr>
    </w:p>
    <w:p w14:paraId="283730E6">
      <w:pPr>
        <w:adjustRightInd w:val="0"/>
        <w:snapToGrid w:val="0"/>
        <w:rPr>
          <w:sz w:val="28"/>
          <w:szCs w:val="36"/>
        </w:rPr>
      </w:pPr>
    </w:p>
    <w:p w14:paraId="685BA78B">
      <w:pPr>
        <w:adjustRightInd w:val="0"/>
        <w:snapToGrid w:val="0"/>
        <w:rPr>
          <w:sz w:val="28"/>
          <w:szCs w:val="36"/>
        </w:rPr>
      </w:pPr>
    </w:p>
    <w:p w14:paraId="1F375DFC">
      <w:pPr>
        <w:adjustRightInd w:val="0"/>
        <w:snapToGrid w:val="0"/>
        <w:rPr>
          <w:sz w:val="28"/>
          <w:szCs w:val="36"/>
        </w:rPr>
      </w:pPr>
    </w:p>
    <w:p w14:paraId="2A1D41E6">
      <w:pPr>
        <w:adjustRightInd w:val="0"/>
        <w:snapToGrid w:val="0"/>
        <w:rPr>
          <w:sz w:val="28"/>
          <w:szCs w:val="36"/>
        </w:rPr>
      </w:pPr>
    </w:p>
    <w:p w14:paraId="3F75D49E">
      <w:pPr>
        <w:adjustRightInd w:val="0"/>
        <w:snapToGrid w:val="0"/>
        <w:rPr>
          <w:sz w:val="28"/>
          <w:szCs w:val="36"/>
        </w:rPr>
      </w:pPr>
    </w:p>
    <w:p w14:paraId="266A96DA">
      <w:pPr>
        <w:adjustRightInd w:val="0"/>
        <w:snapToGrid w:val="0"/>
        <w:jc w:val="center"/>
        <w:rPr>
          <w:rFonts w:hint="eastAsia" w:ascii="黑体" w:hAnsi="黑体" w:eastAsia="黑体" w:cs="黑体"/>
          <w:sz w:val="32"/>
          <w:szCs w:val="32"/>
        </w:rPr>
      </w:pPr>
      <w:r>
        <w:rPr>
          <w:rFonts w:hint="eastAsia" w:ascii="黑体" w:hAnsi="黑体" w:eastAsia="黑体" w:cs="黑体"/>
          <w:sz w:val="32"/>
          <w:szCs w:val="32"/>
        </w:rPr>
        <w:t>中国南方电网超高压输电公司南宁局</w:t>
      </w:r>
    </w:p>
    <w:p w14:paraId="622A00C9">
      <w:pPr>
        <w:adjustRightInd w:val="0"/>
        <w:snapToGrid w:val="0"/>
        <w:jc w:val="center"/>
        <w:rPr>
          <w:rFonts w:hint="eastAsia" w:ascii="黑体" w:hAnsi="黑体" w:eastAsia="黑体" w:cs="黑体"/>
          <w:sz w:val="32"/>
          <w:szCs w:val="32"/>
        </w:rPr>
      </w:pPr>
      <w:r>
        <w:rPr>
          <w:rFonts w:hint="eastAsia" w:ascii="黑体" w:hAnsi="黑体" w:eastAsia="黑体" w:cs="黑体"/>
          <w:sz w:val="32"/>
          <w:szCs w:val="32"/>
        </w:rPr>
        <w:t>2026年</w:t>
      </w:r>
      <w:r>
        <w:rPr>
          <w:rFonts w:hint="eastAsia" w:ascii="黑体" w:hAnsi="黑体" w:eastAsia="黑体" w:cs="黑体"/>
          <w:sz w:val="32"/>
          <w:szCs w:val="32"/>
          <w:lang w:val="en-US" w:eastAsia="zh-CN"/>
        </w:rPr>
        <w:t>7</w:t>
      </w:r>
      <w:r>
        <w:rPr>
          <w:rFonts w:hint="eastAsia" w:ascii="黑体" w:hAnsi="黑体" w:eastAsia="黑体" w:cs="黑体"/>
          <w:sz w:val="32"/>
          <w:szCs w:val="32"/>
        </w:rPr>
        <w:t>月</w:t>
      </w:r>
    </w:p>
    <w:p w14:paraId="006D05D3">
      <w:pPr>
        <w:adjustRightInd w:val="0"/>
        <w:snapToGrid w:val="0"/>
        <w:jc w:val="center"/>
        <w:rPr>
          <w:rFonts w:hint="eastAsia"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14:paraId="71852B38">
      <w:pPr>
        <w:snapToGrid w:val="0"/>
        <w:spacing w:before="120"/>
        <w:rPr>
          <w:rFonts w:hint="eastAsia" w:ascii="黑体" w:hAnsi="黑体" w:eastAsia="黑体" w:cs="黑体"/>
          <w:b/>
          <w:bCs/>
          <w:sz w:val="28"/>
          <w:szCs w:val="28"/>
        </w:rPr>
      </w:pPr>
      <w:r>
        <w:rPr>
          <w:rFonts w:hint="eastAsia" w:ascii="黑体" w:hAnsi="黑体" w:eastAsia="黑体" w:cs="黑体"/>
          <w:b/>
          <w:bCs/>
          <w:sz w:val="28"/>
          <w:szCs w:val="36"/>
        </w:rPr>
        <w:t>1 总则</w:t>
      </w:r>
    </w:p>
    <w:p w14:paraId="1CD7ECB2">
      <w:pPr>
        <w:pStyle w:val="9"/>
        <w:numPr>
          <w:ilvl w:val="255"/>
          <w:numId w:val="0"/>
        </w:numPr>
        <w:shd w:val="clear" w:color="auto" w:fill="FDFDFE"/>
        <w:spacing w:before="0" w:beforeAutospacing="0" w:after="0" w:afterAutospacing="0"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w:t>
      </w:r>
      <w:r>
        <w:rPr>
          <w:rFonts w:hint="eastAsia" w:asciiTheme="minorEastAsia" w:hAnsiTheme="minorEastAsia" w:eastAsiaTheme="minorEastAsia" w:cstheme="minorEastAsia"/>
          <w:kern w:val="2"/>
          <w:sz w:val="24"/>
          <w:szCs w:val="24"/>
          <w:lang w:val="en-US" w:eastAsia="zh-CN" w:bidi="ar-SA"/>
        </w:rPr>
        <w:t>本技术规范书适用于《重载无人机吊载应急脱离装置研究》职工技术创新项目，提出了通过研制一款高可靠、快响应的重载无人机吊载应急脱离装置，实现无人机吊载物在发生缠绕、卡滞等紧急情况时的远程遥控主动分离，解决超特高压输电线路复杂环境下无人机吊载作业因吊运绳或悬挂物与导地线、角钢、树枝等障碍物缠绕卡滞导致无人机姿态失控、动力过载甚至坠毁的安全隐患问题，最终提升输电线路高空、复杂环境下无人机吊运作业的安全性与可靠性。投标方应针对自身特点，根据本技术规范书所描述的具体要求，提供完整的解决方案。</w:t>
      </w:r>
    </w:p>
    <w:p w14:paraId="22A03684">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投标方应保证提供符合本技术规范书和相关国际、国内标准的优质研发服务。对国家有关安全、环保等强制性标准，必须满足其要求。如果规范书所使用的标准与投标方所执行的标准不一致时，按较高标准执行。</w:t>
      </w:r>
    </w:p>
    <w:p w14:paraId="7758353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任何与本技术规范书或标准的偏差只有在得到招标方的书面批准后方能认可。</w:t>
      </w:r>
    </w:p>
    <w:p w14:paraId="0DFED2A8">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在合同签订之后，招标方有权提出因规范标准和规程变化而产生的一些补充要求，具体项目及内容由双方共同商定。</w:t>
      </w:r>
    </w:p>
    <w:p w14:paraId="03E42FC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 投标人编制应标文件时，可以提出不同的建议方案，但建议方案必须满足但不限于本技术规范书所阐述的全部要求，应标文件要求文字详细、数据准确、表述及图示清晰明确，具有针对性。</w:t>
      </w:r>
    </w:p>
    <w:p w14:paraId="6408C5D8">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 本技术规范书仅提出基本的技术需求，不保证对一切技术细节做出规定，也不保证已充分引述有关标准和技术条文，投标方须根据需求目标提供进一步具体的可满足要求的服务内容。</w:t>
      </w:r>
    </w:p>
    <w:p w14:paraId="3F9ADB4A">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 投标方在应标文件中应如实反映与本技术规范书的技术差异。如果投标方没有提出技术差异，招标方即认为投标方所提供的服务完全满足本技术规范书的要求，在执行合同的过程中，招标方发现投标方提供的服务与其应标技术规范书的条文存在差异，招标方有权利要求中止合同。</w:t>
      </w:r>
    </w:p>
    <w:p w14:paraId="32DB8E55">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 投标方应充分理解本技术规范书并按本技术规范书的具体条款、格式要求填写应标的技术文件，如发现应标的技术文件条款、格式不符合本技术规范书的要求，则认为应标不严肃，在评标时将有不同程度的扣分。</w:t>
      </w:r>
    </w:p>
    <w:p w14:paraId="2BF034A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 本技术规范书未尽事宜，由招标方与投标方双方协商确定。</w:t>
      </w:r>
    </w:p>
    <w:p w14:paraId="0CA6F218">
      <w:pPr>
        <w:rPr>
          <w:rFonts w:hint="eastAsia" w:asciiTheme="minorEastAsia" w:hAnsiTheme="minorEastAsia" w:eastAsiaTheme="minorEastAsia" w:cstheme="minorEastAsia"/>
          <w:sz w:val="24"/>
        </w:rPr>
      </w:pPr>
    </w:p>
    <w:p w14:paraId="392112CF">
      <w:pPr>
        <w:snapToGrid w:val="0"/>
        <w:spacing w:before="120"/>
        <w:rPr>
          <w:rFonts w:hint="eastAsia" w:ascii="黑体" w:hAnsi="黑体" w:eastAsia="黑体" w:cs="黑体"/>
          <w:b/>
          <w:bCs/>
          <w:sz w:val="28"/>
          <w:szCs w:val="36"/>
        </w:rPr>
      </w:pPr>
      <w:bookmarkStart w:id="0" w:name="_Toc26376"/>
      <w:bookmarkStart w:id="1" w:name="_Toc241911995"/>
      <w:bookmarkStart w:id="2" w:name="_Toc155114607"/>
      <w:r>
        <w:rPr>
          <w:rFonts w:hint="eastAsia" w:ascii="黑体" w:hAnsi="黑体" w:eastAsia="黑体" w:cs="黑体"/>
          <w:b/>
          <w:bCs/>
          <w:sz w:val="28"/>
          <w:szCs w:val="36"/>
        </w:rPr>
        <w:t xml:space="preserve">2 </w:t>
      </w:r>
      <w:bookmarkEnd w:id="0"/>
      <w:bookmarkStart w:id="3" w:name="_Toc531004264"/>
      <w:bookmarkStart w:id="4" w:name="_Toc441483964"/>
      <w:bookmarkStart w:id="5" w:name="_Toc531004210"/>
      <w:r>
        <w:rPr>
          <w:rFonts w:hint="eastAsia" w:ascii="黑体" w:hAnsi="黑体" w:eastAsia="黑体" w:cs="黑体"/>
          <w:b/>
          <w:bCs/>
          <w:sz w:val="28"/>
          <w:szCs w:val="36"/>
        </w:rPr>
        <w:t>项目有关内容</w:t>
      </w:r>
      <w:bookmarkEnd w:id="3"/>
      <w:bookmarkEnd w:id="4"/>
      <w:bookmarkEnd w:id="5"/>
    </w:p>
    <w:p w14:paraId="44DB59C1">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2.1项目背景</w:t>
      </w:r>
    </w:p>
    <w:bookmarkEnd w:id="1"/>
    <w:bookmarkEnd w:id="2"/>
    <w:p w14:paraId="40BF2090">
      <w:pPr>
        <w:adjustRightInd w:val="0"/>
        <w:snapToGrid w:val="0"/>
        <w:rPr>
          <w:rFonts w:hint="eastAsia" w:asciiTheme="minorEastAsia" w:hAnsiTheme="minorEastAsia" w:eastAsiaTheme="minorEastAsia" w:cstheme="minorEastAsia"/>
          <w:sz w:val="24"/>
        </w:rPr>
      </w:pPr>
      <w:bookmarkStart w:id="6" w:name="_Toc384340980"/>
      <w:bookmarkStart w:id="7" w:name="_Toc22304900"/>
      <w:bookmarkStart w:id="8" w:name="_Toc20556"/>
      <w:bookmarkStart w:id="9" w:name="_Toc39753999"/>
      <w:bookmarkStart w:id="10" w:name="_Toc39753342"/>
      <w:r>
        <w:rPr>
          <w:rFonts w:hint="eastAsia" w:asciiTheme="minorEastAsia" w:hAnsiTheme="minorEastAsia" w:eastAsiaTheme="minorEastAsia" w:cstheme="minorEastAsia"/>
          <w:sz w:val="24"/>
        </w:rPr>
        <w:t>在输电线路运维、设备安装及应急抢修等作业中，无人机凭借其灵活、高效的特点，被越来越多地应用于物资吊运、辅助安装等场景。然而，在林木茂密、线路交错、环境复杂的超特高压线路通道中作业时，吊运绳或悬挂物极易与导地线、角钢、树枝等障碍物发生缠绕或卡滞，重载无人机吊载作业正面临三大日益严峻的现实痛点，亟需通过技术手段实现根本性变革。</w:t>
      </w:r>
    </w:p>
    <w:p w14:paraId="4708F3AC">
      <w:pPr>
        <w:numPr>
          <w:ilvl w:val="0"/>
          <w:numId w:val="0"/>
        </w:numPr>
        <w:adjustRightInd w:val="0"/>
        <w:snapToGrid w:val="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一、</w:t>
      </w:r>
      <w:r>
        <w:rPr>
          <w:rFonts w:hint="default" w:asciiTheme="minorEastAsia" w:hAnsiTheme="minorEastAsia" w:eastAsiaTheme="minorEastAsia" w:cstheme="minorEastAsia"/>
          <w:kern w:val="2"/>
          <w:sz w:val="24"/>
          <w:szCs w:val="24"/>
          <w:lang w:val="en-US" w:eastAsia="zh-CN" w:bidi="ar-SA"/>
        </w:rPr>
        <w:t>缠绕卡滞导致无人机坠毁风险突出，设备资产损失严重</w:t>
      </w:r>
      <w:r>
        <w:rPr>
          <w:rFonts w:hint="default" w:asciiTheme="minorEastAsia" w:hAnsiTheme="minorEastAsia" w:eastAsiaTheme="minorEastAsia" w:cstheme="minorEastAsia"/>
          <w:kern w:val="2"/>
          <w:sz w:val="24"/>
          <w:szCs w:val="24"/>
          <w:lang w:val="en-US" w:eastAsia="zh-CN" w:bidi="ar-SA"/>
        </w:rPr>
        <w:br w:type="textWrapping"/>
      </w:r>
      <w:r>
        <w:rPr>
          <w:rFonts w:hint="default" w:asciiTheme="minorEastAsia" w:hAnsiTheme="minorEastAsia" w:eastAsiaTheme="minorEastAsia" w:cstheme="minorEastAsia"/>
          <w:kern w:val="2"/>
          <w:sz w:val="24"/>
          <w:szCs w:val="24"/>
          <w:lang w:val="en-US" w:eastAsia="zh-CN" w:bidi="ar-SA"/>
        </w:rPr>
        <w:t>一旦发生吊载物缠绕或卡滞险情，无人机将受异常拉力牵制，轻则无法脱困、任务失败，重则导致飞行姿态失控、动力系统过载，最终引发无人机坠毁事故。目前主流重载无人机（如M300、FC30、FC100等）单机价值数十万至上百万元，坠毁不仅造成高昂的设备资产损失，还可能危及下方设备与人员安全，并对输电线路的稳定运行构成威胁</w:t>
      </w:r>
      <w:r>
        <w:rPr>
          <w:rFonts w:hint="eastAsia" w:asciiTheme="minorEastAsia" w:hAnsiTheme="minorEastAsia" w:eastAsiaTheme="minorEastAsia" w:cstheme="minorEastAsia"/>
          <w:kern w:val="2"/>
          <w:sz w:val="24"/>
          <w:szCs w:val="24"/>
          <w:lang w:val="en-US" w:eastAsia="zh-CN" w:bidi="ar-SA"/>
        </w:rPr>
        <w:t>。</w:t>
      </w:r>
      <w:r>
        <w:rPr>
          <w:rFonts w:hint="default"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二、现有吊运装置普遍缺乏主动应急脱离机制，安全防护手段缺失</w:t>
      </w:r>
    </w:p>
    <w:p w14:paraId="2EFD5007">
      <w:pPr>
        <w:numPr>
          <w:ilvl w:val="0"/>
          <w:numId w:val="0"/>
        </w:numPr>
        <w:adjustRightInd w:val="0"/>
        <w:snapToGrid w:val="0"/>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市面常见的无人机吊运装置功能单一，主要聚焦于吊载运输本身，普遍缺乏主动、可靠的应急安全脱离机制。当吊载物发生缠绕卡滞时，现场作业人员缺乏有效的应急处置手段，只能被动等待无人机动力耗尽或强行拉扯脱困，往往导致次生事故发生。这一功能缺失已成为高风险作业场景下的突出安全隐患。</w:t>
      </w:r>
    </w:p>
    <w:p w14:paraId="6DF97C06">
      <w:pPr>
        <w:pStyle w:val="9"/>
        <w:keepNext w:val="0"/>
        <w:keepLines w:val="0"/>
        <w:widowControl/>
        <w:suppressLineNumbers w:val="0"/>
        <w:shd w:val="clear" w:fill="FFFFFF"/>
        <w:spacing w:before="120" w:beforeAutospacing="0" w:after="120" w:afterAutospacing="0"/>
        <w:ind w:left="0" w:right="0" w:firstLine="0"/>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三、多机型适配性差，制约应急脱离装置的推广应用</w:t>
      </w:r>
      <w:r>
        <w:rPr>
          <w:rFonts w:hint="default" w:asciiTheme="minorEastAsia" w:hAnsiTheme="minorEastAsia" w:eastAsiaTheme="minorEastAsia" w:cstheme="minorEastAsia"/>
          <w:kern w:val="2"/>
          <w:sz w:val="24"/>
          <w:szCs w:val="24"/>
          <w:lang w:val="en-US" w:eastAsia="zh-CN" w:bidi="ar-SA"/>
        </w:rPr>
        <w:br w:type="textWrapping"/>
      </w:r>
      <w:r>
        <w:rPr>
          <w:rFonts w:hint="default" w:asciiTheme="minorEastAsia" w:hAnsiTheme="minorEastAsia" w:eastAsiaTheme="minorEastAsia" w:cstheme="minorEastAsia"/>
          <w:kern w:val="2"/>
          <w:sz w:val="24"/>
          <w:szCs w:val="24"/>
          <w:lang w:val="en-US" w:eastAsia="zh-CN" w:bidi="ar-SA"/>
        </w:rPr>
        <w:t>不同厂家、不同型号的无人机在结构布局、挂载接口、电气接口等方面存在显著差异。现有少数具备应急脱离功能的装置多为针对特定机型的定制化方案，缺乏通用性和模块化设计，难以在不同机型间快速切换使用，制约了应急脱离装置在电力行业的规模化推广应用。</w:t>
      </w:r>
    </w:p>
    <w:p w14:paraId="66606E59">
      <w:pPr>
        <w:pStyle w:val="9"/>
        <w:keepNext w:val="0"/>
        <w:keepLines w:val="0"/>
        <w:widowControl/>
        <w:suppressLineNumbers w:val="0"/>
        <w:shd w:val="clear" w:fill="FFFFFF"/>
        <w:spacing w:before="120" w:beforeAutospacing="0" w:after="120" w:afterAutospacing="0"/>
        <w:ind w:left="0" w:right="0" w:firstLine="0"/>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为解决上述问题，本项目提出研制一款高可靠、快响应的重载无人机吊载应急脱离装置，具备多机型快速适配、远程遥控应急脱离、状态实时反馈等功能，实现无人机吊载作业应急安全保障能力的全面提升，从源头降低复杂环境下无人机吊载作业的安全风险。</w:t>
      </w:r>
    </w:p>
    <w:p w14:paraId="6CCC7696">
      <w:pPr>
        <w:snapToGrid w:val="0"/>
        <w:spacing w:before="120"/>
        <w:rPr>
          <w:rFonts w:hint="eastAsia" w:asciiTheme="minorEastAsia" w:hAnsiTheme="minorEastAsia" w:eastAsiaTheme="minorEastAsia" w:cstheme="minorEastAsia"/>
          <w:sz w:val="24"/>
        </w:rPr>
      </w:pPr>
      <w:r>
        <w:rPr>
          <w:rFonts w:hint="eastAsia" w:ascii="黑体" w:hAnsi="黑体" w:eastAsia="黑体" w:cs="黑体"/>
          <w:b/>
          <w:bCs/>
          <w:sz w:val="28"/>
          <w:szCs w:val="36"/>
        </w:rPr>
        <w:t>3 应遵循的主要标准</w:t>
      </w:r>
      <w:bookmarkEnd w:id="6"/>
      <w:bookmarkEnd w:id="7"/>
      <w:bookmarkEnd w:id="8"/>
      <w:bookmarkEnd w:id="9"/>
      <w:bookmarkEnd w:id="10"/>
    </w:p>
    <w:p w14:paraId="7AEE3A59">
      <w:pPr>
        <w:adjustRightInd w:val="0"/>
        <w:snapToGrid w:val="0"/>
        <w:rPr>
          <w:rFonts w:hint="eastAsia" w:asciiTheme="minorEastAsia" w:hAnsiTheme="minorEastAsia" w:eastAsiaTheme="minorEastAsia" w:cstheme="minorEastAsia"/>
          <w:sz w:val="24"/>
        </w:rPr>
      </w:pPr>
      <w:bookmarkStart w:id="11" w:name="_Toc457986926"/>
      <w:bookmarkStart w:id="12" w:name="_Toc448828694"/>
      <w:bookmarkStart w:id="13" w:name="_Toc146182538"/>
      <w:bookmarkStart w:id="14" w:name="_Toc114253693"/>
      <w:bookmarkStart w:id="15" w:name="_Toc241912000"/>
      <w:bookmarkStart w:id="16" w:name="_Toc455543289"/>
      <w:bookmarkStart w:id="17" w:name="_Toc455373921"/>
      <w:bookmarkStart w:id="18" w:name="_Toc155114612"/>
      <w:bookmarkStart w:id="19" w:name="_Toc482581219"/>
      <w:bookmarkStart w:id="20" w:name="_Toc457979127"/>
      <w:bookmarkStart w:id="21" w:name="_Toc459534976"/>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14:paraId="204161CB">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14:paraId="4C455DA2">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38058《民用多旋翼无人机系统试验方法》</w:t>
      </w:r>
    </w:p>
    <w:p w14:paraId="46600E7A">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42061《无人机系统通用要求》</w:t>
      </w:r>
    </w:p>
    <w:p w14:paraId="70842C5F">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42062《无人机系统安全要求》</w:t>
      </w:r>
    </w:p>
    <w:p w14:paraId="25C19303">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42063《民用无人机系统型号命名及编码》</w:t>
      </w:r>
    </w:p>
    <w:p w14:paraId="07B5B0D7">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42064《民用无人机系统分类及分级》</w:t>
      </w:r>
    </w:p>
    <w:p w14:paraId="0712AAD4">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42817《民用无人机产品标识要求》</w:t>
      </w:r>
    </w:p>
    <w:p w14:paraId="2E4AD252">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42818《民用无人机系统飞行性能及控制要求》</w:t>
      </w:r>
    </w:p>
    <w:p w14:paraId="7208CCDD">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42819《民用无人机系统可靠性要求》</w:t>
      </w:r>
    </w:p>
    <w:p w14:paraId="0C237B07">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42820《民用无人机系统环境适应性通用要求》</w:t>
      </w:r>
    </w:p>
    <w:p w14:paraId="30F2F396">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42821《民用无人机系统电磁兼容性要求与试验方法》</w:t>
      </w:r>
    </w:p>
    <w:p w14:paraId="30182316">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875《架空输电线路施工机具基本技术要求》</w:t>
      </w:r>
    </w:p>
    <w:p w14:paraId="02BE61CE">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1347《架空输电线路无人机巡检作业技术导则》</w:t>
      </w:r>
    </w:p>
    <w:p w14:paraId="020189EA">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1741《电力作业用小型施工机具预防性试验规程》</w:t>
      </w:r>
    </w:p>
    <w:p w14:paraId="4CF4BE15">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4208《外壳防护等级（IP代码）》</w:t>
      </w:r>
    </w:p>
    <w:p w14:paraId="472EED98">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2423《电工电子产品环境试验》系列标准</w:t>
      </w:r>
    </w:p>
    <w:p w14:paraId="271C9DFF">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17626《电磁兼容 试验和测量技术》系列标准</w:t>
      </w:r>
    </w:p>
    <w:p w14:paraId="2595DFCA">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 2021008-2021 中国南方电网有限责任公司规章制度管理规定</w:t>
      </w:r>
    </w:p>
    <w:p w14:paraId="54E3623E">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Q/CSG-EHV 222001-2022 超高压输电公司管理制度管理规定</w:t>
      </w:r>
    </w:p>
    <w:p w14:paraId="0A65405C">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南方电网生技〔2022〕29号 附件1《南方电网公司数字生产“十四五”行动计划》</w:t>
      </w:r>
    </w:p>
    <w:p w14:paraId="2D2E9D1E">
      <w:pPr>
        <w:rPr>
          <w:rFonts w:ascii="Times New Roman" w:hAnsi="Times New Roman"/>
          <w:szCs w:val="21"/>
        </w:rPr>
      </w:pPr>
      <w:r>
        <w:rPr>
          <w:rFonts w:hint="eastAsia" w:ascii="Times New Roman" w:hAnsi="Times New Roman"/>
          <w:szCs w:val="21"/>
        </w:rPr>
        <w:t>注：上述标准是招标方最低要求。除此标准以外，投标人可以推荐其他标准，但事先必须通过招标方认可，或选择其中较高标准。</w:t>
      </w:r>
    </w:p>
    <w:p w14:paraId="704E4D81"/>
    <w:p w14:paraId="39C47896"/>
    <w:p w14:paraId="19C2EE67"/>
    <w:p w14:paraId="07004441">
      <w:pPr>
        <w:snapToGrid w:val="0"/>
        <w:spacing w:before="120"/>
        <w:rPr>
          <w:rFonts w:hint="eastAsia" w:ascii="黑体" w:hAnsi="黑体" w:eastAsia="黑体" w:cs="黑体"/>
          <w:b/>
          <w:bCs/>
          <w:sz w:val="28"/>
          <w:szCs w:val="36"/>
        </w:rPr>
      </w:pPr>
      <w:bookmarkStart w:id="22" w:name="_Toc384340984"/>
      <w:bookmarkStart w:id="23" w:name="_Toc22304904"/>
      <w:bookmarkStart w:id="24" w:name="_Toc39754002"/>
      <w:bookmarkStart w:id="25" w:name="_Toc32408"/>
      <w:bookmarkStart w:id="26" w:name="_Toc39753345"/>
      <w:bookmarkStart w:id="27" w:name="_Toc282993253"/>
      <w:r>
        <w:rPr>
          <w:rFonts w:hint="eastAsia" w:ascii="黑体" w:hAnsi="黑体" w:eastAsia="黑体" w:cs="黑体"/>
          <w:b/>
          <w:bCs/>
          <w:sz w:val="28"/>
          <w:szCs w:val="36"/>
        </w:rPr>
        <w:t>4 技术要求</w:t>
      </w:r>
      <w:bookmarkEnd w:id="22"/>
      <w:bookmarkEnd w:id="23"/>
      <w:bookmarkEnd w:id="24"/>
      <w:bookmarkEnd w:id="25"/>
      <w:bookmarkEnd w:id="26"/>
      <w:bookmarkEnd w:id="27"/>
    </w:p>
    <w:p w14:paraId="345B358C">
      <w:pPr>
        <w:adjustRightInd w:val="0"/>
        <w:snapToGrid w:val="0"/>
        <w:rPr>
          <w:rFonts w:hint="eastAsia" w:ascii="宋体" w:hAnsi="宋体"/>
          <w:sz w:val="24"/>
        </w:rPr>
      </w:pPr>
      <w:r>
        <w:rPr>
          <w:rFonts w:hint="eastAsia" w:ascii="宋体" w:hAnsi="宋体"/>
          <w:sz w:val="24"/>
          <w:lang w:eastAsia="zh-CN"/>
        </w:rPr>
        <w:t>4.1</w:t>
      </w:r>
      <w:r>
        <w:rPr>
          <w:rFonts w:hint="eastAsia" w:ascii="宋体" w:hAnsi="宋体"/>
          <w:sz w:val="24"/>
        </w:rPr>
        <w:t xml:space="preserve"> 研究内容。</w:t>
      </w:r>
    </w:p>
    <w:p w14:paraId="2A21FF5F">
      <w:pPr>
        <w:adjustRightInd w:val="0"/>
        <w:snapToGrid w:val="0"/>
        <w:rPr>
          <w:rFonts w:hint="eastAsia" w:ascii="宋体" w:hAnsi="宋体"/>
          <w:sz w:val="24"/>
        </w:rPr>
      </w:pPr>
      <w:r>
        <w:rPr>
          <w:rFonts w:hint="eastAsia" w:ascii="宋体" w:hAnsi="宋体"/>
          <w:sz w:val="24"/>
          <w:lang w:eastAsia="zh-CN"/>
        </w:rPr>
        <w:t>4.1</w:t>
      </w:r>
      <w:r>
        <w:rPr>
          <w:rFonts w:hint="eastAsia" w:ascii="宋体" w:hAnsi="宋体"/>
          <w:sz w:val="24"/>
        </w:rPr>
        <w:t>.1 主要项目内容</w:t>
      </w:r>
    </w:p>
    <w:p w14:paraId="754EAC3C">
      <w:pPr>
        <w:adjustRightInd w:val="0"/>
        <w:snapToGrid w:val="0"/>
        <w:rPr>
          <w:rFonts w:hint="eastAsia"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14:paraId="21EC3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14:paraId="663279FF">
            <w:pPr>
              <w:spacing w:line="240" w:lineRule="auto"/>
              <w:jc w:val="center"/>
              <w:rPr>
                <w:rFonts w:hint="eastAsia" w:ascii="宋体" w:hAnsi="宋体" w:cs="宋体"/>
                <w:b/>
                <w:bCs/>
                <w:szCs w:val="21"/>
              </w:rPr>
            </w:pPr>
            <w:r>
              <w:rPr>
                <w:rFonts w:hint="eastAsia" w:ascii="宋体" w:hAnsi="宋体" w:cs="宋体"/>
                <w:b/>
                <w:bCs/>
                <w:szCs w:val="21"/>
              </w:rPr>
              <w:t>序号</w:t>
            </w:r>
          </w:p>
        </w:tc>
        <w:tc>
          <w:tcPr>
            <w:tcW w:w="2985" w:type="dxa"/>
            <w:vAlign w:val="center"/>
          </w:tcPr>
          <w:p w14:paraId="397F23BF">
            <w:pPr>
              <w:spacing w:line="240" w:lineRule="auto"/>
              <w:jc w:val="center"/>
              <w:rPr>
                <w:rFonts w:hint="eastAsia" w:ascii="宋体" w:hAnsi="宋体" w:cs="宋体"/>
                <w:b/>
                <w:bCs/>
                <w:szCs w:val="21"/>
              </w:rPr>
            </w:pPr>
            <w:r>
              <w:rPr>
                <w:rFonts w:hint="eastAsia" w:ascii="宋体" w:hAnsi="宋体" w:cs="宋体"/>
                <w:b/>
                <w:bCs/>
                <w:szCs w:val="21"/>
              </w:rPr>
              <w:t>主要项目内容</w:t>
            </w:r>
          </w:p>
        </w:tc>
        <w:tc>
          <w:tcPr>
            <w:tcW w:w="2363" w:type="dxa"/>
            <w:vAlign w:val="center"/>
          </w:tcPr>
          <w:p w14:paraId="5D8B36BE">
            <w:pPr>
              <w:spacing w:line="240" w:lineRule="auto"/>
              <w:jc w:val="center"/>
              <w:rPr>
                <w:rFonts w:hint="eastAsia" w:ascii="宋体" w:hAnsi="宋体" w:cs="宋体"/>
                <w:b/>
                <w:bCs/>
                <w:szCs w:val="21"/>
              </w:rPr>
            </w:pPr>
            <w:r>
              <w:rPr>
                <w:rFonts w:hint="eastAsia" w:ascii="宋体" w:hAnsi="宋体" w:cs="宋体"/>
                <w:b/>
                <w:bCs/>
                <w:szCs w:val="21"/>
              </w:rPr>
              <w:t>交付物</w:t>
            </w:r>
          </w:p>
        </w:tc>
        <w:tc>
          <w:tcPr>
            <w:tcW w:w="2357" w:type="dxa"/>
            <w:vAlign w:val="center"/>
          </w:tcPr>
          <w:p w14:paraId="40C0077E">
            <w:pPr>
              <w:spacing w:line="240" w:lineRule="auto"/>
              <w:jc w:val="center"/>
              <w:rPr>
                <w:rFonts w:hint="eastAsia" w:ascii="宋体" w:hAnsi="宋体" w:cs="宋体"/>
                <w:b/>
                <w:bCs/>
                <w:szCs w:val="21"/>
              </w:rPr>
            </w:pPr>
            <w:r>
              <w:rPr>
                <w:rFonts w:hint="eastAsia" w:ascii="宋体" w:hAnsi="宋体" w:cs="宋体"/>
                <w:b/>
                <w:bCs/>
                <w:szCs w:val="21"/>
              </w:rPr>
              <w:t>时间要求</w:t>
            </w:r>
          </w:p>
        </w:tc>
      </w:tr>
      <w:tr w14:paraId="401DA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7E4FBE5F">
            <w:pPr>
              <w:spacing w:line="240" w:lineRule="auto"/>
              <w:jc w:val="center"/>
              <w:rPr>
                <w:rFonts w:hint="eastAsia" w:ascii="宋体" w:hAnsi="宋体" w:cs="宋体"/>
                <w:szCs w:val="21"/>
              </w:rPr>
            </w:pPr>
            <w:r>
              <w:rPr>
                <w:rFonts w:hint="eastAsia" w:ascii="宋体" w:hAnsi="宋体" w:cs="宋体"/>
                <w:szCs w:val="21"/>
              </w:rPr>
              <w:t>1</w:t>
            </w:r>
          </w:p>
        </w:tc>
        <w:tc>
          <w:tcPr>
            <w:tcW w:w="2985" w:type="dxa"/>
            <w:shd w:val="clear" w:color="auto" w:fill="auto"/>
            <w:vAlign w:val="center"/>
          </w:tcPr>
          <w:p w14:paraId="695C0E6D">
            <w:pPr>
              <w:spacing w:line="240" w:lineRule="auto"/>
              <w:jc w:val="center"/>
              <w:rPr>
                <w:rFonts w:hint="eastAsia" w:ascii="宋体" w:hAnsi="宋体" w:cs="宋体"/>
                <w:szCs w:val="21"/>
                <w:lang w:val="en-US" w:eastAsia="zh-CN"/>
              </w:rPr>
            </w:pPr>
            <w:r>
              <w:rPr>
                <w:rFonts w:hint="eastAsia" w:ascii="宋体" w:hAnsi="宋体" w:cs="宋体"/>
                <w:szCs w:val="21"/>
                <w:lang w:val="en-US" w:eastAsia="zh-CN"/>
              </w:rPr>
              <w:t>（1）完成多机型适配与高可靠安装接口研究，针对M300、FC30、FC100等主流行业无人机的结构特点，研发通用化、模块化的快速安装底座，确保连接稳固、拆装便捷；</w:t>
            </w:r>
          </w:p>
          <w:p w14:paraId="24D62D47">
            <w:pPr>
              <w:spacing w:line="240" w:lineRule="auto"/>
              <w:jc w:val="center"/>
              <w:rPr>
                <w:rFonts w:hint="eastAsia" w:ascii="宋体" w:hAnsi="宋体" w:cs="宋体"/>
                <w:szCs w:val="21"/>
                <w:lang w:val="en-US" w:eastAsia="zh-CN"/>
              </w:rPr>
            </w:pPr>
            <w:r>
              <w:rPr>
                <w:rFonts w:hint="eastAsia" w:ascii="宋体" w:hAnsi="宋体" w:cs="宋体"/>
                <w:szCs w:val="21"/>
                <w:lang w:val="en-US" w:eastAsia="zh-CN"/>
              </w:rPr>
              <w:t>（2）完成快速应急脱离机构设计与验证，研究并设计高可靠性、低延迟的快速脱离机构，确保分离动作的瞬时性、彻底性及对无人机飞行姿态的最小化干扰；</w:t>
            </w:r>
          </w:p>
          <w:p w14:paraId="7641D6F0">
            <w:pPr>
              <w:spacing w:line="240" w:lineRule="auto"/>
              <w:jc w:val="center"/>
              <w:rPr>
                <w:rFonts w:hint="eastAsia" w:ascii="宋体" w:hAnsi="宋体" w:cs="宋体"/>
                <w:szCs w:val="21"/>
                <w:lang w:val="en-US" w:eastAsia="zh-CN"/>
              </w:rPr>
            </w:pPr>
            <w:r>
              <w:rPr>
                <w:rFonts w:hint="eastAsia" w:ascii="宋体" w:hAnsi="宋体" w:cs="宋体"/>
                <w:szCs w:val="21"/>
                <w:lang w:val="en-US" w:eastAsia="zh-CN"/>
              </w:rPr>
              <w:t>（3）完成无线遥控与安全控制系统开发，集成低延迟、抗干扰的无线遥控接收模块，设计具备防误触逻辑的控制电路与状态反馈机制；</w:t>
            </w:r>
          </w:p>
          <w:p w14:paraId="3F188694">
            <w:pPr>
              <w:spacing w:line="240" w:lineRule="auto"/>
              <w:jc w:val="center"/>
              <w:rPr>
                <w:rFonts w:hint="eastAsia" w:ascii="宋体" w:hAnsi="宋体" w:cs="宋体"/>
                <w:szCs w:val="21"/>
                <w:lang w:val="en-US" w:eastAsia="zh-CN"/>
              </w:rPr>
            </w:pPr>
            <w:r>
              <w:rPr>
                <w:rFonts w:hint="eastAsia" w:ascii="宋体" w:hAnsi="宋体" w:cs="宋体"/>
                <w:szCs w:val="21"/>
                <w:lang w:val="en-US" w:eastAsia="zh-CN"/>
              </w:rPr>
              <w:t>（4）完成装置轻量化与一体化集成研究，采用轻质复合材质进行轻量化设计，将脱离机构、控制单元、电源等高度集成，优化整体气动外形；</w:t>
            </w:r>
          </w:p>
          <w:p w14:paraId="1E9C80CC">
            <w:pPr>
              <w:spacing w:line="240" w:lineRule="auto"/>
              <w:jc w:val="center"/>
              <w:rPr>
                <w:rFonts w:hint="eastAsia" w:ascii="宋体" w:hAnsi="宋体" w:cs="宋体"/>
                <w:szCs w:val="21"/>
              </w:rPr>
            </w:pPr>
            <w:r>
              <w:rPr>
                <w:rFonts w:hint="eastAsia" w:ascii="宋体" w:hAnsi="宋体" w:cs="宋体"/>
                <w:szCs w:val="21"/>
                <w:lang w:val="en-US" w:eastAsia="zh-CN"/>
              </w:rPr>
              <w:t>（5）完成环境适应性测试与验证，构建模拟典型障碍物缠绕的测试环境，对装置脱离成功率、响应时间、极端温度工作可靠性及多次使用耐久性进行系统性测试。</w:t>
            </w:r>
          </w:p>
        </w:tc>
        <w:tc>
          <w:tcPr>
            <w:tcW w:w="2363" w:type="dxa"/>
            <w:shd w:val="clear" w:color="auto" w:fill="auto"/>
            <w:vAlign w:val="center"/>
          </w:tcPr>
          <w:p w14:paraId="0AE1E90B">
            <w:pPr>
              <w:spacing w:line="240" w:lineRule="auto"/>
              <w:jc w:val="center"/>
              <w:rPr>
                <w:rFonts w:hint="eastAsia" w:ascii="PingFang-SC-Regular" w:hAnsi="PingFang-SC-Regular" w:cs="Segoe UI"/>
                <w:lang w:val="en-US" w:eastAsia="zh-CN"/>
              </w:rPr>
            </w:pPr>
            <w:r>
              <w:rPr>
                <w:rFonts w:hint="default" w:ascii="宋体" w:hAnsi="宋体" w:cs="宋体"/>
                <w:szCs w:val="21"/>
                <w:lang w:val="en-US" w:eastAsia="zh-CN"/>
              </w:rPr>
              <w:t>重载无人机吊载应急脱离装置样机一套</w:t>
            </w:r>
          </w:p>
        </w:tc>
        <w:tc>
          <w:tcPr>
            <w:tcW w:w="2357" w:type="dxa"/>
            <w:vAlign w:val="center"/>
          </w:tcPr>
          <w:p w14:paraId="7FCEEB16">
            <w:pPr>
              <w:spacing w:line="240" w:lineRule="auto"/>
              <w:jc w:val="center"/>
              <w:rPr>
                <w:rFonts w:hint="eastAsia" w:ascii="宋体" w:hAnsi="宋体" w:cs="宋体"/>
              </w:rPr>
            </w:pPr>
            <w:r>
              <w:rPr>
                <w:rFonts w:hint="eastAsia" w:asciiTheme="minorEastAsia" w:hAnsiTheme="minorEastAsia" w:cstheme="minorEastAsia"/>
                <w:szCs w:val="21"/>
              </w:rPr>
              <w:t>2026年11月</w:t>
            </w:r>
          </w:p>
        </w:tc>
      </w:tr>
      <w:tr w14:paraId="4CD6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4B99C1CB">
            <w:pPr>
              <w:spacing w:line="240" w:lineRule="auto"/>
              <w:jc w:val="center"/>
              <w:rPr>
                <w:rFonts w:hint="eastAsia" w:ascii="宋体" w:hAnsi="宋体" w:cs="宋体"/>
                <w:szCs w:val="21"/>
              </w:rPr>
            </w:pPr>
            <w:r>
              <w:rPr>
                <w:rFonts w:hint="eastAsia" w:ascii="宋体" w:hAnsi="宋体" w:cs="宋体"/>
                <w:szCs w:val="21"/>
              </w:rPr>
              <w:t>2</w:t>
            </w:r>
          </w:p>
        </w:tc>
        <w:tc>
          <w:tcPr>
            <w:tcW w:w="2985" w:type="dxa"/>
            <w:shd w:val="clear" w:color="auto" w:fill="auto"/>
            <w:vAlign w:val="center"/>
          </w:tcPr>
          <w:p w14:paraId="64AC5CF7">
            <w:pPr>
              <w:spacing w:line="240" w:lineRule="auto"/>
              <w:jc w:val="left"/>
              <w:rPr>
                <w:rFonts w:hint="eastAsia" w:ascii="宋体" w:hAnsi="宋体" w:cs="宋体"/>
                <w:szCs w:val="21"/>
              </w:rPr>
            </w:pPr>
            <w:r>
              <w:rPr>
                <w:rFonts w:hint="eastAsia" w:ascii="宋体" w:hAnsi="宋体" w:cs="宋体"/>
                <w:szCs w:val="21"/>
              </w:rPr>
              <w:t>【挑战指标】总结项目成果形成专利1项。</w:t>
            </w:r>
          </w:p>
        </w:tc>
        <w:tc>
          <w:tcPr>
            <w:tcW w:w="2363" w:type="dxa"/>
            <w:shd w:val="clear" w:color="auto" w:fill="auto"/>
            <w:vAlign w:val="center"/>
          </w:tcPr>
          <w:p w14:paraId="43774FDD">
            <w:pPr>
              <w:spacing w:line="240" w:lineRule="auto"/>
              <w:jc w:val="center"/>
              <w:rPr>
                <w:rFonts w:hint="eastAsia" w:ascii="宋体" w:hAnsi="宋体" w:cs="宋体"/>
                <w:szCs w:val="21"/>
              </w:rPr>
            </w:pPr>
            <w:r>
              <w:rPr>
                <w:rFonts w:hint="eastAsia" w:ascii="宋体" w:hAnsi="宋体" w:cs="宋体"/>
                <w:szCs w:val="21"/>
              </w:rPr>
              <w:t>专利1项（受理阶段）</w:t>
            </w:r>
          </w:p>
        </w:tc>
        <w:tc>
          <w:tcPr>
            <w:tcW w:w="2357" w:type="dxa"/>
            <w:vAlign w:val="center"/>
          </w:tcPr>
          <w:p w14:paraId="533FACD9">
            <w:pPr>
              <w:spacing w:line="240" w:lineRule="auto"/>
              <w:jc w:val="center"/>
              <w:rPr>
                <w:rFonts w:hint="eastAsia" w:asciiTheme="minorEastAsia" w:hAnsiTheme="minorEastAsia" w:eastAsiaTheme="minorEastAsia" w:cstheme="minorEastAsia"/>
                <w:szCs w:val="21"/>
              </w:rPr>
            </w:pPr>
            <w:r>
              <w:rPr>
                <w:rFonts w:hint="eastAsia" w:asciiTheme="minorEastAsia" w:hAnsiTheme="minorEastAsia" w:cstheme="minorEastAsia"/>
                <w:szCs w:val="21"/>
              </w:rPr>
              <w:t>2026年12月</w:t>
            </w:r>
          </w:p>
        </w:tc>
      </w:tr>
      <w:tr w14:paraId="7E920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695C0C7B">
            <w:pPr>
              <w:spacing w:line="240" w:lineRule="auto"/>
              <w:jc w:val="center"/>
              <w:rPr>
                <w:rFonts w:hint="eastAsia" w:ascii="宋体" w:hAnsi="宋体" w:eastAsia="宋体" w:cs="宋体"/>
                <w:szCs w:val="21"/>
                <w:lang w:eastAsia="zh-CN"/>
              </w:rPr>
            </w:pPr>
            <w:r>
              <w:rPr>
                <w:rFonts w:hint="eastAsia" w:ascii="宋体" w:hAnsi="宋体" w:cs="宋体"/>
                <w:szCs w:val="21"/>
                <w:lang w:val="en-US" w:eastAsia="zh-CN"/>
              </w:rPr>
              <w:t>3</w:t>
            </w:r>
          </w:p>
        </w:tc>
        <w:tc>
          <w:tcPr>
            <w:tcW w:w="2985" w:type="dxa"/>
            <w:shd w:val="clear" w:color="auto" w:fill="auto"/>
            <w:vAlign w:val="center"/>
          </w:tcPr>
          <w:p w14:paraId="0B57C7E4">
            <w:pPr>
              <w:spacing w:line="240" w:lineRule="auto"/>
              <w:jc w:val="left"/>
              <w:rPr>
                <w:rFonts w:hint="default" w:ascii="宋体" w:hAnsi="宋体" w:eastAsia="宋体" w:cs="宋体"/>
                <w:szCs w:val="21"/>
                <w:lang w:val="en-US" w:eastAsia="zh-CN"/>
              </w:rPr>
            </w:pPr>
            <w:r>
              <w:rPr>
                <w:rFonts w:hint="eastAsia" w:ascii="宋体" w:hAnsi="宋体" w:cs="宋体"/>
                <w:szCs w:val="21"/>
                <w:lang w:val="en-US" w:eastAsia="zh-CN"/>
              </w:rPr>
              <w:t>发表论文一篇</w:t>
            </w:r>
          </w:p>
        </w:tc>
        <w:tc>
          <w:tcPr>
            <w:tcW w:w="2363" w:type="dxa"/>
            <w:shd w:val="clear" w:color="auto" w:fill="auto"/>
            <w:vAlign w:val="center"/>
          </w:tcPr>
          <w:p w14:paraId="419C3D4F">
            <w:pPr>
              <w:spacing w:line="240" w:lineRule="auto"/>
              <w:jc w:val="left"/>
              <w:rPr>
                <w:rFonts w:hint="default" w:ascii="宋体" w:hAnsi="宋体" w:eastAsia="宋体" w:cs="宋体"/>
                <w:lang w:val="en-US" w:eastAsia="zh-CN"/>
              </w:rPr>
            </w:pPr>
            <w:r>
              <w:rPr>
                <w:rFonts w:hint="eastAsia" w:ascii="宋体" w:hAnsi="宋体" w:cs="宋体"/>
                <w:lang w:val="en-US" w:eastAsia="zh-CN"/>
              </w:rPr>
              <w:t>发表论文一篇</w:t>
            </w:r>
          </w:p>
        </w:tc>
        <w:tc>
          <w:tcPr>
            <w:tcW w:w="2357" w:type="dxa"/>
            <w:vAlign w:val="center"/>
          </w:tcPr>
          <w:p w14:paraId="21E8E47B">
            <w:pPr>
              <w:spacing w:line="240" w:lineRule="auto"/>
              <w:jc w:val="center"/>
              <w:rPr>
                <w:rFonts w:hint="eastAsia" w:asciiTheme="minorEastAsia" w:hAnsiTheme="minorEastAsia" w:eastAsiaTheme="minorEastAsia" w:cstheme="minorEastAsia"/>
                <w:szCs w:val="21"/>
              </w:rPr>
            </w:pPr>
            <w:r>
              <w:rPr>
                <w:rFonts w:hint="eastAsia" w:asciiTheme="minorEastAsia" w:hAnsiTheme="minorEastAsia" w:cstheme="minorEastAsia"/>
                <w:szCs w:val="21"/>
              </w:rPr>
              <w:t>2026年12月</w:t>
            </w:r>
          </w:p>
        </w:tc>
      </w:tr>
      <w:tr w14:paraId="3EF8E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3F60BDCA">
            <w:pPr>
              <w:spacing w:line="240" w:lineRule="auto"/>
              <w:jc w:val="center"/>
              <w:rPr>
                <w:rFonts w:hint="default" w:ascii="宋体" w:hAnsi="宋体" w:eastAsia="宋体" w:cs="宋体"/>
                <w:szCs w:val="21"/>
                <w:lang w:val="en-US" w:eastAsia="zh-CN"/>
              </w:rPr>
            </w:pPr>
            <w:r>
              <w:rPr>
                <w:rFonts w:hint="eastAsia" w:ascii="宋体" w:hAnsi="宋体" w:cs="宋体"/>
                <w:szCs w:val="21"/>
                <w:lang w:val="en-US" w:eastAsia="zh-CN"/>
              </w:rPr>
              <w:t>4</w:t>
            </w:r>
          </w:p>
        </w:tc>
        <w:tc>
          <w:tcPr>
            <w:tcW w:w="2985" w:type="dxa"/>
            <w:shd w:val="clear" w:color="auto" w:fill="auto"/>
            <w:vAlign w:val="center"/>
          </w:tcPr>
          <w:p w14:paraId="41EB6DB6">
            <w:pPr>
              <w:spacing w:line="240" w:lineRule="auto"/>
              <w:jc w:val="left"/>
              <w:rPr>
                <w:rFonts w:hint="eastAsia" w:ascii="宋体" w:hAnsi="宋体" w:cs="宋体"/>
                <w:szCs w:val="21"/>
              </w:rPr>
            </w:pPr>
            <w:r>
              <w:rPr>
                <w:rFonts w:hint="eastAsia" w:ascii="宋体" w:hAnsi="宋体" w:cs="宋体"/>
                <w:szCs w:val="21"/>
              </w:rPr>
              <w:t>项目验收检查</w:t>
            </w:r>
          </w:p>
        </w:tc>
        <w:tc>
          <w:tcPr>
            <w:tcW w:w="2363" w:type="dxa"/>
            <w:shd w:val="clear" w:color="auto" w:fill="auto"/>
            <w:vAlign w:val="center"/>
          </w:tcPr>
          <w:p w14:paraId="2675ACCE">
            <w:pPr>
              <w:spacing w:line="240" w:lineRule="auto"/>
              <w:jc w:val="left"/>
              <w:rPr>
                <w:rFonts w:hint="eastAsia" w:ascii="宋体" w:hAnsi="宋体" w:cs="宋体"/>
              </w:rPr>
            </w:pPr>
            <w:r>
              <w:rPr>
                <w:rFonts w:hint="eastAsia" w:ascii="宋体" w:hAnsi="宋体" w:cs="宋体"/>
              </w:rPr>
              <w:t>完成项目全部验收内容</w:t>
            </w:r>
          </w:p>
        </w:tc>
        <w:tc>
          <w:tcPr>
            <w:tcW w:w="2357" w:type="dxa"/>
            <w:vAlign w:val="center"/>
          </w:tcPr>
          <w:p w14:paraId="090CC0E8">
            <w:pPr>
              <w:spacing w:line="240" w:lineRule="auto"/>
              <w:jc w:val="center"/>
              <w:rPr>
                <w:rFonts w:hint="eastAsia" w:asciiTheme="minorEastAsia" w:hAnsiTheme="minorEastAsia" w:cstheme="minorEastAsia"/>
                <w:szCs w:val="21"/>
              </w:rPr>
            </w:pPr>
            <w:r>
              <w:rPr>
                <w:rFonts w:hint="eastAsia" w:asciiTheme="minorEastAsia" w:hAnsiTheme="minorEastAsia" w:cstheme="minorEastAsia"/>
                <w:szCs w:val="21"/>
              </w:rPr>
              <w:t>2026年12月</w:t>
            </w:r>
          </w:p>
        </w:tc>
      </w:tr>
    </w:tbl>
    <w:p w14:paraId="4260A043">
      <w:pPr>
        <w:rPr>
          <w:rFonts w:hint="eastAsia" w:ascii="宋体" w:hAnsi="宋体" w:cs="宋体"/>
          <w:color w:val="000000"/>
          <w:sz w:val="24"/>
        </w:rPr>
      </w:pPr>
      <w:r>
        <w:rPr>
          <w:rFonts w:hint="eastAsia" w:ascii="宋体" w:hAnsi="宋体" w:cs="宋体"/>
          <w:color w:val="000000"/>
          <w:sz w:val="24"/>
          <w:lang w:eastAsia="zh-CN"/>
        </w:rPr>
        <w:t>4.1</w:t>
      </w:r>
      <w:r>
        <w:rPr>
          <w:rFonts w:hint="eastAsia" w:ascii="宋体" w:hAnsi="宋体" w:cs="宋体"/>
          <w:color w:val="000000"/>
          <w:sz w:val="24"/>
        </w:rPr>
        <w:t xml:space="preserve">.2 </w:t>
      </w:r>
      <w:r>
        <w:rPr>
          <w:rFonts w:hint="eastAsia" w:ascii="宋体" w:hAnsi="宋体" w:cs="宋体"/>
          <w:color w:val="000000"/>
          <w:sz w:val="24"/>
          <w:lang w:val="en-US" w:eastAsia="zh-CN"/>
        </w:rPr>
        <w:t>重载无人机吊载应急脱离装置</w:t>
      </w:r>
      <w:r>
        <w:rPr>
          <w:rFonts w:hint="eastAsia" w:ascii="宋体" w:hAnsi="宋体" w:cs="宋体"/>
          <w:kern w:val="0"/>
          <w:sz w:val="24"/>
        </w:rPr>
        <w:t>研究实施要求</w:t>
      </w:r>
    </w:p>
    <w:p w14:paraId="0FF108FA">
      <w:pPr>
        <w:pStyle w:val="8"/>
        <w:spacing w:after="0" w:line="360" w:lineRule="auto"/>
        <w:ind w:left="0"/>
        <w:rPr>
          <w:rFonts w:hint="eastAsia" w:ascii="宋体" w:hAnsi="宋体" w:cs="宋体"/>
          <w:sz w:val="24"/>
        </w:rPr>
      </w:pPr>
      <w:r>
        <w:rPr>
          <w:rFonts w:hint="eastAsia" w:ascii="宋体" w:hAnsi="宋体" w:cs="宋体"/>
          <w:sz w:val="24"/>
          <w:lang w:eastAsia="zh-CN"/>
        </w:rPr>
        <w:t>4.1</w:t>
      </w:r>
      <w:r>
        <w:rPr>
          <w:rFonts w:hint="eastAsia" w:ascii="宋体" w:hAnsi="宋体" w:cs="宋体"/>
          <w:sz w:val="24"/>
        </w:rPr>
        <w:t>.2.1总体要求</w:t>
      </w:r>
    </w:p>
    <w:p w14:paraId="601343FE">
      <w:pPr>
        <w:pStyle w:val="8"/>
        <w:numPr>
          <w:ilvl w:val="0"/>
          <w:numId w:val="2"/>
        </w:numPr>
        <w:spacing w:after="0" w:line="360" w:lineRule="auto"/>
        <w:ind w:left="0"/>
        <w:rPr>
          <w:rFonts w:hint="eastAsia" w:ascii="宋体" w:hAnsi="宋体" w:cs="宋体"/>
          <w:sz w:val="24"/>
        </w:rPr>
      </w:pPr>
      <w:r>
        <w:rPr>
          <w:rFonts w:hint="eastAsia" w:ascii="宋体" w:hAnsi="宋体" w:cs="宋体"/>
          <w:sz w:val="24"/>
        </w:rPr>
        <w:t>稳定性和可靠性</w:t>
      </w:r>
    </w:p>
    <w:p w14:paraId="31462859">
      <w:pPr>
        <w:pStyle w:val="8"/>
        <w:spacing w:after="0" w:line="360" w:lineRule="auto"/>
        <w:ind w:left="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装置为独立运行的一体化解决方案，具备高可靠性的机械脱离机构与稳定的无线遥控链路，在强电磁干扰环境下（输电线路附近）仍能可靠工作。关键部件具备冗余设计，确保在异常情况下仍能执行应急脱离指令。</w:t>
      </w:r>
    </w:p>
    <w:p w14:paraId="5E244D79">
      <w:pPr>
        <w:pStyle w:val="8"/>
        <w:spacing w:after="0" w:line="360" w:lineRule="auto"/>
        <w:ind w:left="0"/>
        <w:rPr>
          <w:rFonts w:hint="eastAsia" w:ascii="宋体" w:hAnsi="宋体" w:cs="宋体"/>
          <w:sz w:val="24"/>
        </w:rPr>
      </w:pPr>
      <w:r>
        <w:rPr>
          <w:rFonts w:hint="eastAsia" w:ascii="宋体" w:hAnsi="宋体" w:cs="宋体"/>
          <w:sz w:val="24"/>
        </w:rPr>
        <w:t>（2）快速响应</w:t>
      </w:r>
    </w:p>
    <w:p w14:paraId="34E61581">
      <w:pPr>
        <w:rPr>
          <w:rFonts w:hint="eastAsia" w:ascii="宋体" w:hAnsi="宋体" w:cs="宋体"/>
          <w:sz w:val="24"/>
        </w:rPr>
      </w:pPr>
      <w:r>
        <w:rPr>
          <w:rFonts w:hint="eastAsia" w:ascii="宋体" w:hAnsi="宋体" w:cs="宋体"/>
          <w:sz w:val="24"/>
        </w:rPr>
        <w:t>从操作人员发出遥控脱离指令到吊载物与无人机本体完全分离的总响应时间（含遥控传输延迟、机构动作时间）应</w:t>
      </w:r>
      <w:r>
        <w:rPr>
          <w:rFonts w:hint="eastAsia" w:ascii="宋体" w:hAnsi="宋体" w:cs="宋体"/>
          <w:sz w:val="24"/>
          <w:lang w:val="en-US" w:eastAsia="zh-CN"/>
        </w:rPr>
        <w:t>较小</w:t>
      </w:r>
      <w:r>
        <w:rPr>
          <w:rFonts w:hint="eastAsia" w:ascii="宋体" w:hAnsi="宋体" w:cs="宋体"/>
          <w:sz w:val="24"/>
        </w:rPr>
        <w:t>，确保在紧急情况下能够迅速阻断异常拉力对无人机姿态的影响。</w:t>
      </w:r>
    </w:p>
    <w:p w14:paraId="005045D9">
      <w:pPr>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3</w:t>
      </w:r>
      <w:r>
        <w:rPr>
          <w:rFonts w:hint="eastAsia" w:ascii="宋体" w:hAnsi="宋体" w:cs="宋体"/>
          <w:sz w:val="24"/>
          <w:lang w:eastAsia="zh-CN"/>
        </w:rPr>
        <w:t>）轻量化</w:t>
      </w:r>
    </w:p>
    <w:p w14:paraId="32333BF9">
      <w:pPr>
        <w:rPr>
          <w:rFonts w:hint="eastAsia" w:ascii="宋体" w:hAnsi="宋体" w:cs="宋体"/>
          <w:sz w:val="24"/>
          <w:lang w:eastAsia="zh-CN"/>
        </w:rPr>
      </w:pPr>
      <w:r>
        <w:rPr>
          <w:rFonts w:hint="eastAsia" w:ascii="宋体" w:hAnsi="宋体" w:cs="宋体"/>
          <w:sz w:val="24"/>
          <w:lang w:eastAsia="zh-CN"/>
        </w:rPr>
        <w:t>在保证结构强度和功能可靠的前提下，装置整机重量（含安装底座、脱离机构、控制单元、电源等全部模块）应不超过</w:t>
      </w:r>
      <w:r>
        <w:rPr>
          <w:rFonts w:hint="eastAsia" w:ascii="宋体" w:hAnsi="宋体" w:cs="宋体"/>
          <w:sz w:val="24"/>
          <w:lang w:val="en-US" w:eastAsia="zh-CN"/>
        </w:rPr>
        <w:t>限值</w:t>
      </w:r>
      <w:r>
        <w:rPr>
          <w:rFonts w:hint="eastAsia" w:ascii="宋体" w:hAnsi="宋体" w:cs="宋体"/>
          <w:sz w:val="24"/>
          <w:lang w:eastAsia="zh-CN"/>
        </w:rPr>
        <w:t>（适配FC30级别无人机载荷能力），最大限度减少对无人机有效载荷与续航能力的影响。</w:t>
      </w:r>
    </w:p>
    <w:p w14:paraId="40CCAB74">
      <w:pPr>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4</w:t>
      </w:r>
      <w:r>
        <w:rPr>
          <w:rFonts w:hint="eastAsia" w:ascii="宋体" w:hAnsi="宋体" w:cs="宋体"/>
          <w:sz w:val="24"/>
          <w:lang w:eastAsia="zh-CN"/>
        </w:rPr>
        <w:t>）通用化与易用性</w:t>
      </w:r>
    </w:p>
    <w:p w14:paraId="750901DD">
      <w:pPr>
        <w:rPr>
          <w:rFonts w:hint="eastAsia" w:ascii="宋体" w:hAnsi="宋体" w:cs="宋体"/>
          <w:sz w:val="24"/>
          <w:lang w:eastAsia="zh-CN"/>
        </w:rPr>
      </w:pPr>
      <w:r>
        <w:rPr>
          <w:rFonts w:hint="eastAsia" w:ascii="宋体" w:hAnsi="宋体" w:cs="宋体"/>
          <w:sz w:val="24"/>
          <w:lang w:eastAsia="zh-CN"/>
        </w:rPr>
        <w:t>装置应具备多机型快速适配能力，通过更换少量接口件即可在M300、FC30、FC100等主流行业无人机之间快速切换使用。安装底座拆装便捷，无需特殊工具，单次拆装时间</w:t>
      </w:r>
      <w:r>
        <w:rPr>
          <w:rFonts w:hint="eastAsia" w:ascii="宋体" w:hAnsi="宋体" w:cs="宋体"/>
          <w:sz w:val="24"/>
          <w:lang w:val="en-US" w:eastAsia="zh-CN"/>
        </w:rPr>
        <w:t>短</w:t>
      </w:r>
      <w:r>
        <w:rPr>
          <w:rFonts w:hint="eastAsia" w:ascii="宋体" w:hAnsi="宋体" w:cs="宋体"/>
          <w:sz w:val="24"/>
          <w:lang w:eastAsia="zh-CN"/>
        </w:rPr>
        <w:t>。</w:t>
      </w:r>
    </w:p>
    <w:p w14:paraId="3D63559A">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4.1</w:t>
      </w:r>
      <w:r>
        <w:rPr>
          <w:rFonts w:hint="eastAsia" w:asciiTheme="minorEastAsia" w:hAnsiTheme="minorEastAsia" w:eastAsiaTheme="minorEastAsia" w:cstheme="minorEastAsia"/>
          <w:sz w:val="24"/>
        </w:rPr>
        <w:t>.2.2系统实施要求</w:t>
      </w:r>
    </w:p>
    <w:p w14:paraId="6A13D69D">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4.1</w:t>
      </w:r>
      <w:r>
        <w:rPr>
          <w:rFonts w:hint="eastAsia" w:asciiTheme="minorEastAsia" w:hAnsiTheme="minorEastAsia" w:eastAsiaTheme="minorEastAsia" w:cstheme="minorEastAsia"/>
          <w:sz w:val="24"/>
        </w:rPr>
        <w:t>.2.2.1 系统架构及技术</w:t>
      </w:r>
    </w:p>
    <w:p w14:paraId="30125770">
      <w:pPr>
        <w:numPr>
          <w:ilvl w:val="0"/>
          <w:numId w:val="3"/>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多机型适配与安装接口：研发通用化、模块化的快速安装底座，兼容M300、FC30、FC100等主流行业无人机的机身挂载接口（包括快拆接口板、减震云台接口等），适配不同机型的安装孔位与电气接口。底座结构应能承受不小于5倍额定吊载载荷的静载和振动载荷而不发生塑性变形或松动。提供独立的供电与信号接口，与无人机电源及飞控系统隔离，避免相互干扰。</w:t>
      </w:r>
    </w:p>
    <w:p w14:paraId="26310E59">
      <w:pPr>
        <w:numPr>
          <w:ilvl w:val="0"/>
          <w:numId w:val="3"/>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快速应急脱离机构：采用双冗余触发机制（电信号触发+机械备份触发），确保单一触发通道失效时仍能可靠脱离。脱离机构应具备以下核心指标：①负载能力：额定工作载荷≥50kg（适配FC100级别无人机），安全系数≥3；②响应时间：从接收到脱离指令至机构完全释放，机械动作时间</w:t>
      </w:r>
      <w:r>
        <w:rPr>
          <w:rFonts w:hint="eastAsia" w:ascii="宋体" w:hAnsi="宋体" w:cs="宋体"/>
          <w:kern w:val="0"/>
          <w:sz w:val="24"/>
          <w:szCs w:val="24"/>
          <w:lang w:val="en-US" w:eastAsia="zh-CN" w:bidi="ar-SA"/>
        </w:rPr>
        <w:t>短</w:t>
      </w:r>
      <w:r>
        <w:rPr>
          <w:rFonts w:hint="default" w:ascii="宋体" w:hAnsi="宋体" w:eastAsia="宋体" w:cs="宋体"/>
          <w:kern w:val="0"/>
          <w:sz w:val="24"/>
          <w:szCs w:val="24"/>
          <w:lang w:val="en-US" w:eastAsia="zh-CN" w:bidi="ar-SA"/>
        </w:rPr>
        <w:t>；③分离彻底性：脱钩动作完成后，吊载物与无人机本体应完全分离无任何机械连接，分离角度偏差</w:t>
      </w:r>
      <w:r>
        <w:rPr>
          <w:rFonts w:hint="eastAsia" w:ascii="宋体" w:hAnsi="宋体" w:cs="宋体"/>
          <w:kern w:val="0"/>
          <w:sz w:val="24"/>
          <w:szCs w:val="24"/>
          <w:lang w:val="en-US" w:eastAsia="zh-CN" w:bidi="ar-SA"/>
        </w:rPr>
        <w:t>小</w:t>
      </w:r>
      <w:r>
        <w:rPr>
          <w:rFonts w:hint="default" w:ascii="宋体" w:hAnsi="宋体" w:eastAsia="宋体" w:cs="宋体"/>
          <w:kern w:val="0"/>
          <w:sz w:val="24"/>
          <w:szCs w:val="24"/>
          <w:lang w:val="en-US" w:eastAsia="zh-CN" w:bidi="ar-SA"/>
        </w:rPr>
        <w:t>；④防误触设计：具备机械锁闭到位检测与电气互锁逻辑，防止飞行过程中因振动或误操作导致意外脱钩；⑤状态指示：提供锁闭/解锁状态的机械指示与电气信号输出。研发应急脱离装置挂钩结构件及其弹簧卡销等，确保持续拉力下脱钩器不产生塑性变形或疲劳开裂。</w:t>
      </w:r>
    </w:p>
    <w:p w14:paraId="0CB60957">
      <w:pPr>
        <w:numPr>
          <w:ilvl w:val="0"/>
          <w:numId w:val="3"/>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无线遥控与安全控制系统：集成低延迟、高抗干扰的无线遥控接收模块，工作频率选用免许可频段（如2.4GHz或433MHz），具备至少20个可选信道以规避同频干扰，空旷条件下遥控距离≥</w:t>
      </w:r>
      <w:r>
        <w:rPr>
          <w:rFonts w:hint="eastAsia" w:ascii="宋体" w:hAnsi="宋体" w:cs="宋体"/>
          <w:kern w:val="0"/>
          <w:sz w:val="24"/>
          <w:szCs w:val="24"/>
          <w:lang w:val="en-US" w:eastAsia="zh-CN" w:bidi="ar-SA"/>
        </w:rPr>
        <w:t>500</w:t>
      </w:r>
      <w:r>
        <w:rPr>
          <w:rFonts w:hint="default" w:ascii="宋体" w:hAnsi="宋体" w:eastAsia="宋体" w:cs="宋体"/>
          <w:kern w:val="0"/>
          <w:sz w:val="24"/>
          <w:szCs w:val="24"/>
          <w:lang w:val="en-US" w:eastAsia="zh-CN" w:bidi="ar-SA"/>
        </w:rPr>
        <w:t>m。遥控发射器为独立手持终端，具备独立的应急脱离专用按键，按键带防护盖或采用长按确认逻辑，防止误触发。通信协议具备CRC校验、数据重传及心跳检测机制，通信中断时装置保持当前状态不误动作。控制电路设计应满足：①具备防误触逻辑（如双键组合操作或长按3s以上触发）；②具备低电压报警功能（≤3.7V时告警）；③状态反馈机制实时回传，地面端可显示装置挂钩锁闭/脱离状态、电池电量、信号强度等信息；④工作温度范围：-20℃~+60℃；⑤控制单元具备自检功能，上电自动检测各模块状态。</w:t>
      </w:r>
    </w:p>
    <w:p w14:paraId="3B281459">
      <w:pPr>
        <w:numPr>
          <w:ilvl w:val="0"/>
          <w:numId w:val="3"/>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环境适应性设计：装置外壳防护等级不低于IP54，具备防雨、防尘、防盐雾能力。接口端子采用防插反设计，所有外露金属件具备防腐蚀处理。具备高低温适应性，在-20℃~+60℃环境温度范围内各功能指标满足要求</w:t>
      </w:r>
      <w:r>
        <w:rPr>
          <w:rFonts w:hint="eastAsia" w:ascii="宋体" w:hAnsi="宋体" w:cs="宋体"/>
          <w:kern w:val="0"/>
          <w:sz w:val="24"/>
          <w:szCs w:val="24"/>
          <w:lang w:val="en-US" w:eastAsia="zh-CN" w:bidi="ar-SA"/>
        </w:rPr>
        <w:t>。</w:t>
      </w:r>
    </w:p>
    <w:p w14:paraId="07CCAB0D">
      <w:pPr>
        <w:pStyle w:val="8"/>
        <w:ind w:left="0" w:leftChars="0" w:firstLine="0" w:firstLine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4.1</w:t>
      </w:r>
      <w:r>
        <w:rPr>
          <w:rFonts w:hint="eastAsia" w:asciiTheme="minorEastAsia" w:hAnsiTheme="minorEastAsia" w:eastAsiaTheme="minorEastAsia" w:cstheme="minorEastAsia"/>
          <w:sz w:val="24"/>
        </w:rPr>
        <w:t>.2.3系统功能</w:t>
      </w:r>
    </w:p>
    <w:tbl>
      <w:tblPr>
        <w:tblStyle w:val="12"/>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268"/>
        <w:gridCol w:w="5494"/>
      </w:tblGrid>
      <w:tr w14:paraId="707BC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51CAC340">
            <w:pPr>
              <w:jc w:val="center"/>
              <w:rPr>
                <w:rFonts w:ascii="Arial" w:hAnsi="Arial" w:cs="Arial"/>
              </w:rPr>
            </w:pPr>
            <w:r>
              <w:rPr>
                <w:rFonts w:hint="eastAsia" w:ascii="Arial" w:hAnsi="Arial" w:cs="Arial"/>
              </w:rPr>
              <w:t>序号</w:t>
            </w:r>
          </w:p>
        </w:tc>
        <w:tc>
          <w:tcPr>
            <w:tcW w:w="2268" w:type="dxa"/>
            <w:vAlign w:val="center"/>
          </w:tcPr>
          <w:p w14:paraId="6AB14A8F">
            <w:pPr>
              <w:jc w:val="center"/>
              <w:rPr>
                <w:rFonts w:ascii="Arial" w:hAnsi="Arial" w:cs="Arial"/>
              </w:rPr>
            </w:pPr>
            <w:r>
              <w:rPr>
                <w:rFonts w:hint="eastAsia" w:ascii="Arial" w:hAnsi="Arial" w:cs="Arial"/>
              </w:rPr>
              <w:t>功能</w:t>
            </w:r>
          </w:p>
        </w:tc>
        <w:tc>
          <w:tcPr>
            <w:tcW w:w="5494" w:type="dxa"/>
            <w:vAlign w:val="center"/>
          </w:tcPr>
          <w:p w14:paraId="2E8647C3">
            <w:pPr>
              <w:jc w:val="center"/>
              <w:rPr>
                <w:rFonts w:ascii="Arial" w:hAnsi="Arial" w:cs="Arial"/>
              </w:rPr>
            </w:pPr>
            <w:r>
              <w:rPr>
                <w:rFonts w:hint="eastAsia" w:ascii="Arial" w:hAnsi="Arial" w:cs="Arial"/>
              </w:rPr>
              <w:t>描述</w:t>
            </w:r>
          </w:p>
        </w:tc>
      </w:tr>
      <w:tr w14:paraId="359BF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57C0F2BD">
            <w:pPr>
              <w:jc w:val="center"/>
              <w:rPr>
                <w:rFonts w:hint="eastAsia" w:ascii="Arial" w:hAnsi="Arial" w:cs="Arial"/>
              </w:rPr>
            </w:pPr>
            <w:r>
              <w:rPr>
                <w:rFonts w:hint="eastAsia" w:ascii="Arial" w:hAnsi="Arial" w:cs="Arial"/>
              </w:rPr>
              <w:t>1</w:t>
            </w:r>
          </w:p>
        </w:tc>
        <w:tc>
          <w:tcPr>
            <w:tcW w:w="2268" w:type="dxa"/>
            <w:vAlign w:val="center"/>
          </w:tcPr>
          <w:p w14:paraId="202D2DBB">
            <w:pPr>
              <w:jc w:val="center"/>
              <w:rPr>
                <w:rFonts w:hint="eastAsia" w:ascii="Arial" w:hAnsi="Arial" w:cs="Arial"/>
              </w:rPr>
            </w:pPr>
            <w:r>
              <w:rPr>
                <w:rFonts w:hint="default" w:ascii="Arial" w:hAnsi="Arial" w:cs="Arial"/>
                <w:lang w:val="en-US" w:eastAsia="zh-CN"/>
              </w:rPr>
              <w:t>多机型快速适配</w:t>
            </w:r>
          </w:p>
        </w:tc>
        <w:tc>
          <w:tcPr>
            <w:tcW w:w="5494" w:type="dxa"/>
            <w:vAlign w:val="center"/>
          </w:tcPr>
          <w:p w14:paraId="00401616">
            <w:pPr>
              <w:jc w:val="center"/>
              <w:rPr>
                <w:rFonts w:hint="eastAsia" w:ascii="Arial" w:hAnsi="Arial" w:cs="Arial"/>
              </w:rPr>
            </w:pPr>
            <w:r>
              <w:rPr>
                <w:rFonts w:hint="default" w:ascii="Arial" w:hAnsi="Arial" w:cs="Arial"/>
                <w:lang w:val="en-US" w:eastAsia="zh-CN"/>
              </w:rPr>
              <w:t>通过通用化安装底座及转接件，实现M300、FC30、FC100等主流无人机快速安装与拆卸，单次拆装时间</w:t>
            </w:r>
            <w:r>
              <w:rPr>
                <w:rFonts w:hint="eastAsia" w:ascii="Arial" w:hAnsi="Arial" w:cs="Arial"/>
                <w:lang w:val="en-US" w:eastAsia="zh-CN"/>
              </w:rPr>
              <w:t>短</w:t>
            </w:r>
          </w:p>
        </w:tc>
      </w:tr>
      <w:tr w14:paraId="62F25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3A8BCAF6">
            <w:pPr>
              <w:jc w:val="center"/>
              <w:rPr>
                <w:rFonts w:hint="eastAsia" w:ascii="Arial" w:hAnsi="Arial" w:cs="Arial"/>
              </w:rPr>
            </w:pPr>
            <w:r>
              <w:rPr>
                <w:rFonts w:hint="eastAsia" w:ascii="Arial" w:hAnsi="Arial" w:cs="Arial"/>
              </w:rPr>
              <w:t>2</w:t>
            </w:r>
          </w:p>
        </w:tc>
        <w:tc>
          <w:tcPr>
            <w:tcW w:w="2268" w:type="dxa"/>
            <w:vAlign w:val="center"/>
          </w:tcPr>
          <w:p w14:paraId="1FF607FA">
            <w:pPr>
              <w:jc w:val="center"/>
              <w:rPr>
                <w:rFonts w:hint="eastAsia" w:ascii="Arial" w:hAnsi="Arial" w:cs="Arial"/>
              </w:rPr>
            </w:pPr>
            <w:r>
              <w:rPr>
                <w:rFonts w:hint="default" w:ascii="Arial" w:hAnsi="Arial" w:cs="Arial"/>
                <w:lang w:val="en-US" w:eastAsia="zh-CN"/>
              </w:rPr>
              <w:t>应急远程遥控脱离</w:t>
            </w:r>
          </w:p>
        </w:tc>
        <w:tc>
          <w:tcPr>
            <w:tcW w:w="5494" w:type="dxa"/>
            <w:vAlign w:val="center"/>
          </w:tcPr>
          <w:p w14:paraId="3C9CB5AC">
            <w:pPr>
              <w:jc w:val="center"/>
              <w:rPr>
                <w:rFonts w:hint="default" w:ascii="Arial" w:hAnsi="Arial" w:cs="Arial"/>
                <w:lang w:val="en-US"/>
              </w:rPr>
            </w:pPr>
            <w:r>
              <w:rPr>
                <w:rFonts w:hint="default" w:ascii="Arial" w:hAnsi="Arial" w:cs="Arial"/>
                <w:lang w:val="en-US" w:eastAsia="zh-CN"/>
              </w:rPr>
              <w:t>通过独立手持遥控终端，在紧急情况下远程触发脱离机构，实现吊载物与无人机的完全分离，响应时间</w:t>
            </w:r>
            <w:r>
              <w:rPr>
                <w:rFonts w:hint="eastAsia" w:ascii="Arial" w:hAnsi="Arial" w:cs="Arial"/>
                <w:lang w:val="en-US" w:eastAsia="zh-CN"/>
              </w:rPr>
              <w:t>短</w:t>
            </w:r>
          </w:p>
        </w:tc>
      </w:tr>
      <w:tr w14:paraId="7F3AE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05CC1301">
            <w:pPr>
              <w:jc w:val="center"/>
              <w:rPr>
                <w:rFonts w:hint="eastAsia" w:ascii="Arial" w:hAnsi="Arial" w:cs="Arial"/>
              </w:rPr>
            </w:pPr>
            <w:r>
              <w:rPr>
                <w:rFonts w:hint="eastAsia" w:ascii="Arial" w:hAnsi="Arial" w:cs="Arial"/>
              </w:rPr>
              <w:t>3</w:t>
            </w:r>
          </w:p>
        </w:tc>
        <w:tc>
          <w:tcPr>
            <w:tcW w:w="2268" w:type="dxa"/>
            <w:vAlign w:val="center"/>
          </w:tcPr>
          <w:p w14:paraId="0101B71A">
            <w:pPr>
              <w:jc w:val="center"/>
              <w:rPr>
                <w:rFonts w:hint="eastAsia" w:ascii="Arial" w:hAnsi="Arial" w:cs="Arial"/>
              </w:rPr>
            </w:pPr>
            <w:r>
              <w:rPr>
                <w:rFonts w:hint="default" w:ascii="Arial" w:hAnsi="Arial" w:cs="Arial"/>
                <w:lang w:val="en-US" w:eastAsia="zh-CN"/>
              </w:rPr>
              <w:t>双冗余触发机制</w:t>
            </w:r>
          </w:p>
        </w:tc>
        <w:tc>
          <w:tcPr>
            <w:tcW w:w="5494" w:type="dxa"/>
            <w:vAlign w:val="center"/>
          </w:tcPr>
          <w:p w14:paraId="39DA1A97">
            <w:pPr>
              <w:jc w:val="center"/>
              <w:rPr>
                <w:rFonts w:hint="eastAsia" w:ascii="Arial" w:hAnsi="Arial" w:cs="Arial"/>
              </w:rPr>
            </w:pPr>
            <w:r>
              <w:rPr>
                <w:rFonts w:hint="default" w:ascii="Arial" w:hAnsi="Arial" w:cs="Arial"/>
                <w:lang w:val="en-US" w:eastAsia="zh-CN"/>
              </w:rPr>
              <w:t>电信号触发为主、机械备份触发为辅，确保单一通道失效时仍可靠脱离</w:t>
            </w:r>
          </w:p>
        </w:tc>
      </w:tr>
      <w:tr w14:paraId="1BB95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125248E8">
            <w:pPr>
              <w:jc w:val="center"/>
              <w:rPr>
                <w:rFonts w:hint="eastAsia" w:ascii="Arial" w:hAnsi="Arial" w:cs="Arial"/>
              </w:rPr>
            </w:pPr>
            <w:r>
              <w:rPr>
                <w:rFonts w:hint="eastAsia" w:ascii="Arial" w:hAnsi="Arial" w:cs="Arial"/>
              </w:rPr>
              <w:t>4</w:t>
            </w:r>
          </w:p>
        </w:tc>
        <w:tc>
          <w:tcPr>
            <w:tcW w:w="2268" w:type="dxa"/>
            <w:vAlign w:val="center"/>
          </w:tcPr>
          <w:p w14:paraId="79C3AD8A">
            <w:pPr>
              <w:jc w:val="center"/>
              <w:rPr>
                <w:rFonts w:hint="eastAsia" w:ascii="Arial" w:hAnsi="Arial" w:cs="Arial"/>
              </w:rPr>
            </w:pPr>
            <w:r>
              <w:rPr>
                <w:rFonts w:hint="default" w:ascii="Arial" w:hAnsi="Arial" w:cs="Arial"/>
                <w:lang w:val="en-US" w:eastAsia="zh-CN"/>
              </w:rPr>
              <w:t>防误触安全设计</w:t>
            </w:r>
          </w:p>
        </w:tc>
        <w:tc>
          <w:tcPr>
            <w:tcW w:w="5494" w:type="dxa"/>
            <w:vAlign w:val="center"/>
          </w:tcPr>
          <w:p w14:paraId="62E58F5A">
            <w:pPr>
              <w:jc w:val="center"/>
              <w:rPr>
                <w:rFonts w:hint="eastAsia" w:ascii="Arial" w:hAnsi="Arial" w:cs="Arial"/>
              </w:rPr>
            </w:pPr>
            <w:r>
              <w:rPr>
                <w:rFonts w:hint="default" w:ascii="Arial" w:hAnsi="Arial" w:cs="Arial"/>
                <w:lang w:val="en-US" w:eastAsia="zh-CN"/>
              </w:rPr>
              <w:t>机械锁闭到位检测、电气互锁逻辑、遥控器组合按键/长按确认，防止意外脱钩</w:t>
            </w:r>
          </w:p>
        </w:tc>
      </w:tr>
      <w:tr w14:paraId="3CF91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2B9B6FCB">
            <w:pPr>
              <w:jc w:val="center"/>
              <w:rPr>
                <w:rFonts w:hint="eastAsia" w:ascii="Arial" w:hAnsi="Arial" w:cs="Arial"/>
                <w:lang w:val="en-US" w:eastAsia="zh-CN"/>
              </w:rPr>
            </w:pPr>
            <w:r>
              <w:rPr>
                <w:rFonts w:hint="eastAsia" w:ascii="Arial" w:hAnsi="Arial" w:cs="Arial"/>
                <w:lang w:val="en-US" w:eastAsia="zh-CN"/>
              </w:rPr>
              <w:t>5</w:t>
            </w:r>
          </w:p>
        </w:tc>
        <w:tc>
          <w:tcPr>
            <w:tcW w:w="2268" w:type="dxa"/>
            <w:vAlign w:val="center"/>
          </w:tcPr>
          <w:p w14:paraId="771AEABB">
            <w:pPr>
              <w:jc w:val="center"/>
              <w:rPr>
                <w:rFonts w:hint="eastAsia" w:ascii="Arial" w:hAnsi="Arial" w:cs="Arial"/>
              </w:rPr>
            </w:pPr>
            <w:r>
              <w:rPr>
                <w:rFonts w:hint="default" w:ascii="Arial" w:hAnsi="Arial" w:cs="Arial"/>
                <w:lang w:val="en-US" w:eastAsia="zh-CN"/>
              </w:rPr>
              <w:t>状态实时反馈</w:t>
            </w:r>
          </w:p>
        </w:tc>
        <w:tc>
          <w:tcPr>
            <w:tcW w:w="5494" w:type="dxa"/>
            <w:vAlign w:val="center"/>
          </w:tcPr>
          <w:p w14:paraId="7AEBAB2D">
            <w:pPr>
              <w:jc w:val="center"/>
              <w:rPr>
                <w:rFonts w:hint="eastAsia" w:ascii="Arial" w:hAnsi="Arial" w:cs="Arial"/>
              </w:rPr>
            </w:pPr>
            <w:r>
              <w:rPr>
                <w:rFonts w:hint="default" w:ascii="Arial" w:hAnsi="Arial" w:cs="Arial"/>
                <w:lang w:val="en-US" w:eastAsia="zh-CN"/>
              </w:rPr>
              <w:t>地面遥控终端实时显示挂钩锁闭/脱离状态、电池电量、信号强度等信息</w:t>
            </w:r>
          </w:p>
        </w:tc>
      </w:tr>
      <w:tr w14:paraId="7E5DD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0352CB58">
            <w:pPr>
              <w:jc w:val="center"/>
              <w:rPr>
                <w:rFonts w:hint="eastAsia" w:ascii="Arial" w:hAnsi="Arial" w:cs="Arial"/>
                <w:lang w:val="en-US" w:eastAsia="zh-CN"/>
              </w:rPr>
            </w:pPr>
            <w:r>
              <w:rPr>
                <w:rFonts w:hint="eastAsia" w:ascii="Arial" w:hAnsi="Arial" w:cs="Arial"/>
                <w:lang w:val="en-US" w:eastAsia="zh-CN"/>
              </w:rPr>
              <w:t>6</w:t>
            </w:r>
          </w:p>
        </w:tc>
        <w:tc>
          <w:tcPr>
            <w:tcW w:w="2268" w:type="dxa"/>
            <w:vAlign w:val="center"/>
          </w:tcPr>
          <w:p w14:paraId="062AC40A">
            <w:pPr>
              <w:jc w:val="center"/>
              <w:rPr>
                <w:rFonts w:hint="eastAsia" w:ascii="Arial" w:hAnsi="Arial" w:cs="Arial"/>
              </w:rPr>
            </w:pPr>
            <w:r>
              <w:rPr>
                <w:rFonts w:hint="default" w:ascii="Arial" w:hAnsi="Arial" w:cs="Arial"/>
                <w:lang w:val="en-US" w:eastAsia="zh-CN"/>
              </w:rPr>
              <w:t>无线遥控通信</w:t>
            </w:r>
          </w:p>
        </w:tc>
        <w:tc>
          <w:tcPr>
            <w:tcW w:w="5494" w:type="dxa"/>
            <w:vAlign w:val="center"/>
          </w:tcPr>
          <w:p w14:paraId="05A88819">
            <w:pPr>
              <w:jc w:val="center"/>
              <w:rPr>
                <w:rFonts w:hint="eastAsia" w:ascii="Arial" w:hAnsi="Arial" w:cs="Arial"/>
              </w:rPr>
            </w:pPr>
            <w:r>
              <w:rPr>
                <w:rFonts w:hint="default" w:ascii="Arial" w:hAnsi="Arial" w:cs="Arial"/>
                <w:lang w:val="en-US" w:eastAsia="zh-CN"/>
              </w:rPr>
              <w:t>2.4GHz/433MHz独立遥控信道，抗干扰能力强，空旷通信距离≥2000m，具备CRC校验与心跳检测</w:t>
            </w:r>
          </w:p>
        </w:tc>
      </w:tr>
      <w:tr w14:paraId="6AB23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7DB9BFA4">
            <w:pPr>
              <w:jc w:val="center"/>
              <w:rPr>
                <w:rFonts w:hint="eastAsia" w:ascii="Arial" w:hAnsi="Arial" w:cs="Arial"/>
                <w:lang w:val="en-US" w:eastAsia="zh-CN"/>
              </w:rPr>
            </w:pPr>
            <w:r>
              <w:rPr>
                <w:rFonts w:hint="eastAsia" w:ascii="Arial" w:hAnsi="Arial" w:cs="Arial"/>
                <w:lang w:val="en-US" w:eastAsia="zh-CN"/>
              </w:rPr>
              <w:t>7</w:t>
            </w:r>
          </w:p>
        </w:tc>
        <w:tc>
          <w:tcPr>
            <w:tcW w:w="2268" w:type="dxa"/>
            <w:vAlign w:val="center"/>
          </w:tcPr>
          <w:p w14:paraId="6ABE2A00">
            <w:pPr>
              <w:jc w:val="center"/>
              <w:rPr>
                <w:rFonts w:hint="eastAsia" w:ascii="Arial" w:hAnsi="Arial" w:cs="Arial"/>
              </w:rPr>
            </w:pPr>
            <w:r>
              <w:rPr>
                <w:rFonts w:hint="default" w:ascii="Arial" w:hAnsi="Arial" w:cs="Arial"/>
                <w:lang w:val="en-US" w:eastAsia="zh-CN"/>
              </w:rPr>
              <w:t>轻量化集成</w:t>
            </w:r>
          </w:p>
        </w:tc>
        <w:tc>
          <w:tcPr>
            <w:tcW w:w="5494" w:type="dxa"/>
            <w:vAlign w:val="center"/>
          </w:tcPr>
          <w:p w14:paraId="2AC99550">
            <w:pPr>
              <w:jc w:val="center"/>
              <w:rPr>
                <w:rFonts w:hint="eastAsia" w:ascii="Arial" w:hAnsi="Arial" w:cs="Arial"/>
              </w:rPr>
            </w:pPr>
            <w:r>
              <w:rPr>
                <w:rFonts w:hint="default" w:ascii="Arial" w:hAnsi="Arial" w:cs="Arial"/>
                <w:lang w:val="en-US" w:eastAsia="zh-CN"/>
              </w:rPr>
              <w:t>整机重量</w:t>
            </w:r>
            <w:r>
              <w:rPr>
                <w:rFonts w:hint="eastAsia" w:ascii="Arial" w:hAnsi="Arial" w:cs="Arial"/>
                <w:lang w:val="en-US" w:eastAsia="zh-CN"/>
              </w:rPr>
              <w:t>小</w:t>
            </w:r>
            <w:r>
              <w:rPr>
                <w:rFonts w:hint="default" w:ascii="Arial" w:hAnsi="Arial" w:cs="Arial"/>
                <w:lang w:val="en-US" w:eastAsia="zh-CN"/>
              </w:rPr>
              <w:t>，内置电源或支持无人机供电，高度集成设计，最小化对无人机载荷与续航的影响</w:t>
            </w:r>
          </w:p>
        </w:tc>
      </w:tr>
      <w:tr w14:paraId="017D7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2C965743">
            <w:pPr>
              <w:jc w:val="center"/>
              <w:rPr>
                <w:rFonts w:hint="default" w:ascii="Arial" w:hAnsi="Arial" w:cs="Arial"/>
                <w:lang w:val="en-US" w:eastAsia="zh-CN"/>
              </w:rPr>
            </w:pPr>
            <w:r>
              <w:rPr>
                <w:rFonts w:hint="eastAsia" w:ascii="Arial" w:hAnsi="Arial" w:cs="Arial"/>
                <w:lang w:val="en-US" w:eastAsia="zh-CN"/>
              </w:rPr>
              <w:t>8</w:t>
            </w:r>
          </w:p>
        </w:tc>
        <w:tc>
          <w:tcPr>
            <w:tcW w:w="2268" w:type="dxa"/>
            <w:vAlign w:val="center"/>
          </w:tcPr>
          <w:p w14:paraId="4D42A8AC">
            <w:pPr>
              <w:jc w:val="center"/>
              <w:rPr>
                <w:rFonts w:hint="eastAsia" w:ascii="Arial" w:hAnsi="Arial" w:cs="Arial"/>
              </w:rPr>
            </w:pPr>
            <w:r>
              <w:rPr>
                <w:rFonts w:hint="default" w:ascii="Arial" w:hAnsi="Arial" w:cs="Arial"/>
                <w:lang w:val="en-US" w:eastAsia="zh-CN"/>
              </w:rPr>
              <w:t>环境适应性</w:t>
            </w:r>
          </w:p>
        </w:tc>
        <w:tc>
          <w:tcPr>
            <w:tcW w:w="5494" w:type="dxa"/>
            <w:vAlign w:val="center"/>
          </w:tcPr>
          <w:p w14:paraId="25F3521B">
            <w:pPr>
              <w:jc w:val="center"/>
              <w:rPr>
                <w:rFonts w:hint="eastAsia" w:ascii="Arial" w:hAnsi="Arial" w:cs="Arial"/>
              </w:rPr>
            </w:pPr>
            <w:r>
              <w:rPr>
                <w:rFonts w:hint="default" w:ascii="Arial" w:hAnsi="Arial" w:cs="Arial"/>
                <w:lang w:val="en-US" w:eastAsia="zh-CN"/>
              </w:rPr>
              <w:t>IP54防护等级，-20℃~+</w:t>
            </w:r>
            <w:bookmarkStart w:id="37" w:name="_GoBack"/>
            <w:bookmarkEnd w:id="37"/>
            <w:r>
              <w:rPr>
                <w:rFonts w:hint="default" w:ascii="Arial" w:hAnsi="Arial" w:cs="Arial"/>
                <w:lang w:val="en-US" w:eastAsia="zh-CN"/>
              </w:rPr>
              <w:t>60℃宽温工作范围，适应输电线路野外复杂作业环境</w:t>
            </w:r>
          </w:p>
        </w:tc>
      </w:tr>
    </w:tbl>
    <w:p w14:paraId="2F944F71">
      <w:pPr>
        <w:rPr>
          <w:rFonts w:hint="eastAsia" w:ascii="宋体" w:hAnsi="宋体" w:cs="宋体"/>
          <w:sz w:val="24"/>
        </w:rPr>
      </w:pPr>
      <w:r>
        <w:rPr>
          <w:rFonts w:hint="eastAsia" w:ascii="宋体" w:hAnsi="宋体" w:cs="宋体"/>
          <w:sz w:val="24"/>
          <w:lang w:eastAsia="zh-CN"/>
        </w:rPr>
        <w:t>4.1</w:t>
      </w:r>
      <w:r>
        <w:rPr>
          <w:rFonts w:hint="eastAsia" w:ascii="宋体" w:hAnsi="宋体" w:cs="宋体"/>
          <w:sz w:val="24"/>
        </w:rPr>
        <w:t>.2.4实施要求</w:t>
      </w:r>
    </w:p>
    <w:p w14:paraId="67B869C1">
      <w:pPr>
        <w:ind w:left="720" w:hanging="720" w:hangingChars="300"/>
        <w:rPr>
          <w:rFonts w:hint="eastAsia" w:ascii="宋体" w:hAnsi="宋体" w:cs="宋体"/>
          <w:sz w:val="24"/>
        </w:rPr>
      </w:pPr>
      <w:r>
        <w:rPr>
          <w:rFonts w:hint="eastAsia" w:ascii="宋体" w:hAnsi="宋体" w:cs="宋体"/>
          <w:sz w:val="24"/>
        </w:rPr>
        <w:t>（1）提供完整的装置设计方案、原理图、结构图纸及说明文档、样机测试报告等</w:t>
      </w:r>
      <w:r>
        <w:rPr>
          <w:rFonts w:ascii="宋体" w:hAnsi="宋体" w:cs="宋体"/>
          <w:sz w:val="24"/>
        </w:rPr>
        <w:t>。</w:t>
      </w:r>
    </w:p>
    <w:p w14:paraId="28BE0ACC">
      <w:pPr>
        <w:rPr>
          <w:rFonts w:hint="eastAsia" w:ascii="宋体" w:hAnsi="宋体" w:cs="宋体"/>
          <w:sz w:val="24"/>
        </w:rPr>
      </w:pPr>
      <w:r>
        <w:rPr>
          <w:rFonts w:hint="eastAsia" w:ascii="宋体" w:hAnsi="宋体" w:cs="宋体"/>
          <w:sz w:val="24"/>
        </w:rPr>
        <w:t>（2）系统需在合同签订后6个月内完成样机试制与调试。</w:t>
      </w:r>
    </w:p>
    <w:p w14:paraId="1DB10D5A">
      <w:pPr>
        <w:pStyle w:val="4"/>
        <w:ind w:firstLine="0" w:firstLineChars="0"/>
        <w:rPr>
          <w:rFonts w:hint="eastAsia" w:ascii="宋体" w:hAnsi="宋体" w:eastAsia="宋体" w:cs="宋体"/>
          <w:sz w:val="24"/>
          <w:szCs w:val="24"/>
        </w:rPr>
      </w:pPr>
      <w:r>
        <w:rPr>
          <w:rFonts w:hint="eastAsia" w:ascii="宋体" w:hAnsi="宋体" w:eastAsia="宋体" w:cs="宋体"/>
          <w:sz w:val="24"/>
          <w:szCs w:val="24"/>
        </w:rPr>
        <w:t>（3）投标方需提前确认主流无人机（M300、FC30、FC100等）的机身结构参数、挂载接口规格、供电参数等，明确安装接口设计与硬件选型要求</w:t>
      </w:r>
      <w:r>
        <w:rPr>
          <w:rFonts w:ascii="宋体" w:hAnsi="宋体" w:eastAsia="宋体" w:cs="宋体"/>
          <w:sz w:val="24"/>
          <w:szCs w:val="24"/>
        </w:rPr>
        <w:t>。</w:t>
      </w:r>
    </w:p>
    <w:p w14:paraId="2C59F5FC">
      <w:pPr>
        <w:pStyle w:val="8"/>
        <w:rPr>
          <w:rFonts w:hint="eastAsia" w:ascii="宋体" w:hAnsi="宋体" w:cs="宋体"/>
          <w:sz w:val="24"/>
        </w:rPr>
      </w:pPr>
      <w:r>
        <w:rPr>
          <w:rFonts w:hint="eastAsia" w:ascii="宋体" w:hAnsi="宋体" w:cs="宋体"/>
          <w:sz w:val="24"/>
          <w:lang w:eastAsia="zh-CN"/>
        </w:rPr>
        <w:t>4.1</w:t>
      </w:r>
      <w:r>
        <w:rPr>
          <w:rFonts w:hint="eastAsia" w:ascii="宋体" w:hAnsi="宋体" w:cs="宋体"/>
          <w:sz w:val="24"/>
        </w:rPr>
        <w:t>.2.5技术服务要求</w:t>
      </w:r>
    </w:p>
    <w:p w14:paraId="123E988B">
      <w:pPr>
        <w:ind w:firstLine="480" w:firstLineChars="200"/>
        <w:rPr>
          <w:rFonts w:hint="eastAsia" w:ascii="宋体" w:hAnsi="宋体" w:cs="宋体"/>
          <w:sz w:val="24"/>
        </w:rPr>
      </w:pPr>
      <w:r>
        <w:rPr>
          <w:rFonts w:hint="eastAsia" w:ascii="宋体" w:hAnsi="宋体" w:cs="宋体"/>
          <w:sz w:val="24"/>
        </w:rPr>
        <w:t>提供全方位、优质、高效的质量保证体系，以及技术支持和售后服务。投标方应充分考虑技术支持与售后服务，提供详细的售后服务计划，服务内容、服务方式及响应时间。要求如下：</w:t>
      </w:r>
    </w:p>
    <w:p w14:paraId="066ED7BA">
      <w:pPr>
        <w:rPr>
          <w:rFonts w:hint="eastAsia" w:ascii="宋体" w:hAnsi="宋体" w:cs="宋体"/>
          <w:sz w:val="24"/>
        </w:rPr>
      </w:pPr>
      <w:r>
        <w:rPr>
          <w:rFonts w:hint="eastAsia" w:ascii="宋体" w:hAnsi="宋体" w:cs="宋体"/>
          <w:sz w:val="24"/>
        </w:rPr>
        <w:t>（1）验收合格后提供1年免费维护。</w:t>
      </w:r>
    </w:p>
    <w:p w14:paraId="6556BC21">
      <w:pPr>
        <w:rPr>
          <w:rFonts w:hint="eastAsia" w:ascii="宋体" w:hAnsi="宋体" w:cs="宋体"/>
          <w:sz w:val="24"/>
        </w:rPr>
      </w:pPr>
      <w:r>
        <w:rPr>
          <w:rFonts w:hint="eastAsia" w:ascii="宋体" w:hAnsi="宋体" w:cs="宋体"/>
          <w:sz w:val="24"/>
        </w:rPr>
        <w:t>（2）中标方在故障发生2小时响应处置。</w:t>
      </w:r>
    </w:p>
    <w:p w14:paraId="4B7C3BB8">
      <w:pPr>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3</w:t>
      </w:r>
      <w:r>
        <w:rPr>
          <w:rFonts w:hint="eastAsia" w:ascii="宋体" w:hAnsi="宋体" w:cs="宋体"/>
          <w:sz w:val="24"/>
          <w:lang w:eastAsia="zh-CN"/>
        </w:rPr>
        <w:t>）</w:t>
      </w:r>
      <w:r>
        <w:rPr>
          <w:rFonts w:hint="eastAsia" w:ascii="宋体" w:hAnsi="宋体" w:cs="宋体"/>
          <w:sz w:val="24"/>
        </w:rPr>
        <w:t>提供充分的人员培训。</w:t>
      </w:r>
    </w:p>
    <w:p w14:paraId="780BD3BD">
      <w:pPr>
        <w:pStyle w:val="8"/>
        <w:rPr>
          <w:rFonts w:hint="eastAsia" w:ascii="宋体" w:hAnsi="宋体" w:cs="宋体"/>
          <w:sz w:val="24"/>
        </w:rPr>
      </w:pPr>
      <w:r>
        <w:rPr>
          <w:rFonts w:hint="eastAsia" w:ascii="宋体" w:hAnsi="宋体" w:cs="宋体"/>
          <w:sz w:val="24"/>
          <w:lang w:eastAsia="zh-CN"/>
        </w:rPr>
        <w:t>4.1</w:t>
      </w:r>
      <w:r>
        <w:rPr>
          <w:rFonts w:hint="eastAsia" w:ascii="宋体" w:hAnsi="宋体" w:cs="宋体"/>
          <w:sz w:val="24"/>
        </w:rPr>
        <w:t>.2.6系统交付项</w:t>
      </w:r>
    </w:p>
    <w:p w14:paraId="78C6E7F4">
      <w:pPr>
        <w:ind w:firstLine="480" w:firstLineChars="200"/>
        <w:rPr>
          <w:rFonts w:hint="eastAsia" w:ascii="宋体" w:hAnsi="宋体" w:cs="宋体"/>
          <w:sz w:val="24"/>
        </w:rPr>
      </w:pPr>
      <w:r>
        <w:rPr>
          <w:rFonts w:hint="eastAsia" w:ascii="宋体" w:hAnsi="宋体" w:cs="宋体"/>
          <w:sz w:val="24"/>
        </w:rPr>
        <w:t>投标方应在合同规定时间内，向招标方提供相应资料，包括：</w:t>
      </w:r>
    </w:p>
    <w:p w14:paraId="59AD0899">
      <w:pPr>
        <w:rPr>
          <w:rFonts w:hint="eastAsia" w:ascii="宋体" w:hAnsi="宋体" w:cs="宋体"/>
          <w:color w:val="000000"/>
          <w:sz w:val="24"/>
          <w:lang w:val="en-US" w:eastAsia="zh-CN"/>
        </w:rPr>
      </w:pPr>
      <w:r>
        <w:rPr>
          <w:rFonts w:hint="eastAsia" w:ascii="宋体" w:hAnsi="宋体" w:cs="宋体"/>
          <w:color w:val="000000"/>
          <w:sz w:val="24"/>
        </w:rPr>
        <w:t>（</w:t>
      </w:r>
      <w:r>
        <w:rPr>
          <w:rFonts w:hint="eastAsia" w:ascii="宋体" w:hAnsi="宋体" w:cs="宋体"/>
          <w:color w:val="000000"/>
          <w:sz w:val="24"/>
          <w:lang w:val="en-US" w:eastAsia="zh-CN"/>
        </w:rPr>
        <w:t>1</w:t>
      </w:r>
      <w:r>
        <w:rPr>
          <w:rFonts w:hint="eastAsia" w:ascii="宋体" w:hAnsi="宋体" w:cs="宋体"/>
          <w:color w:val="000000"/>
          <w:sz w:val="24"/>
        </w:rPr>
        <w:t>）</w:t>
      </w:r>
      <w:r>
        <w:rPr>
          <w:rFonts w:hint="eastAsia" w:ascii="宋体" w:hAnsi="宋体" w:cs="宋体"/>
          <w:color w:val="000000"/>
          <w:sz w:val="24"/>
          <w:lang w:val="en-US" w:eastAsia="zh-CN"/>
        </w:rPr>
        <w:t>便携式智能绝缘绳索运维保障装置样机1套（含所有硬件模块及配套软件）；</w:t>
      </w:r>
    </w:p>
    <w:p w14:paraId="2C26C12C">
      <w:pPr>
        <w:rPr>
          <w:rFonts w:hint="eastAsia" w:ascii="宋体" w:hAnsi="宋体" w:cs="宋体"/>
          <w:color w:val="000000"/>
          <w:sz w:val="24"/>
          <w:lang w:val="en-US" w:eastAsia="zh-CN"/>
        </w:rPr>
      </w:pPr>
      <w:r>
        <w:rPr>
          <w:rFonts w:hint="eastAsia" w:ascii="宋体" w:hAnsi="宋体" w:cs="宋体"/>
          <w:color w:val="000000"/>
          <w:sz w:val="24"/>
          <w:lang w:val="en-US" w:eastAsia="zh-CN"/>
        </w:rPr>
        <w:t>（2）装置设计图纸、电气原理图、结构装配图等全套技术资料；</w:t>
      </w:r>
    </w:p>
    <w:p w14:paraId="7290FFA1">
      <w:pPr>
        <w:rPr>
          <w:rFonts w:hint="eastAsia" w:ascii="宋体" w:hAnsi="宋体" w:cs="宋体"/>
          <w:color w:val="000000"/>
          <w:sz w:val="24"/>
          <w:lang w:val="en-US" w:eastAsia="zh-CN"/>
        </w:rPr>
      </w:pPr>
      <w:r>
        <w:rPr>
          <w:rFonts w:hint="eastAsia" w:ascii="宋体" w:hAnsi="宋体" w:cs="宋体"/>
          <w:color w:val="000000"/>
          <w:sz w:val="24"/>
          <w:lang w:val="en-US" w:eastAsia="zh-CN"/>
        </w:rPr>
        <w:t>（3）用户操作手册、维护保养手册；</w:t>
      </w:r>
    </w:p>
    <w:p w14:paraId="23A2C7F3">
      <w:pPr>
        <w:rPr>
          <w:rFonts w:hint="eastAsia" w:ascii="宋体" w:hAnsi="宋体" w:cs="宋体"/>
          <w:color w:val="000000"/>
          <w:sz w:val="24"/>
          <w:lang w:val="en-US" w:eastAsia="zh-CN"/>
        </w:rPr>
      </w:pPr>
      <w:r>
        <w:rPr>
          <w:rFonts w:hint="eastAsia" w:ascii="宋体" w:hAnsi="宋体" w:cs="宋体"/>
          <w:color w:val="000000"/>
          <w:sz w:val="24"/>
          <w:lang w:val="en-US" w:eastAsia="zh-CN"/>
        </w:rPr>
        <w:t>（4）项目总结报告。</w:t>
      </w:r>
    </w:p>
    <w:p w14:paraId="5E2FC454">
      <w:pPr>
        <w:rPr>
          <w:rFonts w:hint="eastAsia"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2</w:t>
      </w:r>
      <w:r>
        <w:rPr>
          <w:rFonts w:hint="eastAsia" w:ascii="宋体" w:hAnsi="宋体" w:cs="宋体"/>
          <w:color w:val="000000"/>
          <w:sz w:val="24"/>
        </w:rPr>
        <w:t xml:space="preserve"> 项目组织。投标方需成立项目组，具备良好的专业背景和经验。在与招标方协商的基础上确定，确保人员稳定。更换项目组成员的替代人选及更换时机需经双方协商认可，并保证工作的连续性和工作质量。</w:t>
      </w:r>
    </w:p>
    <w:bookmarkEnd w:id="11"/>
    <w:bookmarkEnd w:id="12"/>
    <w:bookmarkEnd w:id="13"/>
    <w:bookmarkEnd w:id="14"/>
    <w:bookmarkEnd w:id="15"/>
    <w:bookmarkEnd w:id="16"/>
    <w:bookmarkEnd w:id="17"/>
    <w:bookmarkEnd w:id="18"/>
    <w:bookmarkEnd w:id="19"/>
    <w:bookmarkEnd w:id="20"/>
    <w:bookmarkEnd w:id="21"/>
    <w:p w14:paraId="698BA6D3">
      <w:pPr>
        <w:rPr>
          <w:rFonts w:hint="eastAsia" w:ascii="宋体" w:hAnsi="宋体" w:cs="宋体"/>
          <w:sz w:val="24"/>
        </w:rPr>
      </w:pPr>
      <w:bookmarkStart w:id="28"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28"/>
      <w:bookmarkStart w:id="29" w:name="_Toc441483969"/>
      <w:bookmarkStart w:id="30" w:name="_Toc309593209"/>
      <w:bookmarkStart w:id="31" w:name="_Toc309593280"/>
      <w:bookmarkStart w:id="32" w:name="_Toc531004215"/>
      <w:bookmarkStart w:id="33" w:name="_Toc309805604"/>
      <w:bookmarkStart w:id="34" w:name="_Toc531004269"/>
      <w:bookmarkStart w:id="35" w:name="_Toc312827040"/>
      <w:bookmarkStart w:id="36" w:name="_Toc18633"/>
      <w:r>
        <w:rPr>
          <w:rFonts w:hint="eastAsia" w:ascii="宋体" w:hAnsi="宋体" w:cs="宋体"/>
          <w:sz w:val="24"/>
        </w:rPr>
        <w:t>通过项目实施，形成符合超高压输电公司实际需求的装置样机及配套成果。投标方提供的图纸、资料、文件应使用国家法定单位制即国际单位制，语言为中文。资料的组织结构清晰、逻辑性强。资料内容要正确、准确、一致、清晰、完整。</w:t>
      </w:r>
    </w:p>
    <w:p w14:paraId="2D8BE477">
      <w:pPr>
        <w:pStyle w:val="6"/>
        <w:rPr>
          <w:rFonts w:hint="eastAsia"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ascii="Times New Roman" w:hAnsi="Times New Roman"/>
          <w:sz w:val="24"/>
          <w:szCs w:val="24"/>
        </w:rPr>
        <w:t>技术服务其它要求。</w:t>
      </w:r>
      <w:r>
        <w:rPr>
          <w:rFonts w:hint="eastAsia" w:hAnsi="宋体"/>
          <w:sz w:val="24"/>
        </w:rPr>
        <w:t>除上述工作量范围以外，投标方负责组织项目评审会议、中期评审、项目相关协调会或研讨会，并负责会务及会议费用。</w:t>
      </w:r>
    </w:p>
    <w:p w14:paraId="6AC86DB6">
      <w:pPr>
        <w:autoSpaceDN w:val="0"/>
        <w:rPr>
          <w:rFonts w:hint="eastAsia"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14:paraId="2625E012">
      <w:pPr>
        <w:pStyle w:val="6"/>
        <w:rPr>
          <w:rFonts w:hint="eastAsia"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14:paraId="1611DD3F">
      <w:pPr>
        <w:pStyle w:val="6"/>
        <w:ind w:left="465"/>
        <w:rPr>
          <w:rFonts w:hint="eastAsia" w:hAnsi="宋体"/>
          <w:sz w:val="24"/>
        </w:rPr>
      </w:pPr>
      <w:r>
        <w:rPr>
          <w:rFonts w:hint="eastAsia" w:ascii="Times New Roman" w:hAnsi="Times New Roman"/>
          <w:sz w:val="24"/>
        </w:rPr>
        <w:t>（1）沟通项目所需资料的收集</w:t>
      </w:r>
      <w:r>
        <w:rPr>
          <w:rFonts w:hint="eastAsia" w:hAnsi="宋体"/>
          <w:sz w:val="24"/>
        </w:rPr>
        <w:t>。</w:t>
      </w:r>
    </w:p>
    <w:p w14:paraId="46617109">
      <w:pPr>
        <w:pStyle w:val="6"/>
        <w:ind w:firstLine="480" w:firstLineChars="200"/>
        <w:rPr>
          <w:rFonts w:hint="eastAsia" w:hAnsi="宋体"/>
          <w:sz w:val="24"/>
        </w:rPr>
      </w:pPr>
      <w:r>
        <w:rPr>
          <w:rFonts w:hint="eastAsia" w:ascii="Times New Roman" w:hAnsi="Times New Roman"/>
          <w:sz w:val="24"/>
        </w:rPr>
        <w:t>（2）沟通项目进度信息。</w:t>
      </w:r>
    </w:p>
    <w:p w14:paraId="233A341F">
      <w:pPr>
        <w:pStyle w:val="6"/>
        <w:ind w:left="465"/>
        <w:rPr>
          <w:rFonts w:hint="eastAsia" w:hAnsi="宋体"/>
          <w:sz w:val="24"/>
        </w:rPr>
      </w:pPr>
      <w:r>
        <w:rPr>
          <w:rFonts w:hint="eastAsia" w:ascii="Times New Roman" w:hAnsi="Times New Roman"/>
          <w:sz w:val="24"/>
        </w:rPr>
        <w:t>（3）协商解决项目执行过程中遇到的问题。</w:t>
      </w:r>
    </w:p>
    <w:p w14:paraId="0AEE588A">
      <w:pPr>
        <w:pStyle w:val="6"/>
        <w:ind w:firstLine="480" w:firstLineChars="200"/>
        <w:rPr>
          <w:rFonts w:hint="eastAsia"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14:paraId="74C76059">
      <w:pPr>
        <w:pStyle w:val="6"/>
        <w:rPr>
          <w:rFonts w:hint="eastAsia"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14:paraId="1FC83BB5">
      <w:pPr>
        <w:pStyle w:val="6"/>
        <w:ind w:firstLine="240"/>
        <w:rPr>
          <w:rFonts w:hint="eastAsia" w:hAnsi="宋体"/>
          <w:sz w:val="24"/>
        </w:rPr>
      </w:pPr>
      <w:r>
        <w:rPr>
          <w:rFonts w:hAnsi="宋体"/>
          <w:sz w:val="24"/>
        </w:rPr>
        <w:t xml:space="preserve">    </w:t>
      </w:r>
      <w:r>
        <w:rPr>
          <w:rFonts w:hint="eastAsia" w:hAnsi="宋体"/>
          <w:sz w:val="24"/>
        </w:rPr>
        <w:t>招标方</w:t>
      </w:r>
      <w:r>
        <w:rPr>
          <w:rFonts w:hAnsi="宋体"/>
          <w:sz w:val="24"/>
        </w:rPr>
        <w:t>：</w:t>
      </w:r>
    </w:p>
    <w:p w14:paraId="5FA74E84">
      <w:pPr>
        <w:pStyle w:val="6"/>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307C0DE6">
      <w:pPr>
        <w:pStyle w:val="6"/>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222DF245">
      <w:pPr>
        <w:pStyle w:val="6"/>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57B40001">
      <w:pPr>
        <w:pStyle w:val="6"/>
        <w:ind w:firstLine="720" w:firstLineChars="300"/>
        <w:rPr>
          <w:rFonts w:hint="eastAsia"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14:paraId="2F711662">
      <w:pPr>
        <w:pStyle w:val="6"/>
        <w:ind w:firstLine="240"/>
        <w:rPr>
          <w:rFonts w:hint="eastAsia" w:hAnsi="宋体"/>
          <w:sz w:val="24"/>
        </w:rPr>
      </w:pPr>
      <w:r>
        <w:rPr>
          <w:rFonts w:hAnsi="宋体"/>
          <w:sz w:val="24"/>
        </w:rPr>
        <w:t xml:space="preserve">    </w:t>
      </w:r>
      <w:r>
        <w:rPr>
          <w:rFonts w:hint="eastAsia" w:hAnsi="宋体"/>
          <w:sz w:val="24"/>
        </w:rPr>
        <w:t>投标方</w:t>
      </w:r>
      <w:r>
        <w:rPr>
          <w:rFonts w:hAnsi="宋体"/>
          <w:sz w:val="24"/>
        </w:rPr>
        <w:t xml:space="preserve">：  </w:t>
      </w:r>
    </w:p>
    <w:p w14:paraId="20747649">
      <w:pPr>
        <w:pStyle w:val="6"/>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2EEA8957">
      <w:pPr>
        <w:pStyle w:val="6"/>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76A398A2">
      <w:pPr>
        <w:pStyle w:val="6"/>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7D236A5F">
      <w:pPr>
        <w:pStyle w:val="6"/>
        <w:ind w:firstLine="720" w:firstLineChars="300"/>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14:paraId="52B4B187">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5.项目验收</w:t>
      </w:r>
      <w:bookmarkEnd w:id="29"/>
      <w:bookmarkEnd w:id="30"/>
      <w:bookmarkEnd w:id="31"/>
      <w:bookmarkEnd w:id="32"/>
      <w:bookmarkEnd w:id="33"/>
      <w:bookmarkEnd w:id="34"/>
      <w:bookmarkEnd w:id="35"/>
    </w:p>
    <w:p w14:paraId="790B5AFC">
      <w:pPr>
        <w:rPr>
          <w:rFonts w:hint="eastAsia" w:ascii="宋体" w:hAnsi="宋体" w:cs="宋体"/>
          <w:sz w:val="24"/>
        </w:rPr>
      </w:pPr>
      <w:r>
        <w:rPr>
          <w:rFonts w:hint="eastAsia" w:ascii="宋体" w:hAnsi="宋体" w:cs="宋体"/>
          <w:sz w:val="24"/>
        </w:rPr>
        <w:t>5.1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14:paraId="43AE78AC">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6 其他要求</w:t>
      </w:r>
      <w:bookmarkEnd w:id="36"/>
    </w:p>
    <w:p w14:paraId="17583388">
      <w:pPr>
        <w:rPr>
          <w:rFonts w:hint="eastAsia" w:ascii="宋体" w:hAnsi="宋体" w:cs="宋体"/>
          <w:sz w:val="24"/>
        </w:rPr>
      </w:pPr>
      <w:r>
        <w:rPr>
          <w:rFonts w:hint="eastAsia" w:ascii="宋体" w:hAnsi="宋体" w:cs="宋体"/>
          <w:sz w:val="24"/>
        </w:rPr>
        <w:t>6.1 进度控制以投标方向招标方提交的报告为考核依据，按期执行、推进相应工作，保障任务最终完成的时间节点。</w:t>
      </w:r>
    </w:p>
    <w:p w14:paraId="2DBDA21A">
      <w:pPr>
        <w:rPr>
          <w:rFonts w:hint="eastAsia" w:ascii="宋体" w:hAnsi="宋体" w:cs="宋体"/>
          <w:sz w:val="24"/>
        </w:rPr>
      </w:pPr>
      <w:r>
        <w:rPr>
          <w:rFonts w:hint="eastAsia" w:ascii="宋体" w:hAnsi="宋体" w:cs="宋体"/>
          <w:sz w:val="24"/>
        </w:rPr>
        <w:t>6.2 招标方有义务协助投标方开展相关沟通协调工作，但投标方须按照本技术规范书第二部分服务范围及要求的时间节点，完成各项工作。</w:t>
      </w:r>
    </w:p>
    <w:p w14:paraId="5F00940A">
      <w:pPr>
        <w:rPr>
          <w:rFonts w:hint="eastAsia" w:ascii="宋体" w:hAnsi="宋体" w:cs="宋体"/>
          <w:sz w:val="24"/>
        </w:rPr>
      </w:pPr>
      <w:r>
        <w:rPr>
          <w:rFonts w:hint="eastAsia" w:ascii="宋体" w:hAnsi="宋体" w:cs="宋体"/>
          <w:sz w:val="24"/>
        </w:rPr>
        <w:t>6.3 投标方应按照工作计划，明晰组织结构，明确责任人，成立专业团队，加紧开展工作。</w:t>
      </w:r>
    </w:p>
    <w:p w14:paraId="343C203F">
      <w:pPr>
        <w:rPr>
          <w:rFonts w:hint="eastAsia" w:ascii="宋体" w:hAnsi="宋体" w:cs="宋体"/>
          <w:sz w:val="24"/>
        </w:rPr>
      </w:pPr>
      <w:r>
        <w:rPr>
          <w:rFonts w:hint="eastAsia" w:ascii="宋体" w:hAnsi="宋体" w:cs="宋体"/>
          <w:sz w:val="24"/>
        </w:rPr>
        <w:t>6.4 工作过程中出现报告质量与完整性不足的情况，投标方应负责辅导更正。</w:t>
      </w:r>
    </w:p>
    <w:p w14:paraId="27D4C844">
      <w:pPr>
        <w:rPr>
          <w:rFonts w:hint="eastAsia" w:ascii="宋体" w:hAnsi="宋体" w:cs="宋体"/>
          <w:sz w:val="24"/>
        </w:rPr>
      </w:pPr>
      <w:r>
        <w:rPr>
          <w:rFonts w:hint="eastAsia" w:ascii="宋体" w:hAnsi="宋体" w:cs="宋体"/>
          <w:sz w:val="24"/>
        </w:rPr>
        <w:t>6.5 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PingFang-SC-Regular">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KSOF7FC4CF2A">
    <w:panose1 w:val="020B0604020202020204"/>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89C16B"/>
    <w:multiLevelType w:val="singleLevel"/>
    <w:tmpl w:val="CF89C16B"/>
    <w:lvl w:ilvl="0" w:tentative="0">
      <w:start w:val="1"/>
      <w:numFmt w:val="decimal"/>
      <w:suff w:val="nothing"/>
      <w:lvlText w:val="（%1）"/>
      <w:lvlJc w:val="left"/>
    </w:lvl>
  </w:abstractNum>
  <w:abstractNum w:abstractNumId="1">
    <w:nsid w:val="00000010"/>
    <w:multiLevelType w:val="multilevel"/>
    <w:tmpl w:val="00000010"/>
    <w:lvl w:ilvl="0" w:tentative="0">
      <w:start w:val="1"/>
      <w:numFmt w:val="decimal"/>
      <w:pStyle w:val="2"/>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abstractNum w:abstractNumId="2">
    <w:nsid w:val="762FFCCC"/>
    <w:multiLevelType w:val="singleLevel"/>
    <w:tmpl w:val="762FFCCC"/>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B5C76"/>
    <w:rsid w:val="00134895"/>
    <w:rsid w:val="00180D33"/>
    <w:rsid w:val="00291379"/>
    <w:rsid w:val="003A4DD8"/>
    <w:rsid w:val="004A72AF"/>
    <w:rsid w:val="00531528"/>
    <w:rsid w:val="00533971"/>
    <w:rsid w:val="00583545"/>
    <w:rsid w:val="0058678F"/>
    <w:rsid w:val="005C42BD"/>
    <w:rsid w:val="006D6C23"/>
    <w:rsid w:val="006F59F4"/>
    <w:rsid w:val="007318D0"/>
    <w:rsid w:val="00746122"/>
    <w:rsid w:val="007C6002"/>
    <w:rsid w:val="0081520A"/>
    <w:rsid w:val="00825484"/>
    <w:rsid w:val="009648F6"/>
    <w:rsid w:val="00975AE9"/>
    <w:rsid w:val="009D048B"/>
    <w:rsid w:val="00A5073F"/>
    <w:rsid w:val="00A9312B"/>
    <w:rsid w:val="00AA6538"/>
    <w:rsid w:val="00AA7138"/>
    <w:rsid w:val="00AE4439"/>
    <w:rsid w:val="00B5473C"/>
    <w:rsid w:val="00B548A2"/>
    <w:rsid w:val="00C50F57"/>
    <w:rsid w:val="00CA3628"/>
    <w:rsid w:val="00CC1C57"/>
    <w:rsid w:val="00D235DA"/>
    <w:rsid w:val="00D620BA"/>
    <w:rsid w:val="00D70460"/>
    <w:rsid w:val="00DD609C"/>
    <w:rsid w:val="00E4648D"/>
    <w:rsid w:val="00F11A8A"/>
    <w:rsid w:val="00F73F8D"/>
    <w:rsid w:val="00FA086C"/>
    <w:rsid w:val="01543C57"/>
    <w:rsid w:val="040F0075"/>
    <w:rsid w:val="04340829"/>
    <w:rsid w:val="06D27AF8"/>
    <w:rsid w:val="06F2484F"/>
    <w:rsid w:val="088A7F5F"/>
    <w:rsid w:val="08BC2462"/>
    <w:rsid w:val="09CC0FD8"/>
    <w:rsid w:val="0A210078"/>
    <w:rsid w:val="0C030754"/>
    <w:rsid w:val="0CA05D46"/>
    <w:rsid w:val="0F966A31"/>
    <w:rsid w:val="10550F6F"/>
    <w:rsid w:val="12BD66DE"/>
    <w:rsid w:val="13132954"/>
    <w:rsid w:val="149A59CD"/>
    <w:rsid w:val="163A1216"/>
    <w:rsid w:val="166F3EB8"/>
    <w:rsid w:val="191A5617"/>
    <w:rsid w:val="1B7A15F1"/>
    <w:rsid w:val="1F4C5B16"/>
    <w:rsid w:val="1F8A11CF"/>
    <w:rsid w:val="22431066"/>
    <w:rsid w:val="23D05B4F"/>
    <w:rsid w:val="27FA20BD"/>
    <w:rsid w:val="28677108"/>
    <w:rsid w:val="2BC76C50"/>
    <w:rsid w:val="2C4C628B"/>
    <w:rsid w:val="2D112F45"/>
    <w:rsid w:val="2DB575CA"/>
    <w:rsid w:val="2E9A689E"/>
    <w:rsid w:val="2F036DE8"/>
    <w:rsid w:val="2F8649A3"/>
    <w:rsid w:val="30936BC2"/>
    <w:rsid w:val="319B592F"/>
    <w:rsid w:val="31D450F3"/>
    <w:rsid w:val="33F27DDD"/>
    <w:rsid w:val="35577297"/>
    <w:rsid w:val="36515C79"/>
    <w:rsid w:val="373C54BB"/>
    <w:rsid w:val="37643739"/>
    <w:rsid w:val="37AC319E"/>
    <w:rsid w:val="37E33064"/>
    <w:rsid w:val="39A1268B"/>
    <w:rsid w:val="3B4F326E"/>
    <w:rsid w:val="3C0F5DF2"/>
    <w:rsid w:val="3E6B5B61"/>
    <w:rsid w:val="3EF75647"/>
    <w:rsid w:val="40C512FC"/>
    <w:rsid w:val="417F3D56"/>
    <w:rsid w:val="42817701"/>
    <w:rsid w:val="42C6746E"/>
    <w:rsid w:val="42EE5CD4"/>
    <w:rsid w:val="44E126D9"/>
    <w:rsid w:val="45D97826"/>
    <w:rsid w:val="45F20916"/>
    <w:rsid w:val="46DF0E9A"/>
    <w:rsid w:val="48736764"/>
    <w:rsid w:val="48D82303"/>
    <w:rsid w:val="4D3F13B6"/>
    <w:rsid w:val="4DFF75F2"/>
    <w:rsid w:val="52420D12"/>
    <w:rsid w:val="53A60BE2"/>
    <w:rsid w:val="56061A78"/>
    <w:rsid w:val="5643156F"/>
    <w:rsid w:val="57AF48B9"/>
    <w:rsid w:val="592823C4"/>
    <w:rsid w:val="5981212C"/>
    <w:rsid w:val="5B187842"/>
    <w:rsid w:val="5D615387"/>
    <w:rsid w:val="5FE64BF0"/>
    <w:rsid w:val="61C27952"/>
    <w:rsid w:val="62DB3950"/>
    <w:rsid w:val="637B25C6"/>
    <w:rsid w:val="63D72C4E"/>
    <w:rsid w:val="6470717E"/>
    <w:rsid w:val="66FE4F15"/>
    <w:rsid w:val="68C8466A"/>
    <w:rsid w:val="68F22857"/>
    <w:rsid w:val="69A41DA4"/>
    <w:rsid w:val="69BA736E"/>
    <w:rsid w:val="6A5A6906"/>
    <w:rsid w:val="6BCF0AA5"/>
    <w:rsid w:val="6BEF5D56"/>
    <w:rsid w:val="6E062826"/>
    <w:rsid w:val="6F664872"/>
    <w:rsid w:val="6F942155"/>
    <w:rsid w:val="704439AD"/>
    <w:rsid w:val="725B0573"/>
    <w:rsid w:val="74366DF1"/>
    <w:rsid w:val="74F35D39"/>
    <w:rsid w:val="75083064"/>
    <w:rsid w:val="75110011"/>
    <w:rsid w:val="79694470"/>
    <w:rsid w:val="7D5140B3"/>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3">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99"/>
    <w:pPr>
      <w:ind w:firstLine="880" w:firstLineChars="200"/>
    </w:pPr>
    <w:rPr>
      <w:rFonts w:ascii="仿宋_GB2312" w:hAnsi="仿宋_GB2312" w:eastAsia="仿宋_GB2312" w:cs="Arial"/>
      <w:sz w:val="32"/>
      <w:szCs w:val="20"/>
    </w:rPr>
  </w:style>
  <w:style w:type="paragraph" w:styleId="5">
    <w:name w:val="Body Text Indent"/>
    <w:basedOn w:val="1"/>
    <w:unhideWhenUsed/>
    <w:qFormat/>
    <w:uiPriority w:val="99"/>
    <w:pPr>
      <w:spacing w:after="120"/>
      <w:ind w:left="420" w:leftChars="200"/>
    </w:pPr>
  </w:style>
  <w:style w:type="paragraph" w:styleId="6">
    <w:name w:val="Plain Text"/>
    <w:basedOn w:val="1"/>
    <w:qFormat/>
    <w:uiPriority w:val="0"/>
    <w:rPr>
      <w:rFonts w:ascii="宋体" w:hAnsi="Courier New"/>
      <w:szCs w:val="21"/>
    </w:rPr>
  </w:style>
  <w:style w:type="paragraph" w:styleId="7">
    <w:name w:val="footer"/>
    <w:basedOn w:val="1"/>
    <w:qFormat/>
    <w:uiPriority w:val="99"/>
    <w:pPr>
      <w:tabs>
        <w:tab w:val="center" w:pos="4153"/>
        <w:tab w:val="right" w:pos="8306"/>
      </w:tabs>
      <w:snapToGrid w:val="0"/>
    </w:pPr>
    <w:rPr>
      <w:sz w:val="18"/>
      <w:szCs w:val="18"/>
    </w:rPr>
  </w:style>
  <w:style w:type="paragraph" w:styleId="8">
    <w:name w:val="toc 2"/>
    <w:basedOn w:val="1"/>
    <w:next w:val="1"/>
    <w:unhideWhenUsed/>
    <w:qFormat/>
    <w:uiPriority w:val="39"/>
    <w:pPr>
      <w:widowControl/>
      <w:spacing w:after="100" w:line="259" w:lineRule="auto"/>
      <w:ind w:left="220"/>
    </w:pPr>
    <w:rPr>
      <w:kern w:val="0"/>
      <w:sz w:val="22"/>
    </w:rPr>
  </w:style>
  <w:style w:type="paragraph" w:styleId="9">
    <w:name w:val="Normal (Web)"/>
    <w:basedOn w:val="1"/>
    <w:qFormat/>
    <w:uiPriority w:val="0"/>
    <w:pPr>
      <w:spacing w:beforeAutospacing="1" w:afterAutospacing="1"/>
    </w:pPr>
    <w:rPr>
      <w:kern w:val="0"/>
      <w:sz w:val="24"/>
    </w:rPr>
  </w:style>
  <w:style w:type="paragraph" w:styleId="10">
    <w:name w:val="Title"/>
    <w:basedOn w:val="1"/>
    <w:next w:val="1"/>
    <w:qFormat/>
    <w:uiPriority w:val="99"/>
    <w:pPr>
      <w:spacing w:before="240" w:after="60"/>
      <w:jc w:val="center"/>
      <w:outlineLvl w:val="0"/>
    </w:pPr>
    <w:rPr>
      <w:rFonts w:ascii="Arial" w:hAnsi="Arial"/>
      <w:b/>
      <w:bCs/>
      <w:sz w:val="32"/>
      <w:szCs w:val="32"/>
    </w:rPr>
  </w:style>
  <w:style w:type="paragraph" w:styleId="11">
    <w:name w:val="Body Text First Indent 2"/>
    <w:basedOn w:val="5"/>
    <w:unhideWhenUsed/>
    <w:qFormat/>
    <w:uiPriority w:val="99"/>
    <w:pPr>
      <w:ind w:firstLine="42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5217</Words>
  <Characters>5538</Characters>
  <Lines>32</Lines>
  <Paragraphs>9</Paragraphs>
  <TotalTime>10</TotalTime>
  <ScaleCrop>false</ScaleCrop>
  <LinksUpToDate>false</LinksUpToDate>
  <CharactersWithSpaces>5600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WPS_1746614869</cp:lastModifiedBy>
  <dcterms:modified xsi:type="dcterms:W3CDTF">2026-07-19T14:25:31Z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2C460BD3653D4A80AF5DB053CD4848CC_13</vt:lpwstr>
  </property>
  <property fmtid="{D5CDD505-2E9C-101B-9397-08002B2CF9AE}" pid="4" name="KSOTemplateDocerSaveRecord">
    <vt:lpwstr>eyJoZGlkIjoiY2VkNDc0ZDU1OTdlMjQ0YzE2NThiYWIwMTQyNTVkMGUiLCJ1c2VySWQiOiIxNzAwMTk0MjQ1In0=</vt:lpwstr>
  </property>
</Properties>
</file>