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4"/>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6" o:title=""/>
            <o:lock v:ext="edit" aspectratio="f"/>
          </v:shape>
          <o:OLEObject Type="Embed" ProgID="PBrush" ShapeID="_x0000_s1030" DrawAspect="Content" ObjectID="_1468075725" r:id="rId5">
            <o:LockedField>false</o:LockedField>
          </o:OLEObject>
        </w:pic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eastAsia="黑体"/>
          <w:b/>
          <w:sz w:val="52"/>
        </w:rPr>
      </w:pPr>
      <w:bookmarkStart w:id="0" w:name="OLE_LINK1"/>
      <w:r>
        <w:rPr>
          <w:rFonts w:hint="eastAsia" w:eastAsia="黑体"/>
          <w:b/>
          <w:sz w:val="52"/>
          <w:lang w:eastAsia="zh-CN"/>
        </w:rPr>
        <w:t>超特高压带电作业屏蔽服透气性优化研制</w:t>
      </w:r>
      <w:bookmarkEnd w:id="0"/>
      <w:r>
        <w:rPr>
          <w:rFonts w:eastAsia="黑体"/>
          <w:b/>
          <w:sz w:val="52"/>
        </w:rPr>
        <w:t>技术规范书</w:t>
      </w:r>
    </w:p>
    <w:p>
      <w:pPr>
        <w:adjustRightInd w:val="0"/>
        <w:snapToGrid w:val="0"/>
        <w:rPr>
          <w:sz w:val="28"/>
          <w:szCs w:val="36"/>
        </w:rPr>
      </w:pPr>
    </w:p>
    <w:p>
      <w:pPr>
        <w:pStyle w:val="12"/>
      </w:pPr>
    </w:p>
    <w:p>
      <w:pPr>
        <w:adjustRightInd w:val="0"/>
        <w:snapToGrid w:val="0"/>
        <w:rPr>
          <w:sz w:val="28"/>
          <w:szCs w:val="36"/>
        </w:rPr>
      </w:pPr>
    </w:p>
    <w:p>
      <w:pPr>
        <w:pStyle w:val="12"/>
        <w:rPr>
          <w:sz w:val="28"/>
          <w:szCs w:val="36"/>
        </w:rPr>
      </w:pPr>
    </w:p>
    <w:p>
      <w:pPr>
        <w:pStyle w:val="12"/>
        <w:rPr>
          <w:sz w:val="28"/>
          <w:szCs w:val="36"/>
        </w:rPr>
      </w:pPr>
    </w:p>
    <w:p>
      <w:pPr>
        <w:pStyle w:val="12"/>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超特高压带电作业屏蔽服透气性优化研制</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职工</w:t>
      </w:r>
      <w:r>
        <w:rPr>
          <w:rFonts w:hint="eastAsia"/>
          <w:sz w:val="24"/>
        </w:rPr>
        <w:t>创新项目，</w:t>
      </w:r>
      <w:r>
        <w:rPr>
          <w:rFonts w:hint="eastAsia"/>
          <w:sz w:val="24"/>
          <w:lang w:val="en-US" w:eastAsia="zh-CN"/>
        </w:rPr>
        <w:t>提出</w:t>
      </w:r>
      <w:r>
        <w:rPr>
          <w:sz w:val="24"/>
        </w:rPr>
        <w:t>高透气主动降温型超特高压带电作业屏蔽服的研制标准，成果应用于超特高压输电线路各类带电作业场景</w:t>
      </w:r>
      <w:r>
        <w:rPr>
          <w:rFonts w:hint="eastAsia"/>
          <w:sz w:val="24"/>
        </w:rPr>
        <w:t>。投标方应针对自身特点，根据本技术规范书所描述的具体要求，提供</w:t>
      </w:r>
      <w:r>
        <w:rPr>
          <w:rFonts w:hint="eastAsia" w:asciiTheme="minorEastAsia" w:hAnsiTheme="minorEastAsia" w:eastAsiaTheme="minorEastAsia" w:cstheme="minorEastAsia"/>
          <w:sz w:val="24"/>
        </w:rPr>
        <w:t>完整的解决方案。</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pPr>
        <w:snapToGrid w:val="0"/>
        <w:spacing w:before="120"/>
        <w:rPr>
          <w:rFonts w:ascii="黑体" w:hAnsi="黑体" w:eastAsia="黑体" w:cs="黑体"/>
          <w:b/>
          <w:bCs/>
          <w:sz w:val="28"/>
          <w:szCs w:val="36"/>
        </w:rPr>
      </w:pPr>
      <w:bookmarkStart w:id="1" w:name="_Toc26376"/>
      <w:bookmarkStart w:id="2" w:name="_Toc241911995"/>
      <w:bookmarkStart w:id="3" w:name="_Toc155114607"/>
      <w:r>
        <w:rPr>
          <w:rFonts w:hint="eastAsia" w:ascii="黑体" w:hAnsi="黑体" w:eastAsia="黑体" w:cs="黑体"/>
          <w:b/>
          <w:bCs/>
          <w:sz w:val="28"/>
          <w:szCs w:val="36"/>
        </w:rPr>
        <w:t xml:space="preserve">2 </w:t>
      </w:r>
      <w:bookmarkEnd w:id="1"/>
      <w:bookmarkStart w:id="4" w:name="_Toc441483964"/>
      <w:bookmarkStart w:id="5" w:name="_Toc531004264"/>
      <w:bookmarkStart w:id="6" w:name="_Toc531004210"/>
      <w:r>
        <w:rPr>
          <w:rFonts w:hint="eastAsia" w:ascii="黑体" w:hAnsi="黑体" w:eastAsia="黑体" w:cs="黑体"/>
          <w:b/>
          <w:bCs/>
          <w:sz w:val="28"/>
          <w:szCs w:val="36"/>
        </w:rPr>
        <w:t>项目有关内容</w:t>
      </w:r>
      <w:bookmarkEnd w:id="4"/>
      <w:bookmarkEnd w:id="5"/>
      <w:bookmarkEnd w:id="6"/>
    </w:p>
    <w:p>
      <w:pPr>
        <w:rPr>
          <w:rFonts w:hint="eastAsia" w:asciiTheme="minorEastAsia" w:hAnsiTheme="minorEastAsia" w:eastAsiaTheme="minorEastAsia" w:cstheme="minorEastAsia"/>
          <w:sz w:val="24"/>
        </w:rPr>
      </w:pPr>
      <w:bookmarkStart w:id="7" w:name="_Toc309593188"/>
      <w:bookmarkStart w:id="8" w:name="_Toc309593259"/>
      <w:bookmarkStart w:id="9" w:name="_Toc309805583"/>
      <w:bookmarkStart w:id="10" w:name="_Toc312827019"/>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7"/>
      <w:bookmarkEnd w:id="8"/>
      <w:bookmarkEnd w:id="9"/>
      <w:bookmarkEnd w:id="10"/>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超特高压带电作业屏蔽服透气性优化研制</w:t>
      </w:r>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2"/>
    <w:bookmarkEnd w:id="3"/>
    <w:p>
      <w:pPr>
        <w:rPr>
          <w:rFonts w:hint="eastAsia" w:asciiTheme="minorEastAsia" w:hAnsiTheme="minorEastAsia" w:eastAsiaTheme="minorEastAsia" w:cstheme="minorEastAsia"/>
          <w:sz w:val="24"/>
          <w:lang w:val="en-US" w:eastAsia="zh-CN"/>
        </w:rPr>
      </w:pPr>
      <w:bookmarkStart w:id="11" w:name="_Toc22304900"/>
      <w:bookmarkStart w:id="12" w:name="_Toc39753342"/>
      <w:bookmarkStart w:id="13" w:name="_Toc20556"/>
      <w:bookmarkStart w:id="14" w:name="_Toc39753999"/>
      <w:bookmarkStart w:id="15" w:name="_Toc384340980"/>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当</w:t>
      </w:r>
      <w:r>
        <w:rPr>
          <w:rFonts w:hint="eastAsia" w:asciiTheme="minorEastAsia" w:hAnsiTheme="minorEastAsia" w:eastAsiaTheme="minorEastAsia" w:cstheme="minorEastAsia"/>
          <w:sz w:val="24"/>
        </w:rPr>
        <w:t>前</w:t>
      </w:r>
      <w:r>
        <w:rPr>
          <w:rFonts w:hint="eastAsia" w:asciiTheme="minorEastAsia" w:hAnsiTheme="minorEastAsia" w:eastAsiaTheme="minorEastAsia" w:cstheme="minorEastAsia"/>
          <w:sz w:val="24"/>
          <w:lang w:val="en-US" w:eastAsia="zh-CN"/>
        </w:rPr>
        <w:t>超（特）高压带电作业使用的分体、连体屏蔽服普遍透气性差，作业人员需穿戴阻燃内衣及全套屏蔽服，闷热不透气。高温天气下作业时，热量无法散发，易大量出汗、体力透支，长时间作业存在中暑风险，同时影响作业效率与人身安全。</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为解决一线工作现场痛点，保障作业人员安全健康，拟研制高透气型带电作业屏蔽服。项目在满足屏蔽性能、阻燃、机械强度和安全规范的前提下，优化面料结构与通风设计，提升散热透气效果，有效减少出汗、降低中暑风险，延长连续作业时间，节省体力，提高带电作业效率与安全水平，切实改善一线带电作业条件。</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研制一套兼具通风透气性与降温功能的空调型带电作业屏蔽服，聚焦一线带电作业场景中的实际难题，精准对接作业人员核心需求，突破传统屏蔽服闷热不透气的痛点，打造安全、舒适、高效的带电作业防护装备。</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bookmarkStart w:id="51" w:name="_GoBack"/>
      <w:bookmarkEnd w:id="51"/>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满足电场屏蔽、阻燃等带电作业屏蔽服安全标准的前提下，重点开展两大关键技术优化：一是优化透气面料结构，提升服装整体通风透气性，减少面料闷热感，保障作业过程中的基础舒适；二是集成微型制冷产品，实现主动降温功能，从根本上缓解带电作业人员穿戴屏蔽服后的闷热困扰。</w:t>
      </w:r>
    </w:p>
    <w:p>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1"/>
      <w:bookmarkEnd w:id="12"/>
      <w:bookmarkEnd w:id="13"/>
      <w:bookmarkEnd w:id="14"/>
      <w:bookmarkEnd w:id="15"/>
      <w:r>
        <w:rPr>
          <w:rFonts w:hint="eastAsia" w:ascii="黑体" w:hAnsi="黑体" w:eastAsia="黑体" w:cs="黑体"/>
          <w:b/>
          <w:bCs/>
          <w:sz w:val="28"/>
          <w:szCs w:val="36"/>
        </w:rPr>
        <w:t>总体要求</w:t>
      </w:r>
    </w:p>
    <w:p>
      <w:pPr>
        <w:adjustRightInd w:val="0"/>
        <w:snapToGrid w:val="0"/>
        <w:rPr>
          <w:rFonts w:asciiTheme="minorEastAsia" w:hAnsiTheme="minorEastAsia" w:eastAsiaTheme="minorEastAsia" w:cstheme="minorEastAsia"/>
          <w:sz w:val="24"/>
        </w:rPr>
      </w:pPr>
      <w:bookmarkStart w:id="16" w:name="_Toc457986926"/>
      <w:bookmarkStart w:id="17" w:name="_Toc146182538"/>
      <w:bookmarkStart w:id="18" w:name="_Toc448828694"/>
      <w:bookmarkStart w:id="19" w:name="_Toc114253693"/>
      <w:bookmarkStart w:id="20" w:name="_Toc241912000"/>
      <w:bookmarkStart w:id="21" w:name="_Toc459534976"/>
      <w:bookmarkStart w:id="22" w:name="_Toc455373921"/>
      <w:bookmarkStart w:id="23" w:name="_Toc155114612"/>
      <w:bookmarkStart w:id="24" w:name="_Toc455543289"/>
      <w:bookmarkStart w:id="25" w:name="_Toc482581219"/>
      <w:bookmarkStart w:id="26" w:name="_Toc457979127"/>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Q/CSG2153078-2020</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中国南方电网有限责任公司信息化项目管理细则</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Q/CSG2153002-2022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中国南方电网有限责任公司数据质量管理细则</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Q/CSG2153004-2022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中国南方电网有限责任公司数据采集与运维管理细则</w:t>
      </w:r>
    </w:p>
    <w:p>
      <w:pPr>
        <w:pStyle w:val="10"/>
        <w:ind w:left="0"/>
        <w:rPr>
          <w:rFonts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DL/T 5429《电力</w:t>
      </w:r>
      <w:r>
        <w:rPr>
          <w:rFonts w:hint="eastAsia" w:asciiTheme="minorEastAsia" w:hAnsiTheme="minorEastAsia" w:eastAsiaTheme="minorEastAsia" w:cstheme="minorEastAsia"/>
          <w:kern w:val="2"/>
          <w:sz w:val="24"/>
          <w:lang w:eastAsia="zh-CN"/>
        </w:rPr>
        <w:t>产品</w:t>
      </w:r>
      <w:r>
        <w:rPr>
          <w:rFonts w:hint="eastAsia" w:asciiTheme="minorEastAsia" w:hAnsiTheme="minorEastAsia" w:eastAsiaTheme="minorEastAsia" w:cstheme="minorEastAsia"/>
          <w:kern w:val="2"/>
          <w:sz w:val="24"/>
        </w:rPr>
        <w:t>设计技术规程》</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《中国南方电网统一物联网平台SDK使用指南》</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《中国南方电网自定义Topic命令下发操作指引》</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《中国南方电网设备物模型》</w:t>
      </w:r>
    </w:p>
    <w:p>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pPr>
        <w:snapToGrid w:val="0"/>
        <w:spacing w:before="120"/>
        <w:rPr>
          <w:rFonts w:ascii="黑体" w:hAnsi="黑体" w:eastAsia="黑体" w:cs="黑体"/>
          <w:b/>
          <w:bCs/>
          <w:sz w:val="28"/>
          <w:szCs w:val="36"/>
        </w:rPr>
      </w:pPr>
      <w:bookmarkStart w:id="27" w:name="_Toc282993253"/>
      <w:bookmarkStart w:id="28" w:name="_Toc32408"/>
      <w:bookmarkStart w:id="29" w:name="_Toc384340984"/>
      <w:bookmarkStart w:id="30" w:name="_Toc39753345"/>
      <w:bookmarkStart w:id="31" w:name="_Toc22304904"/>
      <w:bookmarkStart w:id="32" w:name="_Toc39754002"/>
      <w:r>
        <w:rPr>
          <w:rFonts w:hint="eastAsia" w:ascii="黑体" w:hAnsi="黑体" w:eastAsia="黑体" w:cs="黑体"/>
          <w:b/>
          <w:bCs/>
          <w:sz w:val="28"/>
          <w:szCs w:val="36"/>
        </w:rPr>
        <w:t>4 技术要求</w:t>
      </w:r>
      <w:bookmarkEnd w:id="27"/>
      <w:bookmarkEnd w:id="28"/>
      <w:bookmarkEnd w:id="29"/>
      <w:bookmarkEnd w:id="30"/>
      <w:bookmarkEnd w:id="31"/>
      <w:bookmarkEnd w:id="32"/>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pPr>
        <w:adjustRightInd w:val="0"/>
        <w:snapToGrid w:val="0"/>
        <w:rPr>
          <w:rFonts w:ascii="宋体" w:hAnsi="宋体"/>
          <w:sz w:val="24"/>
        </w:rPr>
      </w:pPr>
      <w:r>
        <w:rPr>
          <w:rFonts w:hint="eastAsia" w:ascii="宋体" w:hAnsi="宋体"/>
          <w:sz w:val="24"/>
        </w:rPr>
        <w:t>主要项目内容按照以下工作内容及要求开展：</w:t>
      </w:r>
    </w:p>
    <w:tbl>
      <w:tblPr>
        <w:tblStyle w:val="14"/>
        <w:tblW w:w="85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15" w:type="dxa"/>
            <w:vAlign w:val="center"/>
          </w:tcPr>
          <w:p>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pPr>
              <w:spacing w:line="240" w:lineRule="auto"/>
              <w:jc w:val="center"/>
              <w:rPr>
                <w:rFonts w:ascii="宋体" w:hAnsi="宋体" w:cs="宋体"/>
                <w:b/>
                <w:bCs/>
                <w:szCs w:val="21"/>
              </w:rPr>
            </w:pPr>
            <w:r>
              <w:rPr>
                <w:rFonts w:hint="eastAsia" w:ascii="宋体" w:hAnsi="宋体" w:cs="宋体"/>
                <w:b/>
                <w:bCs/>
                <w:szCs w:val="21"/>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完成高透气空调型超特高压带电作业屏蔽服全套设计、样品加工、性能优化，成品同时满足屏蔽安全、透气、降温指标要求。</w:t>
            </w:r>
          </w:p>
        </w:tc>
        <w:tc>
          <w:tcPr>
            <w:tcW w:w="2363"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优化型透气带电作业屏蔽服成品 1 套、全套设计图纸</w:t>
            </w:r>
          </w:p>
        </w:tc>
        <w:tc>
          <w:tcPr>
            <w:tcW w:w="2357" w:type="dxa"/>
            <w:vAlign w:val="center"/>
          </w:tcPr>
          <w:p>
            <w:pPr>
              <w:spacing w:line="240" w:lineRule="auto"/>
              <w:jc w:val="center"/>
              <w:rPr>
                <w:rFonts w:ascii="宋体" w:hAnsi="宋体" w:cs="宋体"/>
              </w:rPr>
            </w:pPr>
            <w:r>
              <w:rPr>
                <w:rFonts w:hint="eastAsia" w:asciiTheme="minorEastAsia" w:hAnsiTheme="minorEastAsia" w:cstheme="minorEastAsia"/>
                <w:szCs w:val="21"/>
              </w:rPr>
              <w:t>2026年1</w:t>
            </w:r>
            <w:r>
              <w:rPr>
                <w:rFonts w:asciiTheme="minorEastAsia" w:hAnsiTheme="minorEastAsia" w:cstheme="minorEastAsia"/>
                <w:szCs w:val="21"/>
              </w:rPr>
              <w:t>2</w:t>
            </w:r>
            <w:r>
              <w:rPr>
                <w:rFonts w:hint="eastAsia" w:asciiTheme="minorEastAsia" w:hAnsiTheme="minorEastAsia" w:cstheme="minorEastAsia"/>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完成项目创新成果知识产权挖掘，提交发明专利申请</w:t>
            </w:r>
          </w:p>
        </w:tc>
        <w:tc>
          <w:tcPr>
            <w:tcW w:w="2363"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发明专利受理通知书 1 项</w:t>
            </w:r>
          </w:p>
        </w:tc>
        <w:tc>
          <w:tcPr>
            <w:tcW w:w="2357" w:type="dxa"/>
            <w:vAlign w:val="center"/>
          </w:tcPr>
          <w:p>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完成全流程资料整理、性能复测、项目验收材料编制，组织项目结题验收</w:t>
            </w:r>
          </w:p>
        </w:tc>
        <w:tc>
          <w:tcPr>
            <w:tcW w:w="2363" w:type="dxa"/>
            <w:shd w:val="clear" w:color="auto" w:fill="auto"/>
            <w:vAlign w:val="center"/>
          </w:tcPr>
          <w:p>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lang w:val="en-US" w:eastAsia="zh-CN"/>
              </w:rPr>
              <w:t>完整项目验收资料汇编 1 套、检测记录</w:t>
            </w:r>
          </w:p>
        </w:tc>
        <w:tc>
          <w:tcPr>
            <w:tcW w:w="2357" w:type="dxa"/>
            <w:vAlign w:val="center"/>
          </w:tcPr>
          <w:p>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lang w:eastAsia="zh-CN"/>
        </w:rPr>
        <w:t>超特高压带电作业屏蔽服透气性优化研制</w:t>
      </w:r>
      <w:r>
        <w:rPr>
          <w:rFonts w:hint="eastAsia" w:ascii="宋体" w:hAnsi="宋体" w:cs="宋体"/>
          <w:kern w:val="0"/>
          <w:sz w:val="24"/>
        </w:rPr>
        <w:t>技术研究实施要求</w:t>
      </w:r>
    </w:p>
    <w:p>
      <w:pPr>
        <w:pStyle w:val="10"/>
        <w:spacing w:after="0" w:line="360" w:lineRule="auto"/>
        <w:ind w:left="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.2.1总体要求</w:t>
      </w:r>
    </w:p>
    <w:p>
      <w:pPr>
        <w:pStyle w:val="10"/>
        <w:spacing w:after="0" w:line="360" w:lineRule="auto"/>
        <w:ind w:left="0"/>
        <w:rPr>
          <w:rFonts w:ascii="宋体" w:hAnsi="宋体" w:cs="宋体"/>
          <w:sz w:val="24"/>
        </w:rPr>
      </w:pPr>
      <w:r>
        <w:rPr>
          <w:rFonts w:hint="eastAsia" w:ascii="宋体" w:hAnsi="宋体" w:cs="宋体"/>
          <w:sz w:val="24"/>
        </w:rPr>
        <w:t>（1）稳定性和可靠性</w:t>
      </w:r>
    </w:p>
    <w:p>
      <w:pPr>
        <w:pStyle w:val="10"/>
        <w:spacing w:after="0" w:line="360" w:lineRule="auto"/>
        <w:ind w:left="0" w:leftChars="0" w:firstLine="0" w:firstLineChars="0"/>
        <w:rPr>
          <w:rFonts w:asciiTheme="minorEastAsia" w:hAnsiTheme="minorEastAsia" w:eastAsiaTheme="minorEastAsia" w:cstheme="minorEastAsia"/>
          <w:kern w:val="2"/>
          <w:sz w:val="24"/>
          <w:szCs w:val="24"/>
          <w:lang w:val="en-US" w:eastAsia="zh-CN" w:bidi="ar-SA"/>
        </w:rPr>
      </w:pPr>
      <w:r>
        <w:rPr>
          <w:rFonts w:asciiTheme="minorEastAsia" w:hAnsiTheme="minorEastAsia" w:eastAsiaTheme="minorEastAsia" w:cstheme="minorEastAsia"/>
          <w:kern w:val="2"/>
          <w:sz w:val="24"/>
          <w:szCs w:val="24"/>
          <w:lang w:val="en-US" w:eastAsia="zh-CN" w:bidi="ar-SA"/>
        </w:rPr>
        <w:t>兼具通风透气性与主动空调降温性能的</w:t>
      </w:r>
      <w:r>
        <w:rPr>
          <w:rFonts w:hint="eastAsia" w:asciiTheme="minorEastAsia" w:hAnsiTheme="minorEastAsia" w:eastAsiaTheme="minorEastAsia" w:cstheme="minorEastAsia"/>
          <w:kern w:val="2"/>
          <w:sz w:val="24"/>
          <w:szCs w:val="24"/>
          <w:lang w:val="en-US" w:eastAsia="zh-CN" w:bidi="ar-SA"/>
        </w:rPr>
        <w:t>带电作业</w:t>
      </w:r>
      <w:r>
        <w:rPr>
          <w:rFonts w:asciiTheme="minorEastAsia" w:hAnsiTheme="minorEastAsia" w:eastAsiaTheme="minorEastAsia" w:cstheme="minorEastAsia"/>
          <w:kern w:val="2"/>
          <w:sz w:val="24"/>
          <w:szCs w:val="24"/>
          <w:lang w:val="en-US" w:eastAsia="zh-CN" w:bidi="ar-SA"/>
        </w:rPr>
        <w:t>防护装备</w:t>
      </w:r>
      <w:r>
        <w:rPr>
          <w:rFonts w:hint="eastAsia" w:asciiTheme="minorEastAsia" w:hAnsiTheme="minorEastAsia" w:eastAsiaTheme="minorEastAsia" w:cstheme="minorEastAsia"/>
          <w:kern w:val="2"/>
          <w:sz w:val="24"/>
          <w:szCs w:val="24"/>
          <w:lang w:val="en-US" w:eastAsia="zh-CN" w:bidi="ar-SA"/>
        </w:rPr>
        <w:t>。</w:t>
      </w:r>
    </w:p>
    <w:p>
      <w:pPr>
        <w:pStyle w:val="10"/>
        <w:numPr>
          <w:numId w:val="0"/>
        </w:numPr>
        <w:spacing w:after="0" w:line="360" w:lineRule="auto"/>
        <w:rPr>
          <w:rFonts w:hint="eastAsia" w:asciiTheme="minorEastAsia" w:hAnsiTheme="minorEastAsia" w:eastAsiaTheme="minorEastAsia" w:cstheme="minorEastAsia"/>
          <w:kern w:val="2"/>
          <w:sz w:val="24"/>
          <w:szCs w:val="24"/>
          <w:lang w:val="en-US" w:eastAsia="zh-CN" w:bidi="ar-SA"/>
        </w:rPr>
      </w:pPr>
      <w:r>
        <w:rPr>
          <w:rFonts w:hint="eastAsia" w:ascii="宋体" w:hAnsi="宋体" w:cs="宋体"/>
          <w:sz w:val="24"/>
        </w:rPr>
        <w:t xml:space="preserve">4.1.2.2 </w:t>
      </w:r>
      <w:r>
        <w:rPr>
          <w:rFonts w:hint="eastAsia" w:asciiTheme="minorEastAsia" w:hAnsiTheme="minorEastAsia" w:eastAsiaTheme="minorEastAsia" w:cstheme="minorEastAsia"/>
          <w:kern w:val="2"/>
          <w:sz w:val="24"/>
          <w:szCs w:val="24"/>
          <w:lang w:val="en-US" w:eastAsia="zh-CN" w:bidi="ar-SA"/>
        </w:rPr>
        <w:t>易用性</w:t>
      </w:r>
    </w:p>
    <w:p>
      <w:pPr>
        <w:rPr>
          <w:rFonts w:hint="eastAsia" w:asciiTheme="minorEastAsia" w:hAnsiTheme="minorEastAsia" w:eastAsiaTheme="minorEastAsia" w:cstheme="minorEastAsia"/>
          <w:sz w:val="24"/>
          <w:lang w:val="en-US" w:eastAsia="zh-CN"/>
        </w:rPr>
      </w:pPr>
      <w:r>
        <w:rPr>
          <w:rFonts w:hint="eastAsia" w:ascii="宋体" w:hAnsi="宋体" w:eastAsia="宋体" w:cs="宋体"/>
          <w:kern w:val="2"/>
          <w:sz w:val="24"/>
          <w:szCs w:val="24"/>
          <w:lang w:val="en-US" w:eastAsia="zh-CN" w:bidi="ar-SA"/>
        </w:rPr>
        <w:t>通风、制冷模块轻量化透气好，穿戴拆卸流程简单便捷，整套装备重量轻便，</w:t>
      </w:r>
      <w:r>
        <w:rPr>
          <w:rFonts w:hint="eastAsia" w:asciiTheme="minorEastAsia" w:hAnsiTheme="minorEastAsia" w:eastAsiaTheme="minorEastAsia" w:cstheme="minorEastAsia"/>
          <w:sz w:val="24"/>
          <w:lang w:val="en-US" w:eastAsia="zh-CN"/>
        </w:rPr>
        <w:t>相较传统屏蔽服无明显负重增加。</w:t>
      </w:r>
    </w:p>
    <w:p>
      <w:pPr>
        <w:rPr>
          <w:rFonts w:hint="eastAsia" w:asciiTheme="minorEastAsia" w:hAnsiTheme="minorEastAsia" w:eastAsiaTheme="minorEastAsia" w:cstheme="minorEastAsia"/>
          <w:sz w:val="24"/>
          <w:lang w:val="en-US" w:eastAsia="zh-CN"/>
        </w:rPr>
      </w:pPr>
      <w:r>
        <w:rPr>
          <w:rFonts w:hint="eastAsia" w:ascii="宋体" w:hAnsi="宋体" w:eastAsia="宋体" w:cs="宋体"/>
          <w:kern w:val="0"/>
          <w:sz w:val="24"/>
          <w:szCs w:val="24"/>
          <w:lang w:val="en-US" w:eastAsia="zh-CN" w:bidi="ar-SA"/>
        </w:rPr>
        <w:t>4.1.2.3</w:t>
      </w:r>
      <w:r>
        <w:rPr>
          <w:rFonts w:hint="eastAsia" w:asciiTheme="minorEastAsia" w:hAnsiTheme="minorEastAsia" w:eastAsiaTheme="minorEastAsia" w:cstheme="minorEastAsia"/>
          <w:sz w:val="24"/>
          <w:lang w:val="en-US" w:eastAsia="zh-CN"/>
        </w:rPr>
        <w:t>产品技术架构及工艺要求</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（1）</w:t>
      </w:r>
      <w:r>
        <w:rPr>
          <w:rFonts w:hint="eastAsia" w:asciiTheme="minorEastAsia" w:hAnsiTheme="minorEastAsia" w:eastAsiaTheme="minorEastAsia" w:cstheme="minorEastAsia"/>
          <w:sz w:val="24"/>
          <w:lang w:val="en-US" w:eastAsia="zh-CN"/>
        </w:rPr>
        <w:t>屏蔽面料采用高导电透气复合纤维编织工艺，优化孔隙结构提升透气量，导电丝分布均匀，屏蔽性能达标；</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（2）</w:t>
      </w:r>
      <w:r>
        <w:rPr>
          <w:rFonts w:hint="eastAsia" w:asciiTheme="minorEastAsia" w:hAnsiTheme="minorEastAsia" w:eastAsiaTheme="minorEastAsia" w:cstheme="minorEastAsia"/>
          <w:sz w:val="24"/>
          <w:lang w:val="en-US" w:eastAsia="zh-CN"/>
        </w:rPr>
        <w:t>衣身采用分区通风剪裁，腋下、后背、腿部设置导流通风结构，形成内外空气对流；</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（3）</w:t>
      </w:r>
      <w:r>
        <w:rPr>
          <w:rFonts w:hint="eastAsia" w:asciiTheme="minorEastAsia" w:hAnsiTheme="minorEastAsia" w:eastAsiaTheme="minorEastAsia" w:cstheme="minorEastAsia"/>
          <w:sz w:val="24"/>
          <w:lang w:val="en-US" w:eastAsia="zh-CN"/>
        </w:rPr>
        <w:t>微型制冷产品采用内置隐藏式布局，导电屏蔽布料完整包裹制冷组件，保证电场屏蔽完整性；</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（4）</w:t>
      </w:r>
      <w:r>
        <w:rPr>
          <w:rFonts w:hint="eastAsia" w:asciiTheme="minorEastAsia" w:hAnsiTheme="minorEastAsia" w:eastAsiaTheme="minorEastAsia" w:cstheme="minorEastAsia"/>
          <w:sz w:val="24"/>
          <w:lang w:val="en-US" w:eastAsia="zh-CN"/>
        </w:rPr>
        <w:t>供电模块采用安全低压储能装置，具备过充、过热保护功能，适配高空作业安全规范；</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（5）</w:t>
      </w:r>
      <w:r>
        <w:rPr>
          <w:rFonts w:hint="eastAsia" w:asciiTheme="minorEastAsia" w:hAnsiTheme="minorEastAsia" w:eastAsiaTheme="minorEastAsia" w:cstheme="minorEastAsia"/>
          <w:sz w:val="24"/>
          <w:lang w:val="en-US" w:eastAsia="zh-CN"/>
        </w:rPr>
        <w:t>所有辅料（拉链、魔术贴、管线）均采用阻燃、低阻安全配件，满足带电作业防护标准。</w:t>
      </w:r>
    </w:p>
    <w:p>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4.1.2.4 核心性能指标要求</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（1）</w:t>
      </w:r>
      <w:r>
        <w:rPr>
          <w:rFonts w:hint="eastAsia" w:asciiTheme="minorEastAsia" w:hAnsiTheme="minorEastAsia" w:eastAsiaTheme="minorEastAsia" w:cstheme="minorEastAsia"/>
          <w:sz w:val="24"/>
          <w:lang w:val="en-US" w:eastAsia="zh-CN"/>
        </w:rPr>
        <w:t>屏蔽性能：完全满足超特高压带电作业屏蔽服标准，体表感应电场强度符合安全限值；</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（2）</w:t>
      </w:r>
      <w:r>
        <w:rPr>
          <w:rFonts w:hint="eastAsia" w:asciiTheme="minorEastAsia" w:hAnsiTheme="minorEastAsia" w:eastAsiaTheme="minorEastAsia" w:cstheme="minorEastAsia"/>
          <w:sz w:val="24"/>
          <w:lang w:val="en-US" w:eastAsia="zh-CN"/>
        </w:rPr>
        <w:t>透气性能：透气量显著优于现有常规屏蔽服，常温、高温环境下内外空气流通顺畅；</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（3）</w:t>
      </w:r>
      <w:r>
        <w:rPr>
          <w:rFonts w:hint="eastAsia" w:asciiTheme="minorEastAsia" w:hAnsiTheme="minorEastAsia" w:eastAsiaTheme="minorEastAsia" w:cstheme="minorEastAsia"/>
          <w:sz w:val="24"/>
          <w:lang w:val="en-US" w:eastAsia="zh-CN"/>
        </w:rPr>
        <w:t>阻燃性能：面料及全部辅料达到带电作业防护服阻燃等级，无明火蔓延；</w:t>
      </w:r>
    </w:p>
    <w:p>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主动降温功能：开启制冷后服装内部可稳定形成有效温差，持续降低体表体感温度；</w:t>
      </w:r>
    </w:p>
    <w:p>
      <w:pPr>
        <w:rPr>
          <w:rFonts w:hint="eastAsia" w:asciiTheme="minorEastAsia" w:hAnsiTheme="minorEastAsia" w:eastAsiaTheme="minorEastAsia" w:cstheme="minorEastAsia"/>
          <w:sz w:val="24"/>
          <w:lang w:val="en-US" w:eastAsia="zh-CN"/>
        </w:rPr>
      </w:pPr>
      <w:r>
        <w:rPr>
          <w:rFonts w:hint="eastAsia" w:ascii="宋体" w:hAnsi="宋体" w:cs="宋体"/>
          <w:kern w:val="2"/>
          <w:sz w:val="24"/>
          <w:szCs w:val="24"/>
          <w:lang w:val="en-US" w:eastAsia="zh-CN" w:bidi="ar-SA"/>
        </w:rPr>
        <w:t>（4）</w:t>
      </w:r>
      <w:r>
        <w:rPr>
          <w:rFonts w:hint="eastAsia" w:asciiTheme="minorEastAsia" w:hAnsiTheme="minorEastAsia" w:eastAsiaTheme="minorEastAsia" w:cstheme="minorEastAsia"/>
          <w:sz w:val="24"/>
          <w:lang w:val="en-US" w:eastAsia="zh-CN"/>
        </w:rPr>
        <w:t>机械性能：面料抗撕裂、耐拉伸、耐摩擦，满足高空作业高强度使用要求。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.2.5技术服务要求</w:t>
      </w:r>
    </w:p>
    <w:p>
      <w:pPr>
        <w:rPr>
          <w:rFonts w:ascii="宋体" w:hAnsi="宋体" w:cs="宋体"/>
          <w:sz w:val="24"/>
        </w:rPr>
      </w:pPr>
      <w:r>
        <w:rPr>
          <w:rFonts w:hint="eastAsia" w:asciiTheme="minorEastAsia" w:hAnsiTheme="minorEastAsia" w:eastAsiaTheme="minorEastAsia" w:cstheme="minorEastAsia"/>
          <w:sz w:val="24"/>
        </w:rPr>
        <w:t>提供全方位、优质、高效的质量保证体系，以及技术支持和</w:t>
      </w:r>
      <w:r>
        <w:rPr>
          <w:rFonts w:hint="eastAsia" w:ascii="宋体" w:hAnsi="宋体" w:cs="宋体"/>
          <w:sz w:val="24"/>
        </w:rPr>
        <w:t>售后服务。投标方应充分考虑技术支持与售后服务，提供详细的售后服务计划，服务内容、服务方式及响应时间。要求如下：</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（1）验收合格后提供1年免费维护。</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（2）中标方在故障发生2小时响应处置。</w:t>
      </w:r>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中标方对招标方提供技术培训和操作指导，中标方负责培训全部费用</w:t>
      </w:r>
      <w:r>
        <w:rPr>
          <w:rFonts w:hint="eastAsia" w:asciiTheme="minorEastAsia" w:hAnsiTheme="minorEastAsia" w:eastAsiaTheme="minorEastAsia" w:cstheme="minorEastAsia"/>
          <w:sz w:val="24"/>
          <w:lang w:eastAsia="zh-CN"/>
        </w:rPr>
        <w:t>。</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不少于</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个工作日的现场</w:t>
      </w:r>
      <w:r>
        <w:rPr>
          <w:rFonts w:hint="eastAsia" w:asciiTheme="minorEastAsia" w:hAnsiTheme="minorEastAsia" w:eastAsiaTheme="minorEastAsia" w:cstheme="minorEastAsia"/>
          <w:sz w:val="24"/>
          <w:lang w:val="en-US" w:eastAsia="zh-CN"/>
        </w:rPr>
        <w:t>对接</w:t>
      </w:r>
      <w:r>
        <w:rPr>
          <w:rFonts w:hint="eastAsia" w:asciiTheme="minorEastAsia" w:hAnsiTheme="minorEastAsia" w:eastAsiaTheme="minorEastAsia" w:cstheme="minorEastAsia"/>
          <w:sz w:val="24"/>
        </w:rPr>
        <w:t>。中标方负责招标方人员的软件</w:t>
      </w:r>
      <w:r>
        <w:rPr>
          <w:rFonts w:hint="eastAsia" w:asciiTheme="minorEastAsia" w:hAnsiTheme="minorEastAsia" w:eastAsiaTheme="minorEastAsia" w:cstheme="minorEastAsia"/>
          <w:sz w:val="24"/>
          <w:lang w:eastAsia="zh-CN"/>
        </w:rPr>
        <w:t>产品</w:t>
      </w:r>
      <w:r>
        <w:rPr>
          <w:rFonts w:hint="eastAsia" w:asciiTheme="minorEastAsia" w:hAnsiTheme="minorEastAsia" w:eastAsiaTheme="minorEastAsia" w:cstheme="minorEastAsia"/>
          <w:sz w:val="24"/>
        </w:rPr>
        <w:t>操作方面培训工作。</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中标方应免费提供远程技术服务，远程技术服务项目期限不受限于保修期，远程技术服务在设备报废前有效。</w:t>
      </w:r>
    </w:p>
    <w:p>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.2.6</w:t>
      </w:r>
      <w:r>
        <w:rPr>
          <w:rFonts w:hint="eastAsia" w:ascii="宋体" w:hAnsi="宋体" w:cs="宋体"/>
          <w:sz w:val="24"/>
          <w:lang w:val="en-US" w:eastAsia="zh-CN"/>
        </w:rPr>
        <w:t>成品</w:t>
      </w:r>
      <w:r>
        <w:rPr>
          <w:rFonts w:hint="eastAsia" w:ascii="宋体" w:hAnsi="宋体" w:cs="宋体"/>
          <w:sz w:val="24"/>
        </w:rPr>
        <w:t>交付项</w:t>
      </w:r>
    </w:p>
    <w:p>
      <w:pPr>
        <w:rPr>
          <w:rFonts w:ascii="宋体" w:hAnsi="宋体" w:cs="宋体"/>
          <w:sz w:val="24"/>
        </w:rPr>
      </w:pPr>
      <w:r>
        <w:rPr>
          <w:rFonts w:hint="eastAsia" w:ascii="宋体" w:hAnsi="宋体" w:cs="宋体"/>
          <w:sz w:val="24"/>
        </w:rPr>
        <w:t>投标方应在合同规定时间内，向招标方提供相应资料，包括：</w:t>
      </w:r>
    </w:p>
    <w:p>
      <w:pPr>
        <w:rPr>
          <w:rFonts w:hint="eastAsia" w:ascii="宋体" w:hAnsi="宋体" w:cs="宋体"/>
          <w:sz w:val="24"/>
          <w:lang w:eastAsia="zh-CN"/>
        </w:rPr>
      </w:pPr>
      <w:r>
        <w:rPr>
          <w:rFonts w:hint="eastAsia" w:ascii="宋体" w:hAnsi="宋体" w:cs="宋体"/>
          <w:sz w:val="24"/>
        </w:rPr>
        <w:t>（1）用户操作手册</w:t>
      </w:r>
      <w:r>
        <w:rPr>
          <w:rFonts w:hint="eastAsia" w:ascii="宋体" w:hAnsi="宋体" w:cs="宋体"/>
          <w:sz w:val="24"/>
          <w:lang w:eastAsia="zh-CN"/>
        </w:rPr>
        <w:t>。</w:t>
      </w:r>
    </w:p>
    <w:p>
      <w:pPr>
        <w:rPr>
          <w:rFonts w:hint="eastAsia" w:ascii="宋体" w:hAnsi="宋体" w:cs="宋体"/>
          <w:sz w:val="24"/>
          <w:lang w:eastAsia="zh-CN"/>
        </w:rPr>
      </w:pPr>
      <w:r>
        <w:rPr>
          <w:rFonts w:hint="eastAsia" w:ascii="宋体" w:hAnsi="宋体" w:cs="宋体"/>
          <w:sz w:val="24"/>
        </w:rPr>
        <w:t>（2）日常维护保养说明书</w:t>
      </w:r>
      <w:r>
        <w:rPr>
          <w:rFonts w:hint="eastAsia" w:ascii="宋体" w:hAnsi="宋体" w:cs="宋体"/>
          <w:sz w:val="24"/>
          <w:lang w:eastAsia="zh-CN"/>
        </w:rPr>
        <w:t>。</w:t>
      </w:r>
    </w:p>
    <w:p>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6"/>
    <w:bookmarkEnd w:id="17"/>
    <w:bookmarkEnd w:id="18"/>
    <w:bookmarkEnd w:id="19"/>
    <w:bookmarkEnd w:id="20"/>
    <w:bookmarkEnd w:id="21"/>
    <w:bookmarkEnd w:id="22"/>
    <w:bookmarkEnd w:id="23"/>
    <w:bookmarkEnd w:id="24"/>
    <w:bookmarkEnd w:id="25"/>
    <w:bookmarkEnd w:id="26"/>
    <w:p>
      <w:pPr>
        <w:rPr>
          <w:rFonts w:ascii="宋体" w:hAnsi="宋体" w:cs="宋体"/>
          <w:sz w:val="24"/>
        </w:rPr>
      </w:pPr>
      <w:bookmarkStart w:id="33"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3"/>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4" w:name="_Toc312827040"/>
      <w:bookmarkStart w:id="35" w:name="_Toc309593209"/>
      <w:bookmarkStart w:id="36" w:name="_Toc309805604"/>
      <w:bookmarkStart w:id="37" w:name="_Toc309593280"/>
      <w:bookmarkStart w:id="38" w:name="_Toc441483969"/>
      <w:bookmarkStart w:id="39" w:name="_Toc531004269"/>
      <w:bookmarkStart w:id="40" w:name="_Toc531004215"/>
      <w:bookmarkStart w:id="41" w:name="_Toc18633"/>
    </w:p>
    <w:p>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pPr>
        <w:pStyle w:val="8"/>
        <w:rPr>
          <w:rFonts w:hAnsi="宋体"/>
          <w:sz w:val="24"/>
        </w:rPr>
      </w:pPr>
      <w:r>
        <w:rPr>
          <w:rFonts w:hint="eastAsia" w:ascii="Times New Roman" w:hAnsi="Times New Roman"/>
          <w:sz w:val="24"/>
        </w:rPr>
        <w:t>（1）沟通项目所需资料的收集</w:t>
      </w:r>
      <w:r>
        <w:rPr>
          <w:rFonts w:hint="eastAsia" w:hAnsi="宋体"/>
          <w:sz w:val="24"/>
        </w:rPr>
        <w:t>。</w:t>
      </w:r>
    </w:p>
    <w:p>
      <w:pPr>
        <w:pStyle w:val="8"/>
        <w:rPr>
          <w:rFonts w:hAnsi="宋体"/>
          <w:sz w:val="24"/>
        </w:rPr>
      </w:pPr>
      <w:r>
        <w:rPr>
          <w:rFonts w:hint="eastAsia" w:ascii="Times New Roman" w:hAnsi="Times New Roman"/>
          <w:sz w:val="24"/>
        </w:rPr>
        <w:t>（2）沟通项目进度信息。</w:t>
      </w:r>
    </w:p>
    <w:p>
      <w:pPr>
        <w:pStyle w:val="8"/>
        <w:rPr>
          <w:rFonts w:hAnsi="宋体"/>
          <w:sz w:val="24"/>
        </w:rPr>
      </w:pPr>
      <w:r>
        <w:rPr>
          <w:rFonts w:hint="eastAsia" w:ascii="Times New Roman" w:hAnsi="Times New Roman"/>
          <w:sz w:val="24"/>
        </w:rPr>
        <w:t>（3）协商解决项目执行过程中遇到的问题。</w:t>
      </w:r>
    </w:p>
    <w:p>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pPr>
        <w:spacing w:line="360" w:lineRule="auto"/>
        <w:ind w:left="6" w:leftChars="3" w:firstLine="480" w:firstLineChars="200"/>
        <w:rPr>
          <w:sz w:val="24"/>
        </w:rPr>
      </w:pPr>
      <w:r>
        <w:rPr>
          <w:rFonts w:hint="eastAsia"/>
          <w:sz w:val="24"/>
        </w:rPr>
        <w:t>投标方</w:t>
      </w:r>
      <w:r>
        <w:rPr>
          <w:sz w:val="24"/>
        </w:rPr>
        <w:t>技术文件应包括：</w:t>
      </w:r>
    </w:p>
    <w:p>
      <w:pPr>
        <w:spacing w:line="360" w:lineRule="auto"/>
        <w:ind w:left="6" w:leftChars="3" w:firstLine="480" w:firstLineChars="200"/>
        <w:rPr>
          <w:sz w:val="24"/>
        </w:rPr>
      </w:pPr>
      <w:r>
        <w:rPr>
          <w:sz w:val="24"/>
        </w:rPr>
        <w:t>（1）</w:t>
      </w:r>
      <w:r>
        <w:rPr>
          <w:rFonts w:ascii="宋体" w:hAnsi="宋体" w:cs="宋体"/>
          <w:sz w:val="24"/>
        </w:rPr>
        <w:t>提供完整的</w:t>
      </w:r>
      <w:r>
        <w:rPr>
          <w:rFonts w:hint="eastAsia" w:ascii="宋体" w:hAnsi="宋体" w:cs="宋体"/>
          <w:sz w:val="24"/>
          <w:lang w:eastAsia="zh-CN"/>
        </w:rPr>
        <w:t>产品</w:t>
      </w:r>
      <w:r>
        <w:rPr>
          <w:rFonts w:ascii="宋体" w:hAnsi="宋体" w:cs="宋体"/>
          <w:sz w:val="24"/>
        </w:rPr>
        <w:t>设计方案、</w:t>
      </w:r>
      <w:r>
        <w:rPr>
          <w:rFonts w:hint="eastAsia" w:ascii="宋体" w:hAnsi="宋体" w:cs="宋体"/>
          <w:sz w:val="24"/>
          <w:lang w:eastAsia="zh-CN"/>
        </w:rPr>
        <w:t>产品</w:t>
      </w:r>
      <w:r>
        <w:rPr>
          <w:rFonts w:hint="eastAsia" w:ascii="宋体" w:hAnsi="宋体" w:cs="宋体"/>
          <w:sz w:val="24"/>
        </w:rPr>
        <w:t>架构说明，数据库设计说明</w:t>
      </w:r>
      <w:r>
        <w:rPr>
          <w:rFonts w:ascii="宋体" w:hAnsi="宋体" w:cs="宋体"/>
          <w:sz w:val="24"/>
        </w:rPr>
        <w:t>、数据流转逻辑及实施方案与计划</w:t>
      </w:r>
      <w:r>
        <w:rPr>
          <w:rFonts w:hint="eastAsia" w:ascii="宋体" w:hAnsi="宋体" w:cs="宋体"/>
          <w:sz w:val="24"/>
          <w:lang w:eastAsia="zh-CN"/>
        </w:rPr>
        <w:t>；</w:t>
      </w:r>
    </w:p>
    <w:p>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pPr>
        <w:pStyle w:val="4"/>
        <w:numPr>
          <w:ilvl w:val="0"/>
          <w:numId w:val="0"/>
        </w:numPr>
        <w:rPr>
          <w:rFonts w:hint="eastAsia" w:ascii="黑体" w:hAnsi="黑体" w:eastAsia="黑体" w:cs="黑体"/>
          <w:b/>
          <w:bCs/>
          <w:kern w:val="2"/>
          <w:sz w:val="28"/>
          <w:szCs w:val="36"/>
          <w:lang w:val="en-US" w:eastAsia="zh-CN" w:bidi="ar-SA"/>
        </w:rPr>
      </w:pPr>
      <w:bookmarkStart w:id="42" w:name="_Toc309593208"/>
      <w:bookmarkStart w:id="43" w:name="_Toc12192"/>
      <w:bookmarkStart w:id="44" w:name="_Toc309593279"/>
      <w:bookmarkStart w:id="45" w:name="_Toc309805603"/>
      <w:bookmarkStart w:id="46" w:name="_Toc26448179"/>
      <w:bookmarkStart w:id="47" w:name="_Toc14774"/>
      <w:bookmarkStart w:id="48" w:name="_Toc12135"/>
      <w:bookmarkStart w:id="49" w:name="_Toc23520"/>
      <w:bookmarkStart w:id="50" w:name="_Toc312827039"/>
      <w:r>
        <w:rPr>
          <w:rFonts w:hint="eastAsia" w:ascii="黑体" w:hAnsi="黑体" w:eastAsia="黑体" w:cs="黑体"/>
          <w:b/>
          <w:bCs/>
          <w:kern w:val="2"/>
          <w:sz w:val="28"/>
          <w:szCs w:val="36"/>
          <w:lang w:val="en-US" w:eastAsia="zh-CN" w:bidi="ar-SA"/>
        </w:rPr>
        <w:t>6.※工期进度要求</w:t>
      </w:r>
      <w:bookmarkEnd w:id="42"/>
      <w:bookmarkEnd w:id="43"/>
      <w:bookmarkEnd w:id="44"/>
      <w:bookmarkEnd w:id="45"/>
      <w:bookmarkEnd w:id="46"/>
      <w:bookmarkEnd w:id="47"/>
      <w:bookmarkEnd w:id="48"/>
      <w:bookmarkEnd w:id="49"/>
      <w:bookmarkEnd w:id="50"/>
    </w:p>
    <w:p>
      <w:pPr>
        <w:spacing w:line="360" w:lineRule="auto"/>
        <w:ind w:left="6" w:leftChars="3" w:firstLine="480" w:firstLineChars="200"/>
        <w:rPr>
          <w:sz w:val="24"/>
        </w:rPr>
      </w:pPr>
      <w:r>
        <w:rPr>
          <w:sz w:val="24"/>
        </w:rPr>
        <w:t>本项目应按照下表所示进度安排开展试验工作：</w:t>
      </w:r>
    </w:p>
    <w:tbl>
      <w:tblPr>
        <w:tblStyle w:val="13"/>
        <w:tblW w:w="88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0" w:hRule="atLeast"/>
          <w:jc w:val="center"/>
        </w:trPr>
        <w:tc>
          <w:tcPr>
            <w:tcW w:w="1737" w:type="dxa"/>
            <w:noWrap w:val="0"/>
            <w:vAlign w:val="center"/>
          </w:tcPr>
          <w:p>
            <w:pPr>
              <w:jc w:val="center"/>
              <w:rPr>
                <w:b/>
                <w:sz w:val="24"/>
              </w:rPr>
            </w:pPr>
            <w:r>
              <w:rPr>
                <w:b/>
                <w:sz w:val="24"/>
              </w:rPr>
              <w:t>任务名称</w:t>
            </w:r>
          </w:p>
        </w:tc>
        <w:tc>
          <w:tcPr>
            <w:tcW w:w="1734" w:type="dxa"/>
            <w:noWrap w:val="0"/>
            <w:vAlign w:val="center"/>
          </w:tcPr>
          <w:p>
            <w:pPr>
              <w:jc w:val="center"/>
              <w:rPr>
                <w:b/>
                <w:sz w:val="24"/>
              </w:rPr>
            </w:pPr>
            <w:r>
              <w:rPr>
                <w:b/>
                <w:sz w:val="24"/>
              </w:rPr>
              <w:t>工作时间</w:t>
            </w:r>
          </w:p>
        </w:tc>
        <w:tc>
          <w:tcPr>
            <w:tcW w:w="5358" w:type="dxa"/>
            <w:noWrap w:val="0"/>
            <w:vAlign w:val="center"/>
          </w:tcPr>
          <w:p>
            <w:pPr>
              <w:tabs>
                <w:tab w:val="left" w:pos="859"/>
              </w:tabs>
              <w:ind w:left="111" w:leftChars="53" w:firstLine="7" w:firstLineChars="3"/>
              <w:jc w:val="center"/>
              <w:rPr>
                <w:b/>
                <w:sz w:val="24"/>
              </w:rPr>
            </w:pPr>
            <w:r>
              <w:rPr>
                <w:b/>
                <w:sz w:val="24"/>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41" w:hRule="atLeast"/>
          <w:jc w:val="center"/>
        </w:trPr>
        <w:tc>
          <w:tcPr>
            <w:tcW w:w="1737" w:type="dxa"/>
            <w:noWrap w:val="0"/>
            <w:vAlign w:val="center"/>
          </w:tcPr>
          <w:p>
            <w:pPr>
              <w:pStyle w:val="55"/>
              <w:snapToGrid w:val="0"/>
              <w:rPr>
                <w:rFonts w:hint="eastAsia" w:ascii="Times New Roman" w:eastAsia="宋体"/>
                <w:kern w:val="2"/>
                <w:sz w:val="21"/>
                <w:szCs w:val="21"/>
                <w:lang w:eastAsia="zh-CN"/>
              </w:rPr>
            </w:pPr>
            <w:r>
              <w:rPr>
                <w:rFonts w:hint="eastAsia" w:ascii="Times New Roman" w:eastAsia="宋体"/>
                <w:kern w:val="2"/>
                <w:sz w:val="21"/>
                <w:szCs w:val="21"/>
                <w:lang w:eastAsia="zh-CN"/>
              </w:rPr>
              <w:t>需求调研与</w:t>
            </w:r>
            <w:r>
              <w:rPr>
                <w:rFonts w:hint="eastAsia" w:ascii="Calibri" w:hAnsi="Calibri" w:eastAsia="宋体" w:cs="Times New Roman"/>
                <w:kern w:val="2"/>
                <w:sz w:val="21"/>
                <w:szCs w:val="21"/>
                <w:lang w:val="en-US" w:eastAsia="zh-CN" w:bidi="ar-SA"/>
              </w:rPr>
              <w:t>产品</w:t>
            </w:r>
            <w:r>
              <w:rPr>
                <w:rFonts w:hint="eastAsia" w:ascii="Times New Roman" w:eastAsia="宋体"/>
                <w:kern w:val="2"/>
                <w:sz w:val="21"/>
                <w:szCs w:val="21"/>
                <w:lang w:eastAsia="zh-CN"/>
              </w:rPr>
              <w:t>设计</w:t>
            </w:r>
          </w:p>
        </w:tc>
        <w:tc>
          <w:tcPr>
            <w:tcW w:w="1734" w:type="dxa"/>
            <w:noWrap w:val="0"/>
            <w:vAlign w:val="center"/>
          </w:tcPr>
          <w:p>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1</w:t>
            </w:r>
            <w:r>
              <w:rPr>
                <w:rFonts w:hint="eastAsia"/>
                <w:szCs w:val="21"/>
              </w:rPr>
              <w:t>月内</w:t>
            </w:r>
          </w:p>
        </w:tc>
        <w:tc>
          <w:tcPr>
            <w:tcW w:w="5358" w:type="dxa"/>
            <w:noWrap w:val="0"/>
            <w:vAlign w:val="center"/>
          </w:tcPr>
          <w:p>
            <w:pPr>
              <w:pStyle w:val="55"/>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pPr>
              <w:pStyle w:val="55"/>
              <w:numPr>
                <w:ilvl w:val="0"/>
                <w:numId w:val="2"/>
              </w:numPr>
              <w:snapToGrid w:val="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调研现场高温带电作业、现有屏蔽服使用缺陷；</w:t>
            </w:r>
          </w:p>
          <w:p>
            <w:pPr>
              <w:pStyle w:val="55"/>
              <w:numPr>
                <w:ilvl w:val="0"/>
                <w:numId w:val="2"/>
              </w:numPr>
              <w:snapToGrid w:val="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完成高透气屏蔽面料选型、版型通风结构设计；</w:t>
            </w:r>
          </w:p>
          <w:p>
            <w:pPr>
              <w:pStyle w:val="55"/>
              <w:numPr>
                <w:ilvl w:val="0"/>
                <w:numId w:val="2"/>
              </w:numPr>
              <w:snapToGrid w:val="0"/>
              <w:ind w:left="0" w:leftChars="0" w:firstLine="0" w:firstLineChars="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完成微型制冷产品集成结构设计；</w:t>
            </w:r>
          </w:p>
          <w:p>
            <w:pPr>
              <w:pStyle w:val="55"/>
              <w:numPr>
                <w:ilvl w:val="0"/>
                <w:numId w:val="2"/>
              </w:numPr>
              <w:snapToGrid w:val="0"/>
              <w:ind w:left="0" w:leftChars="0" w:firstLine="0" w:firstLineChars="0"/>
              <w:rPr>
                <w:rFonts w:hint="eastAsia" w:ascii="Times New Roman" w:eastAsia="宋体" w:cs="Times New Roman"/>
                <w:kern w:val="2"/>
                <w:sz w:val="21"/>
                <w:szCs w:val="21"/>
              </w:rPr>
            </w:pPr>
            <w:r>
              <w:rPr>
                <w:rFonts w:hint="eastAsia" w:ascii="Calibri" w:hAnsi="Calibri" w:eastAsia="宋体" w:cs="Times New Roman"/>
                <w:kern w:val="2"/>
                <w:sz w:val="21"/>
                <w:szCs w:val="21"/>
                <w:lang w:val="en-US" w:eastAsia="zh-CN" w:bidi="ar-SA"/>
              </w:rPr>
              <w:t>组织设计方案评审。</w:t>
            </w:r>
          </w:p>
          <w:p>
            <w:pPr>
              <w:pStyle w:val="55"/>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w:t>
            </w:r>
            <w:r>
              <w:rPr>
                <w:rFonts w:hint="eastAsia" w:ascii="Calibri" w:hAnsi="Calibri" w:eastAsia="宋体" w:cs="Times New Roman"/>
                <w:kern w:val="2"/>
                <w:sz w:val="21"/>
                <w:szCs w:val="21"/>
                <w:lang w:val="en-US" w:eastAsia="zh-CN" w:bidi="ar-SA"/>
              </w:rPr>
              <w:t>全套产品</w:t>
            </w:r>
            <w:r>
              <w:rPr>
                <w:rFonts w:hint="eastAsia" w:ascii="宋体" w:hAnsi="宋体" w:eastAsia="宋体" w:cs="宋体"/>
                <w:kern w:val="2"/>
                <w:sz w:val="21"/>
                <w:szCs w:val="21"/>
              </w:rPr>
              <w:t>设计方案1份。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57" w:hRule="atLeast"/>
          <w:jc w:val="center"/>
        </w:trPr>
        <w:tc>
          <w:tcPr>
            <w:tcW w:w="1737" w:type="dxa"/>
            <w:noWrap w:val="0"/>
            <w:vAlign w:val="center"/>
          </w:tcPr>
          <w:p>
            <w:pPr>
              <w:pStyle w:val="55"/>
              <w:snapToGrid w:val="0"/>
              <w:rPr>
                <w:rFonts w:ascii="Times New Roman" w:eastAsia="宋体"/>
                <w:kern w:val="2"/>
                <w:sz w:val="21"/>
                <w:szCs w:val="21"/>
                <w:highlight w:val="none"/>
              </w:rPr>
            </w:pPr>
            <w:r>
              <w:rPr>
                <w:rFonts w:hint="eastAsia" w:ascii="Times New Roman" w:eastAsia="宋体"/>
                <w:kern w:val="2"/>
                <w:sz w:val="21"/>
                <w:szCs w:val="21"/>
                <w:highlight w:val="none"/>
                <w:lang w:val="en-US" w:eastAsia="zh-CN"/>
              </w:rPr>
              <w:t>产品加工</w:t>
            </w:r>
          </w:p>
        </w:tc>
        <w:tc>
          <w:tcPr>
            <w:tcW w:w="1734" w:type="dxa"/>
            <w:noWrap w:val="0"/>
            <w:vAlign w:val="center"/>
          </w:tcPr>
          <w:p>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pPr>
              <w:pStyle w:val="55"/>
              <w:snapToGrid w:val="0"/>
              <w:rPr>
                <w:rFonts w:ascii="Times New Roman" w:eastAsia="宋体"/>
                <w:b/>
                <w:kern w:val="2"/>
                <w:sz w:val="21"/>
                <w:szCs w:val="21"/>
              </w:rPr>
            </w:pPr>
            <w:r>
              <w:rPr>
                <w:rFonts w:ascii="Times New Roman" w:eastAsia="宋体"/>
                <w:b/>
                <w:kern w:val="2"/>
                <w:sz w:val="21"/>
                <w:szCs w:val="21"/>
              </w:rPr>
              <w:t>主要内容：</w:t>
            </w:r>
          </w:p>
          <w:p>
            <w:pPr>
              <w:pStyle w:val="55"/>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（1）通风透气性能的超特高压输电线路带电作业屏蔽服；</w:t>
            </w:r>
          </w:p>
          <w:p>
            <w:pPr>
              <w:pStyle w:val="55"/>
              <w:snapToGrid w:val="0"/>
              <w:rPr>
                <w:rFonts w:hint="eastAsia" w:ascii="Times New Roman" w:eastAsia="宋体" w:cs="Times New Roman"/>
                <w:kern w:val="2"/>
                <w:sz w:val="21"/>
                <w:szCs w:val="21"/>
              </w:rPr>
            </w:pPr>
            <w:r>
              <w:rPr>
                <w:rFonts w:hint="eastAsia" w:ascii="Times New Roman" w:eastAsia="宋体" w:cs="Times New Roman"/>
                <w:kern w:val="2"/>
                <w:sz w:val="21"/>
                <w:szCs w:val="21"/>
              </w:rPr>
              <w:t>（2）具有空调功能的带电作业屏蔽服，该装置不能影响屏蔽服的屏蔽性能；</w:t>
            </w:r>
          </w:p>
          <w:p>
            <w:pPr>
              <w:pStyle w:val="55"/>
              <w:snapToGrid w:val="0"/>
              <w:rPr>
                <w:rFonts w:hint="eastAsia" w:ascii="Times New Roman" w:eastAsia="宋体" w:cs="Times New Roman"/>
                <w:kern w:val="2"/>
                <w:sz w:val="21"/>
                <w:szCs w:val="21"/>
              </w:rPr>
            </w:pPr>
            <w:r>
              <w:rPr>
                <w:rFonts w:hint="eastAsia" w:ascii="Times New Roman" w:eastAsia="宋体" w:cs="Times New Roman"/>
                <w:kern w:val="2"/>
                <w:sz w:val="21"/>
                <w:szCs w:val="21"/>
              </w:rPr>
              <w:t>（3）通风设备电池容量需满足现场工作需要，可重复充电使用，单次连续使用时间不少于4小时；</w:t>
            </w:r>
          </w:p>
          <w:p>
            <w:pPr>
              <w:pStyle w:val="55"/>
              <w:snapToGrid w:val="0"/>
              <w:rPr>
                <w:rFonts w:hint="eastAsia" w:ascii="Times New Roman" w:eastAsia="宋体" w:cs="Times New Roman"/>
                <w:kern w:val="2"/>
                <w:sz w:val="21"/>
                <w:szCs w:val="21"/>
              </w:rPr>
            </w:pPr>
            <w:r>
              <w:rPr>
                <w:rFonts w:hint="eastAsia" w:ascii="Times New Roman" w:eastAsia="宋体" w:cs="Times New Roman"/>
                <w:kern w:val="2"/>
                <w:sz w:val="21"/>
                <w:szCs w:val="21"/>
              </w:rPr>
              <w:t>（4）供电模块：采用锂电池供电；</w:t>
            </w:r>
          </w:p>
          <w:p>
            <w:pPr>
              <w:pStyle w:val="55"/>
              <w:snapToGrid w:val="0"/>
              <w:rPr>
                <w:rFonts w:hint="eastAsia" w:ascii="Times New Roman" w:eastAsia="宋体" w:cs="Times New Roman"/>
                <w:kern w:val="2"/>
                <w:sz w:val="21"/>
                <w:szCs w:val="21"/>
              </w:rPr>
            </w:pPr>
            <w:r>
              <w:rPr>
                <w:rFonts w:hint="eastAsia" w:ascii="Times New Roman" w:eastAsia="宋体" w:cs="Times New Roman"/>
                <w:kern w:val="2"/>
                <w:sz w:val="21"/>
                <w:szCs w:val="21"/>
              </w:rPr>
              <w:t>（5）提供全套屏蔽服的通风设备、屏蔽服性能技术参数，整体结构轻量化，同时兼耐用、耐腐蚀的材料。</w:t>
            </w:r>
          </w:p>
          <w:p>
            <w:pPr>
              <w:pStyle w:val="55"/>
              <w:snapToGrid w:val="0"/>
              <w:rPr>
                <w:rFonts w:ascii="Times New Roman" w:eastAsia="宋体"/>
                <w:b/>
                <w:kern w:val="2"/>
                <w:sz w:val="21"/>
                <w:szCs w:val="21"/>
              </w:rPr>
            </w:pPr>
            <w:r>
              <w:rPr>
                <w:rFonts w:ascii="Times New Roman" w:eastAsia="宋体"/>
                <w:b/>
                <w:kern w:val="2"/>
                <w:sz w:val="21"/>
                <w:szCs w:val="21"/>
              </w:rPr>
              <w:t>交付项：</w:t>
            </w:r>
          </w:p>
          <w:p>
            <w:pPr>
              <w:pStyle w:val="55"/>
              <w:snapToGrid w:val="0"/>
              <w:rPr>
                <w:rFonts w:hint="eastAsia" w:ascii="Times New Roman" w:eastAsia="宋体"/>
              </w:rPr>
            </w:pPr>
            <w:r>
              <w:rPr>
                <w:rFonts w:hint="default" w:ascii="Times New Roman" w:eastAsia="宋体" w:cs="Times New Roman"/>
                <w:kern w:val="2"/>
                <w:sz w:val="21"/>
                <w:szCs w:val="21"/>
              </w:rPr>
              <w:t>（1）</w:t>
            </w:r>
            <w:r>
              <w:rPr>
                <w:rFonts w:hint="eastAsia" w:ascii="Times New Roman" w:eastAsia="宋体" w:cs="Times New Roman"/>
                <w:kern w:val="2"/>
                <w:sz w:val="21"/>
                <w:szCs w:val="21"/>
                <w:lang w:val="en-US" w:eastAsia="zh-CN"/>
              </w:rPr>
              <w:t>全套产品1套</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检测试验</w:t>
            </w:r>
            <w:r>
              <w:rPr>
                <w:rFonts w:hint="default" w:ascii="Times New Roman" w:eastAsia="宋体" w:cs="Times New Roman"/>
                <w:kern w:val="2"/>
                <w:sz w:val="21"/>
                <w:szCs w:val="21"/>
              </w:rPr>
              <w:t>报告1份。</w:t>
            </w:r>
            <w:r>
              <w:rPr>
                <w:rFonts w:hint="eastAsia" w:ascii="Times New Roman" w:eastAsia="宋体" w:cs="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09" w:hRule="atLeast"/>
          <w:jc w:val="center"/>
        </w:trPr>
        <w:tc>
          <w:tcPr>
            <w:tcW w:w="1737" w:type="dxa"/>
            <w:noWrap w:val="0"/>
            <w:vAlign w:val="center"/>
          </w:tcPr>
          <w:p>
            <w:pPr>
              <w:pStyle w:val="55"/>
              <w:snapToGrid w:val="0"/>
              <w:rPr>
                <w:rFonts w:ascii="Times New Roman" w:eastAsia="宋体"/>
                <w:kern w:val="2"/>
                <w:sz w:val="21"/>
                <w:szCs w:val="21"/>
                <w:highlight w:val="none"/>
              </w:rPr>
            </w:pPr>
            <w:r>
              <w:rPr>
                <w:rFonts w:hint="eastAsia" w:ascii="Times New Roman" w:eastAsia="宋体"/>
                <w:kern w:val="2"/>
                <w:sz w:val="21"/>
                <w:szCs w:val="21"/>
                <w:highlight w:val="none"/>
                <w:lang w:val="en-US" w:eastAsia="zh-CN"/>
              </w:rPr>
              <w:t>产品试验及优化</w:t>
            </w:r>
          </w:p>
        </w:tc>
        <w:tc>
          <w:tcPr>
            <w:tcW w:w="1734" w:type="dxa"/>
            <w:noWrap w:val="0"/>
            <w:vAlign w:val="center"/>
          </w:tcPr>
          <w:p>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pPr>
              <w:pStyle w:val="55"/>
              <w:snapToGrid w:val="0"/>
              <w:rPr>
                <w:rFonts w:ascii="Times New Roman" w:eastAsia="宋体"/>
                <w:b/>
                <w:kern w:val="2"/>
                <w:sz w:val="21"/>
                <w:szCs w:val="21"/>
              </w:rPr>
            </w:pPr>
            <w:r>
              <w:rPr>
                <w:rFonts w:ascii="Times New Roman" w:eastAsia="宋体"/>
                <w:b/>
                <w:kern w:val="2"/>
                <w:sz w:val="21"/>
                <w:szCs w:val="21"/>
              </w:rPr>
              <w:t>主要内容：</w:t>
            </w:r>
          </w:p>
          <w:p>
            <w:pPr>
              <w:pStyle w:val="55"/>
              <w:snapToGrid w:val="0"/>
              <w:rPr>
                <w:rFonts w:hint="eastAsia" w:ascii="Times New Roman" w:eastAsia="宋体" w:cs="Times New Roman"/>
                <w:kern w:val="2"/>
                <w:sz w:val="21"/>
                <w:szCs w:val="21"/>
              </w:rPr>
            </w:pPr>
            <w:r>
              <w:rPr>
                <w:rFonts w:hint="default" w:ascii="Times New Roman" w:eastAsia="宋体" w:cs="Times New Roman"/>
                <w:kern w:val="2"/>
                <w:sz w:val="21"/>
                <w:szCs w:val="21"/>
              </w:rPr>
              <w:t>（1）完成</w:t>
            </w:r>
            <w:r>
              <w:rPr>
                <w:rFonts w:hint="eastAsia" w:ascii="Times New Roman" w:eastAsia="宋体" w:cs="Times New Roman"/>
                <w:kern w:val="2"/>
                <w:sz w:val="21"/>
                <w:szCs w:val="21"/>
                <w:lang w:eastAsia="zh-CN"/>
              </w:rPr>
              <w:t>产品</w:t>
            </w:r>
            <w:r>
              <w:rPr>
                <w:rFonts w:hint="default" w:ascii="Times New Roman" w:eastAsia="宋体" w:cs="Times New Roman"/>
                <w:kern w:val="2"/>
                <w:sz w:val="21"/>
                <w:szCs w:val="21"/>
              </w:rPr>
              <w:t>功能测试、性能测试及安全测试；</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default" w:ascii="Times New Roman" w:eastAsia="宋体" w:cs="Times New Roman"/>
                <w:kern w:val="2"/>
                <w:sz w:val="21"/>
                <w:szCs w:val="21"/>
                <w:lang w:val="en-US" w:eastAsia="zh-CN"/>
              </w:rPr>
              <w:t>组织一线作业人员现场试穿，收集穿戴反馈</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（3）优化</w:t>
            </w:r>
            <w:r>
              <w:rPr>
                <w:rFonts w:hint="eastAsia" w:ascii="Times New Roman" w:eastAsia="宋体" w:cs="Times New Roman"/>
                <w:kern w:val="2"/>
                <w:sz w:val="21"/>
                <w:szCs w:val="21"/>
                <w:lang w:eastAsia="zh-CN"/>
              </w:rPr>
              <w:t>产品</w:t>
            </w:r>
            <w:r>
              <w:rPr>
                <w:rFonts w:hint="default" w:ascii="Times New Roman" w:eastAsia="宋体" w:cs="Times New Roman"/>
                <w:kern w:val="2"/>
                <w:sz w:val="21"/>
                <w:szCs w:val="21"/>
              </w:rPr>
              <w:t>稳定性与用户体验；</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（4）</w:t>
            </w:r>
            <w:r>
              <w:rPr>
                <w:rFonts w:hint="default" w:ascii="Times New Roman" w:eastAsia="宋体" w:cs="Times New Roman"/>
                <w:kern w:val="2"/>
                <w:sz w:val="21"/>
                <w:szCs w:val="21"/>
                <w:lang w:val="en-US" w:eastAsia="zh-CN"/>
              </w:rPr>
              <w:t>根据试用数据优化风道、制冷模组。</w:t>
            </w:r>
          </w:p>
          <w:p>
            <w:pPr>
              <w:pStyle w:val="55"/>
              <w:snapToGrid w:val="0"/>
              <w:rPr>
                <w:rFonts w:ascii="Times New Roman" w:eastAsia="宋体"/>
                <w:kern w:val="2"/>
                <w:sz w:val="21"/>
                <w:szCs w:val="21"/>
              </w:rPr>
            </w:pPr>
            <w:r>
              <w:rPr>
                <w:rFonts w:ascii="Times New Roman" w:eastAsia="宋体"/>
                <w:b/>
                <w:kern w:val="2"/>
                <w:sz w:val="21"/>
                <w:szCs w:val="21"/>
              </w:rPr>
              <w:t>交付项：</w:t>
            </w:r>
          </w:p>
          <w:p>
            <w:pPr>
              <w:pStyle w:val="55"/>
              <w:snapToGrid w:val="0"/>
              <w:rPr>
                <w:rFonts w:hint="default" w:ascii="Times New Roman" w:eastAsia="宋体"/>
                <w:kern w:val="2"/>
                <w:sz w:val="21"/>
                <w:szCs w:val="21"/>
                <w:lang w:val="en-US" w:eastAsia="zh-CN"/>
              </w:rPr>
            </w:pPr>
            <w:r>
              <w:rPr>
                <w:rFonts w:hint="eastAsia"/>
                <w:sz w:val="21"/>
                <w:szCs w:val="21"/>
              </w:rPr>
              <w:t>（</w:t>
            </w:r>
            <w:r>
              <w:rPr>
                <w:rFonts w:hint="eastAsia" w:ascii="Times New Roman" w:eastAsia="宋体"/>
                <w:kern w:val="2"/>
                <w:sz w:val="21"/>
                <w:szCs w:val="21"/>
              </w:rPr>
              <w:t>1）</w:t>
            </w:r>
            <w:r>
              <w:rPr>
                <w:rFonts w:hint="default" w:ascii="Times New Roman" w:eastAsia="宋体" w:cs="Times New Roman"/>
                <w:kern w:val="2"/>
                <w:sz w:val="21"/>
                <w:szCs w:val="21"/>
                <w:lang w:val="en-US" w:eastAsia="zh-CN"/>
              </w:rPr>
              <w:t>全套性能检测报告、样品优化后成品 1 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0" w:hRule="atLeast"/>
          <w:jc w:val="center"/>
        </w:trPr>
        <w:tc>
          <w:tcPr>
            <w:tcW w:w="1737" w:type="dxa"/>
            <w:noWrap w:val="0"/>
            <w:vAlign w:val="center"/>
          </w:tcPr>
          <w:p>
            <w:pPr>
              <w:pStyle w:val="55"/>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pPr>
              <w:pStyle w:val="55"/>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pPr>
              <w:pStyle w:val="55"/>
              <w:snapToGrid w:val="0"/>
              <w:rPr>
                <w:rFonts w:ascii="Times New Roman" w:eastAsia="宋体"/>
                <w:kern w:val="2"/>
                <w:sz w:val="21"/>
                <w:szCs w:val="21"/>
                <w:highlight w:val="none"/>
              </w:rPr>
            </w:pPr>
            <w:r>
              <w:rPr>
                <w:rFonts w:ascii="Times New Roman" w:eastAsia="宋体"/>
                <w:b/>
                <w:kern w:val="2"/>
                <w:sz w:val="21"/>
                <w:szCs w:val="21"/>
                <w:highlight w:val="none"/>
              </w:rPr>
              <w:t>交付项</w:t>
            </w:r>
            <w:r>
              <w:rPr>
                <w:rFonts w:ascii="Times New Roman" w:eastAsia="宋体"/>
                <w:kern w:val="2"/>
                <w:sz w:val="21"/>
                <w:szCs w:val="21"/>
                <w:highlight w:val="none"/>
              </w:rPr>
              <w:t>：</w:t>
            </w:r>
          </w:p>
          <w:p>
            <w:pPr>
              <w:pStyle w:val="55"/>
              <w:snapToGrid w:val="0"/>
              <w:rPr>
                <w:rFonts w:ascii="Times New Roman"/>
                <w:highlight w:val="none"/>
              </w:rPr>
            </w:pPr>
            <w:r>
              <w:rPr>
                <w:rFonts w:hint="eastAsia" w:ascii="Times New Roman" w:eastAsia="宋体" w:cs="Times New Roman"/>
                <w:kern w:val="2"/>
                <w:sz w:val="21"/>
                <w:szCs w:val="21"/>
              </w:rPr>
              <w:t>（1）项目研究报告1份；</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发明专利</w:t>
            </w:r>
            <w:r>
              <w:rPr>
                <w:rFonts w:hint="default" w:ascii="Times New Roman" w:eastAsia="宋体" w:cs="Times New Roman"/>
                <w:kern w:val="2"/>
                <w:sz w:val="21"/>
                <w:szCs w:val="21"/>
              </w:rPr>
              <w:t>受理通知书1项；</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（3）项目验收材料全套。</w:t>
            </w:r>
          </w:p>
        </w:tc>
      </w:tr>
    </w:tbl>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4"/>
      <w:bookmarkEnd w:id="35"/>
      <w:bookmarkEnd w:id="36"/>
      <w:bookmarkEnd w:id="37"/>
      <w:bookmarkEnd w:id="38"/>
      <w:bookmarkEnd w:id="39"/>
      <w:bookmarkEnd w:id="40"/>
    </w:p>
    <w:p>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1"/>
    </w:p>
    <w:p>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abstractNum w:abstractNumId="1">
    <w:nsid w:val="336C6040"/>
    <w:multiLevelType w:val="singleLevel"/>
    <w:tmpl w:val="336C604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5EE354F"/>
    <w:rsid w:val="06D27AF8"/>
    <w:rsid w:val="06F2484F"/>
    <w:rsid w:val="0A210078"/>
    <w:rsid w:val="0C030754"/>
    <w:rsid w:val="0CA05D46"/>
    <w:rsid w:val="0F966A31"/>
    <w:rsid w:val="10550F6F"/>
    <w:rsid w:val="11701803"/>
    <w:rsid w:val="128F30ED"/>
    <w:rsid w:val="12BD66DE"/>
    <w:rsid w:val="13132954"/>
    <w:rsid w:val="163A1216"/>
    <w:rsid w:val="166F3EB8"/>
    <w:rsid w:val="191A5617"/>
    <w:rsid w:val="1A0A5C1B"/>
    <w:rsid w:val="1BD511FB"/>
    <w:rsid w:val="1F8A11CF"/>
    <w:rsid w:val="20F20322"/>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68F28FD"/>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2420D12"/>
    <w:rsid w:val="54F93D57"/>
    <w:rsid w:val="56061A78"/>
    <w:rsid w:val="5643156F"/>
    <w:rsid w:val="57AF48B9"/>
    <w:rsid w:val="592823C4"/>
    <w:rsid w:val="592C035C"/>
    <w:rsid w:val="5981212C"/>
    <w:rsid w:val="5B187842"/>
    <w:rsid w:val="5CA50150"/>
    <w:rsid w:val="5D615387"/>
    <w:rsid w:val="61C27952"/>
    <w:rsid w:val="6212562E"/>
    <w:rsid w:val="62DB3950"/>
    <w:rsid w:val="62F53AC8"/>
    <w:rsid w:val="637B25C6"/>
    <w:rsid w:val="63D72C4E"/>
    <w:rsid w:val="66FE4F15"/>
    <w:rsid w:val="68F77DB6"/>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3"/>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99"/>
    <w:pPr>
      <w:spacing w:before="240" w:after="60"/>
      <w:jc w:val="center"/>
      <w:outlineLvl w:val="0"/>
    </w:pPr>
    <w:rPr>
      <w:rFonts w:ascii="Arial" w:hAnsi="Arial"/>
      <w:b/>
      <w:bCs/>
      <w:sz w:val="32"/>
      <w:szCs w:val="32"/>
    </w:rPr>
  </w:style>
  <w:style w:type="paragraph" w:styleId="7">
    <w:name w:val="Body Text Indent"/>
    <w:basedOn w:val="1"/>
    <w:unhideWhenUsed/>
    <w:qFormat/>
    <w:uiPriority w:val="99"/>
    <w:pPr>
      <w:spacing w:after="120"/>
      <w:ind w:left="420" w:leftChars="200"/>
    </w:p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paragraph" w:styleId="12">
    <w:name w:val="Body Text First Indent 2"/>
    <w:basedOn w:val="7"/>
    <w:unhideWhenUsed/>
    <w:qFormat/>
    <w:uiPriority w:val="99"/>
    <w:pPr>
      <w:ind w:firstLine="42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6">
    <w:name w:val="Strong"/>
    <w:basedOn w:val="15"/>
    <w:qFormat/>
    <w:uiPriority w:val="0"/>
    <w:rPr>
      <w:b/>
      <w:bCs/>
    </w:rPr>
  </w:style>
  <w:style w:type="character" w:styleId="17">
    <w:name w:val="FollowedHyperlink"/>
    <w:basedOn w:val="15"/>
    <w:qFormat/>
    <w:uiPriority w:val="0"/>
    <w:rPr>
      <w:color w:val="696969"/>
      <w:u w:val="none"/>
    </w:rPr>
  </w:style>
  <w:style w:type="character" w:styleId="18">
    <w:name w:val="Emphasis"/>
    <w:basedOn w:val="15"/>
    <w:qFormat/>
    <w:uiPriority w:val="0"/>
    <w:rPr>
      <w:b/>
      <w:bCs/>
    </w:rPr>
  </w:style>
  <w:style w:type="character" w:styleId="19">
    <w:name w:val="HTML Definition"/>
    <w:basedOn w:val="15"/>
    <w:qFormat/>
    <w:uiPriority w:val="0"/>
  </w:style>
  <w:style w:type="character" w:styleId="20">
    <w:name w:val="HTML Variable"/>
    <w:basedOn w:val="15"/>
    <w:qFormat/>
    <w:uiPriority w:val="0"/>
  </w:style>
  <w:style w:type="character" w:styleId="21">
    <w:name w:val="Hyperlink"/>
    <w:basedOn w:val="15"/>
    <w:qFormat/>
    <w:uiPriority w:val="0"/>
    <w:rPr>
      <w:color w:val="696969"/>
      <w:u w:val="none"/>
    </w:rPr>
  </w:style>
  <w:style w:type="character" w:styleId="22">
    <w:name w:val="HTML Code"/>
    <w:basedOn w:val="15"/>
    <w:qFormat/>
    <w:uiPriority w:val="0"/>
    <w:rPr>
      <w:rFonts w:ascii="Courier New" w:hAnsi="Courier New"/>
      <w:sz w:val="20"/>
    </w:rPr>
  </w:style>
  <w:style w:type="character" w:styleId="23">
    <w:name w:val="HTML Cite"/>
    <w:basedOn w:val="15"/>
    <w:qFormat/>
    <w:uiPriority w:val="0"/>
    <w:rPr>
      <w:rFonts w:ascii="Helvetica" w:hAnsi="Helvetica" w:eastAsia="Helvetica" w:cs="Helvetica"/>
      <w:sz w:val="19"/>
      <w:szCs w:val="19"/>
    </w:rPr>
  </w:style>
  <w:style w:type="character" w:styleId="24">
    <w:name w:val="HTML Keyboard"/>
    <w:basedOn w:val="15"/>
    <w:qFormat/>
    <w:uiPriority w:val="0"/>
    <w:rPr>
      <w:rFonts w:ascii="Courier New" w:hAnsi="Courier New"/>
      <w:sz w:val="20"/>
    </w:rPr>
  </w:style>
  <w:style w:type="character" w:styleId="25">
    <w:name w:val="HTML Sample"/>
    <w:basedOn w:val="15"/>
    <w:qFormat/>
    <w:uiPriority w:val="0"/>
    <w:rPr>
      <w:rFonts w:ascii="Courier New" w:hAnsi="Courier New"/>
    </w:rPr>
  </w:style>
  <w:style w:type="character" w:customStyle="1" w:styleId="26">
    <w:name w:val="hover2"/>
    <w:basedOn w:val="15"/>
    <w:qFormat/>
    <w:uiPriority w:val="0"/>
    <w:rPr>
      <w:color w:val="333333"/>
      <w:u w:val="single"/>
    </w:rPr>
  </w:style>
  <w:style w:type="paragraph" w:customStyle="1" w:styleId="27">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8">
    <w:name w:val="after8"/>
    <w:basedOn w:val="15"/>
    <w:qFormat/>
    <w:uiPriority w:val="0"/>
    <w:rPr>
      <w:bdr w:val="dashed" w:color="auto" w:sz="48" w:space="0"/>
    </w:rPr>
  </w:style>
  <w:style w:type="character" w:customStyle="1" w:styleId="29">
    <w:name w:val="after9"/>
    <w:basedOn w:val="15"/>
    <w:qFormat/>
    <w:uiPriority w:val="0"/>
  </w:style>
  <w:style w:type="character" w:customStyle="1" w:styleId="30">
    <w:name w:val="hover52"/>
    <w:basedOn w:val="15"/>
    <w:qFormat/>
    <w:uiPriority w:val="0"/>
  </w:style>
  <w:style w:type="character" w:customStyle="1" w:styleId="31">
    <w:name w:val="hover53"/>
    <w:basedOn w:val="15"/>
    <w:qFormat/>
    <w:uiPriority w:val="0"/>
    <w:rPr>
      <w:shd w:val="clear" w:color="auto" w:fill="2590FF"/>
    </w:rPr>
  </w:style>
  <w:style w:type="character" w:customStyle="1" w:styleId="32">
    <w:name w:val="hover54"/>
    <w:basedOn w:val="15"/>
    <w:qFormat/>
    <w:uiPriority w:val="0"/>
    <w:rPr>
      <w:color w:val="4285F4"/>
    </w:rPr>
  </w:style>
  <w:style w:type="character" w:customStyle="1" w:styleId="33">
    <w:name w:val="hover55"/>
    <w:basedOn w:val="15"/>
    <w:qFormat/>
    <w:uiPriority w:val="0"/>
    <w:rPr>
      <w:color w:val="2590FF"/>
      <w:u w:val="none"/>
    </w:rPr>
  </w:style>
  <w:style w:type="character" w:customStyle="1" w:styleId="34">
    <w:name w:val="hover56"/>
    <w:basedOn w:val="15"/>
    <w:qFormat/>
    <w:uiPriority w:val="0"/>
    <w:rPr>
      <w:color w:val="2590FF"/>
    </w:rPr>
  </w:style>
  <w:style w:type="character" w:customStyle="1" w:styleId="35">
    <w:name w:val="hover57"/>
    <w:basedOn w:val="15"/>
    <w:qFormat/>
    <w:uiPriority w:val="0"/>
    <w:rPr>
      <w:color w:val="1A85D7"/>
    </w:rPr>
  </w:style>
  <w:style w:type="character" w:customStyle="1" w:styleId="36">
    <w:name w:val="empty"/>
    <w:basedOn w:val="15"/>
    <w:qFormat/>
    <w:uiPriority w:val="0"/>
  </w:style>
  <w:style w:type="character" w:customStyle="1" w:styleId="37">
    <w:name w:val="before"/>
    <w:basedOn w:val="15"/>
    <w:qFormat/>
    <w:uiPriority w:val="0"/>
    <w:rPr>
      <w:bdr w:val="single" w:color="auto" w:sz="48" w:space="0"/>
    </w:rPr>
  </w:style>
  <w:style w:type="character" w:customStyle="1" w:styleId="38">
    <w:name w:val="before1"/>
    <w:basedOn w:val="15"/>
    <w:qFormat/>
    <w:uiPriority w:val="0"/>
    <w:rPr>
      <w:shd w:val="clear" w:color="auto" w:fill="D8D8D8"/>
    </w:rPr>
  </w:style>
  <w:style w:type="character" w:customStyle="1" w:styleId="39">
    <w:name w:val="credit"/>
    <w:basedOn w:val="15"/>
    <w:qFormat/>
    <w:uiPriority w:val="0"/>
    <w:rPr>
      <w:sz w:val="18"/>
      <w:szCs w:val="18"/>
    </w:rPr>
  </w:style>
  <w:style w:type="character" w:customStyle="1" w:styleId="40">
    <w:name w:val="last-child1"/>
    <w:basedOn w:val="15"/>
    <w:qFormat/>
    <w:uiPriority w:val="0"/>
  </w:style>
  <w:style w:type="character" w:customStyle="1" w:styleId="41">
    <w:name w:val="active"/>
    <w:basedOn w:val="15"/>
    <w:qFormat/>
    <w:uiPriority w:val="0"/>
    <w:rPr>
      <w:color w:val="4285F4"/>
      <w:bdr w:val="single" w:color="4285F4" w:sz="6" w:space="0"/>
    </w:rPr>
  </w:style>
  <w:style w:type="character" w:customStyle="1" w:styleId="42">
    <w:name w:val="lui-classic-hidden"/>
    <w:basedOn w:val="15"/>
    <w:qFormat/>
    <w:uiPriority w:val="0"/>
    <w:rPr>
      <w:vanish/>
    </w:rPr>
  </w:style>
  <w:style w:type="character" w:customStyle="1" w:styleId="43">
    <w:name w:val="radio-label"/>
    <w:basedOn w:val="15"/>
    <w:qFormat/>
    <w:uiPriority w:val="0"/>
    <w:rPr>
      <w:sz w:val="24"/>
      <w:szCs w:val="24"/>
    </w:rPr>
  </w:style>
  <w:style w:type="character" w:customStyle="1" w:styleId="44">
    <w:name w:val="first-child"/>
    <w:basedOn w:val="15"/>
    <w:qFormat/>
    <w:uiPriority w:val="0"/>
  </w:style>
  <w:style w:type="character" w:customStyle="1" w:styleId="45">
    <w:name w:val="after"/>
    <w:basedOn w:val="15"/>
    <w:qFormat/>
    <w:uiPriority w:val="0"/>
    <w:rPr>
      <w:bdr w:val="dashed" w:color="auto" w:sz="48" w:space="0"/>
    </w:rPr>
  </w:style>
  <w:style w:type="character" w:customStyle="1" w:styleId="46">
    <w:name w:val="after1"/>
    <w:basedOn w:val="15"/>
    <w:qFormat/>
    <w:uiPriority w:val="0"/>
  </w:style>
  <w:style w:type="character" w:customStyle="1" w:styleId="47">
    <w:name w:val="hover"/>
    <w:basedOn w:val="15"/>
    <w:qFormat/>
    <w:uiPriority w:val="0"/>
    <w:rPr>
      <w:shd w:val="clear" w:color="auto" w:fill="2590FF"/>
    </w:rPr>
  </w:style>
  <w:style w:type="character" w:customStyle="1" w:styleId="48">
    <w:name w:val="hover1"/>
    <w:basedOn w:val="15"/>
    <w:qFormat/>
    <w:uiPriority w:val="0"/>
  </w:style>
  <w:style w:type="character" w:customStyle="1" w:styleId="49">
    <w:name w:val="hover3"/>
    <w:basedOn w:val="15"/>
    <w:qFormat/>
    <w:uiPriority w:val="0"/>
    <w:rPr>
      <w:color w:val="2590FF"/>
    </w:rPr>
  </w:style>
  <w:style w:type="character" w:customStyle="1" w:styleId="50">
    <w:name w:val="hover4"/>
    <w:basedOn w:val="15"/>
    <w:qFormat/>
    <w:uiPriority w:val="0"/>
    <w:rPr>
      <w:color w:val="2590FF"/>
      <w:u w:val="none"/>
    </w:rPr>
  </w:style>
  <w:style w:type="character" w:customStyle="1" w:styleId="51">
    <w:name w:val="hover5"/>
    <w:basedOn w:val="15"/>
    <w:qFormat/>
    <w:uiPriority w:val="0"/>
    <w:rPr>
      <w:color w:val="1A85D7"/>
    </w:rPr>
  </w:style>
  <w:style w:type="character" w:customStyle="1" w:styleId="52">
    <w:name w:val="last-child"/>
    <w:basedOn w:val="15"/>
    <w:qFormat/>
    <w:uiPriority w:val="0"/>
  </w:style>
  <w:style w:type="character" w:customStyle="1" w:styleId="53">
    <w:name w:val="active2"/>
    <w:basedOn w:val="15"/>
    <w:qFormat/>
    <w:uiPriority w:val="0"/>
    <w:rPr>
      <w:color w:val="4285F4"/>
      <w:bdr w:val="single" w:color="4285F4" w:sz="6" w:space="0"/>
    </w:rPr>
  </w:style>
  <w:style w:type="character" w:customStyle="1" w:styleId="54">
    <w:name w:val="qwen-markdown-text"/>
    <w:basedOn w:val="15"/>
    <w:qFormat/>
    <w:uiPriority w:val="0"/>
  </w:style>
  <w:style w:type="paragraph" w:customStyle="1" w:styleId="55">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5169</Words>
  <Characters>5407</Characters>
  <Lines>122</Lines>
  <Paragraphs>127</Paragraphs>
  <TotalTime>0</TotalTime>
  <ScaleCrop>false</ScaleCrop>
  <LinksUpToDate>false</LinksUpToDate>
  <CharactersWithSpaces>5494</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*～耒@缘%</cp:lastModifiedBy>
  <dcterms:modified xsi:type="dcterms:W3CDTF">2026-07-16T14:51:09Z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5873278687674BF091178BC59529CDEB_13</vt:lpwstr>
  </property>
  <property fmtid="{D5CDD505-2E9C-101B-9397-08002B2CF9AE}" pid="4" name="KSOTemplateDocerSaveRecord">
    <vt:lpwstr>eyJoZGlkIjoiNmY3MTJkMmE3Zjc0ZDdmZWZhMmM3NDVjMjU0NDU1NjMiLCJ1c2VySWQiOiI0Mzk0MDkwMTkifQ==</vt:lpwstr>
  </property>
</Properties>
</file>