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F2B95">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2A27A15C">
      <w:pPr>
        <w:adjustRightInd w:val="0"/>
        <w:snapToGrid w:val="0"/>
        <w:rPr>
          <w:sz w:val="28"/>
          <w:szCs w:val="36"/>
        </w:rPr>
      </w:pPr>
    </w:p>
    <w:p w14:paraId="4D662308">
      <w:pPr>
        <w:adjustRightInd w:val="0"/>
        <w:snapToGrid w:val="0"/>
        <w:rPr>
          <w:sz w:val="28"/>
          <w:szCs w:val="36"/>
        </w:rPr>
      </w:pPr>
    </w:p>
    <w:p w14:paraId="625AD73A">
      <w:pPr>
        <w:adjustRightInd w:val="0"/>
        <w:snapToGrid w:val="0"/>
        <w:rPr>
          <w:sz w:val="28"/>
          <w:szCs w:val="36"/>
        </w:rPr>
      </w:pPr>
    </w:p>
    <w:p w14:paraId="51FFA66F">
      <w:pPr>
        <w:adjustRightInd w:val="0"/>
        <w:snapToGrid w:val="0"/>
        <w:rPr>
          <w:sz w:val="28"/>
          <w:szCs w:val="36"/>
        </w:rPr>
      </w:pPr>
    </w:p>
    <w:p w14:paraId="57A0CC69">
      <w:pPr>
        <w:adjustRightInd w:val="0"/>
        <w:snapToGrid w:val="0"/>
        <w:rPr>
          <w:sz w:val="28"/>
          <w:szCs w:val="36"/>
        </w:rPr>
      </w:pPr>
    </w:p>
    <w:p w14:paraId="4ECEBB0D">
      <w:pPr>
        <w:adjustRightInd w:val="0"/>
        <w:snapToGrid w:val="0"/>
        <w:rPr>
          <w:sz w:val="28"/>
          <w:szCs w:val="36"/>
        </w:rPr>
      </w:pPr>
    </w:p>
    <w:p w14:paraId="6BEAB291">
      <w:pPr>
        <w:adjustRightInd w:val="0"/>
        <w:snapToGrid w:val="0"/>
        <w:rPr>
          <w:sz w:val="28"/>
          <w:szCs w:val="36"/>
        </w:rPr>
      </w:pPr>
    </w:p>
    <w:p w14:paraId="752F2653">
      <w:pPr>
        <w:adjustRightInd w:val="0"/>
        <w:snapToGrid w:val="0"/>
        <w:jc w:val="center"/>
        <w:rPr>
          <w:rFonts w:hint="eastAsia" w:eastAsia="黑体"/>
          <w:b/>
          <w:sz w:val="52"/>
          <w:lang w:eastAsia="zh-CN"/>
        </w:rPr>
      </w:pPr>
      <w:r>
        <w:rPr>
          <w:rFonts w:hint="eastAsia" w:eastAsia="黑体"/>
          <w:b/>
          <w:sz w:val="52"/>
          <w:lang w:eastAsia="zh-CN"/>
        </w:rPr>
        <w:t>一种输电线路高空作业便捷式安全网</w:t>
      </w:r>
    </w:p>
    <w:p w14:paraId="25D16481">
      <w:pPr>
        <w:adjustRightInd w:val="0"/>
        <w:snapToGrid w:val="0"/>
        <w:jc w:val="center"/>
        <w:rPr>
          <w:rFonts w:eastAsia="黑体"/>
          <w:b/>
          <w:sz w:val="52"/>
        </w:rPr>
      </w:pPr>
      <w:r>
        <w:rPr>
          <w:rFonts w:eastAsia="黑体"/>
          <w:b/>
          <w:sz w:val="52"/>
        </w:rPr>
        <w:t>技术规范书</w:t>
      </w:r>
    </w:p>
    <w:p w14:paraId="6D097E34">
      <w:pPr>
        <w:adjustRightInd w:val="0"/>
        <w:snapToGrid w:val="0"/>
        <w:rPr>
          <w:sz w:val="28"/>
          <w:szCs w:val="36"/>
        </w:rPr>
      </w:pPr>
    </w:p>
    <w:p w14:paraId="24228B6F">
      <w:pPr>
        <w:pStyle w:val="2"/>
      </w:pPr>
    </w:p>
    <w:p w14:paraId="622D7099">
      <w:pPr>
        <w:adjustRightInd w:val="0"/>
        <w:snapToGrid w:val="0"/>
        <w:rPr>
          <w:sz w:val="28"/>
          <w:szCs w:val="36"/>
        </w:rPr>
      </w:pPr>
    </w:p>
    <w:p w14:paraId="5031AAA0">
      <w:pPr>
        <w:pStyle w:val="2"/>
        <w:rPr>
          <w:sz w:val="28"/>
          <w:szCs w:val="36"/>
        </w:rPr>
      </w:pPr>
    </w:p>
    <w:p w14:paraId="44932D83">
      <w:pPr>
        <w:pStyle w:val="2"/>
        <w:rPr>
          <w:sz w:val="28"/>
          <w:szCs w:val="36"/>
        </w:rPr>
      </w:pPr>
    </w:p>
    <w:p w14:paraId="125B6D53">
      <w:pPr>
        <w:pStyle w:val="2"/>
        <w:rPr>
          <w:sz w:val="28"/>
          <w:szCs w:val="36"/>
        </w:rPr>
      </w:pPr>
    </w:p>
    <w:p w14:paraId="78B573E3">
      <w:pPr>
        <w:adjustRightInd w:val="0"/>
        <w:snapToGrid w:val="0"/>
        <w:rPr>
          <w:sz w:val="28"/>
          <w:szCs w:val="36"/>
        </w:rPr>
      </w:pPr>
    </w:p>
    <w:p w14:paraId="642BB1E4">
      <w:pPr>
        <w:adjustRightInd w:val="0"/>
        <w:snapToGrid w:val="0"/>
        <w:rPr>
          <w:sz w:val="28"/>
          <w:szCs w:val="36"/>
        </w:rPr>
      </w:pPr>
    </w:p>
    <w:p w14:paraId="7B545D5A">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14:paraId="6E8E4A9E">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14:paraId="63D1723A">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5180B63">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14:paraId="3679B98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w:t>
      </w:r>
      <w:r>
        <w:rPr>
          <w:sz w:val="24"/>
        </w:rPr>
        <w:t>中国南方电网超高压输电公司</w:t>
      </w:r>
      <w:r>
        <w:rPr>
          <w:rFonts w:hint="eastAsia"/>
          <w:sz w:val="24"/>
          <w:lang w:val="en-US" w:eastAsia="zh-CN"/>
        </w:rPr>
        <w:t>南宁</w:t>
      </w:r>
      <w:r>
        <w:rPr>
          <w:sz w:val="24"/>
        </w:rPr>
        <w:t>局</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eastAsia="zh-CN"/>
        </w:rPr>
        <w:t>一种输电线路高空作业便捷式安全网</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职工</w:t>
      </w:r>
      <w:r>
        <w:rPr>
          <w:rFonts w:hint="eastAsia" w:asciiTheme="minorEastAsia" w:hAnsiTheme="minorEastAsia" w:eastAsiaTheme="minorEastAsia" w:cstheme="minorEastAsia"/>
          <w:sz w:val="24"/>
        </w:rPr>
        <w:t>创新项目，研制一套输电线路高空作业便捷式安全网以及应用方法研究，其能够适应塔上各种复杂工况，安装灵活便捷，携带方便质量超轻，并且能够显著保证人身安全，提高作业效率。投标方应针对自身特点，根据本技术规范书所描述的具体要求，提供完整的解决方案。</w:t>
      </w:r>
    </w:p>
    <w:p w14:paraId="5B3D58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14:paraId="33FE692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6D3CDFD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14:paraId="38562D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14:paraId="5D1E9818">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 xml:space="preserve"> 本技术规范书未尽事宜，由招标方与投标方双方协商确定。</w:t>
      </w:r>
    </w:p>
    <w:p w14:paraId="79BDC60E">
      <w:pPr>
        <w:snapToGrid w:val="0"/>
        <w:spacing w:before="120"/>
        <w:rPr>
          <w:rFonts w:ascii="黑体" w:hAnsi="黑体" w:eastAsia="黑体" w:cs="黑体"/>
          <w:b/>
          <w:bCs/>
          <w:sz w:val="28"/>
          <w:szCs w:val="36"/>
        </w:rPr>
      </w:pPr>
      <w:bookmarkStart w:id="0" w:name="_Toc26376"/>
      <w:bookmarkStart w:id="1" w:name="_Toc241911995"/>
      <w:bookmarkStart w:id="2" w:name="_Toc155114607"/>
      <w:r>
        <w:rPr>
          <w:rFonts w:hint="eastAsia" w:ascii="黑体" w:hAnsi="黑体" w:eastAsia="黑体" w:cs="黑体"/>
          <w:b/>
          <w:bCs/>
          <w:sz w:val="28"/>
          <w:szCs w:val="36"/>
        </w:rPr>
        <w:t xml:space="preserve">2 </w:t>
      </w:r>
      <w:bookmarkEnd w:id="0"/>
      <w:bookmarkStart w:id="3" w:name="_Toc441483964"/>
      <w:bookmarkStart w:id="4" w:name="_Toc531004264"/>
      <w:bookmarkStart w:id="5" w:name="_Toc531004210"/>
      <w:r>
        <w:rPr>
          <w:rFonts w:hint="eastAsia" w:ascii="黑体" w:hAnsi="黑体" w:eastAsia="黑体" w:cs="黑体"/>
          <w:b/>
          <w:bCs/>
          <w:sz w:val="28"/>
          <w:szCs w:val="36"/>
        </w:rPr>
        <w:t>项目有关内容</w:t>
      </w:r>
      <w:bookmarkEnd w:id="3"/>
      <w:bookmarkEnd w:id="4"/>
      <w:bookmarkEnd w:id="5"/>
    </w:p>
    <w:p w14:paraId="5D9AFC14">
      <w:pPr>
        <w:rPr>
          <w:rFonts w:hint="eastAsia" w:asciiTheme="minorEastAsia" w:hAnsiTheme="minorEastAsia" w:eastAsiaTheme="minorEastAsia" w:cstheme="minorEastAsia"/>
          <w:sz w:val="24"/>
        </w:rPr>
      </w:pPr>
      <w:bookmarkStart w:id="6" w:name="_Toc312827019"/>
      <w:bookmarkStart w:id="7" w:name="_Toc309593259"/>
      <w:bookmarkStart w:id="8" w:name="_Toc309805583"/>
      <w:bookmarkStart w:id="9" w:name="_Toc309593188"/>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6"/>
      <w:bookmarkEnd w:id="7"/>
      <w:bookmarkEnd w:id="8"/>
      <w:bookmarkEnd w:id="9"/>
    </w:p>
    <w:p w14:paraId="7027E817">
      <w:pPr>
        <w:ind w:firstLine="480" w:firstLineChars="20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一种输电线路高空作业便捷式安全网</w:t>
      </w:r>
    </w:p>
    <w:p w14:paraId="0063F22A">
      <w:pP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p w14:paraId="3C4ACA7D">
      <w:pPr>
        <w:pStyle w:val="2"/>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研制一套输电线路高空作业便捷式安全网以及应用方法研究，其能够适应塔上各种复杂工况，安装灵活便捷，携带方便质量超轻，并且能够显著保证人身安全，提高作业效率。</w:t>
      </w:r>
    </w:p>
    <w:p w14:paraId="2C70DE4B">
      <w:pPr>
        <w:pStyle w:val="2"/>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在高空作业中通过安装此便捷式安全网，可构建一个空中“作业平台”，保证作业人员人身安全，防止高空坠落和高空坠物，尤其在绝缘子串、跳线等作业人员不易开展动作、体位受限的位置，其可以避免作业人员的因疲劳或无误引起的高处坠落和高空坠物，并且可以让作业人员合理调整工作体位，符合人体工学，能够节省体力、提高作业效率，并有效保证人身安全。</w:t>
      </w:r>
    </w:p>
    <w:bookmarkEnd w:id="1"/>
    <w:bookmarkEnd w:id="2"/>
    <w:p w14:paraId="6773497A">
      <w:pPr>
        <w:snapToGrid w:val="0"/>
        <w:spacing w:before="120"/>
        <w:rPr>
          <w:rFonts w:ascii="黑体" w:hAnsi="黑体" w:eastAsia="黑体" w:cs="黑体"/>
          <w:b/>
          <w:bCs/>
          <w:sz w:val="28"/>
          <w:szCs w:val="36"/>
        </w:rPr>
      </w:pPr>
      <w:bookmarkStart w:id="10" w:name="_Toc384340980"/>
      <w:bookmarkStart w:id="11" w:name="_Toc22304900"/>
      <w:bookmarkStart w:id="12" w:name="_Toc39753999"/>
      <w:bookmarkStart w:id="13" w:name="_Toc39753342"/>
      <w:bookmarkStart w:id="14" w:name="_Toc20556"/>
      <w:r>
        <w:rPr>
          <w:rFonts w:hint="eastAsia" w:ascii="黑体" w:hAnsi="黑体" w:eastAsia="黑体" w:cs="黑体"/>
          <w:b/>
          <w:bCs/>
          <w:sz w:val="28"/>
          <w:szCs w:val="36"/>
        </w:rPr>
        <w:t xml:space="preserve">3 </w:t>
      </w:r>
      <w:bookmarkEnd w:id="10"/>
      <w:bookmarkEnd w:id="11"/>
      <w:bookmarkEnd w:id="12"/>
      <w:bookmarkEnd w:id="13"/>
      <w:bookmarkEnd w:id="14"/>
      <w:r>
        <w:rPr>
          <w:rFonts w:hint="eastAsia" w:ascii="黑体" w:hAnsi="黑体" w:eastAsia="黑体" w:cs="黑体"/>
          <w:b/>
          <w:bCs/>
          <w:sz w:val="28"/>
          <w:szCs w:val="36"/>
        </w:rPr>
        <w:t>总体要求</w:t>
      </w:r>
    </w:p>
    <w:p w14:paraId="4CD6B8C4">
      <w:pPr>
        <w:adjustRightInd w:val="0"/>
        <w:snapToGrid w:val="0"/>
        <w:rPr>
          <w:rFonts w:asciiTheme="minorEastAsia" w:hAnsiTheme="minorEastAsia" w:eastAsiaTheme="minorEastAsia" w:cstheme="minorEastAsia"/>
          <w:sz w:val="24"/>
        </w:rPr>
      </w:pPr>
      <w:bookmarkStart w:id="15" w:name="_Toc241912000"/>
      <w:bookmarkStart w:id="16" w:name="_Toc146182538"/>
      <w:bookmarkStart w:id="17" w:name="_Toc457986926"/>
      <w:bookmarkStart w:id="18" w:name="_Toc459534976"/>
      <w:bookmarkStart w:id="19" w:name="_Toc448828694"/>
      <w:bookmarkStart w:id="20" w:name="_Toc455373921"/>
      <w:bookmarkStart w:id="21" w:name="_Toc455543289"/>
      <w:bookmarkStart w:id="22" w:name="_Toc114253693"/>
      <w:bookmarkStart w:id="23" w:name="_Toc482581219"/>
      <w:bookmarkStart w:id="24" w:name="_Toc155114612"/>
      <w:bookmarkStart w:id="25" w:name="_Toc457979127"/>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647B232C">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1F943CFA">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DLT741-2019 架空输电线路运行规程</w:t>
      </w:r>
    </w:p>
    <w:p w14:paraId="720547B2">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Q/CSG1205056.2—202</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中国南方电网有限责任公司电力安全工作规程</w:t>
      </w:r>
    </w:p>
    <w:p w14:paraId="09D92778">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14:paraId="6ACBD1E7">
      <w:pPr>
        <w:snapToGrid w:val="0"/>
        <w:spacing w:before="120"/>
        <w:rPr>
          <w:rFonts w:ascii="黑体" w:hAnsi="黑体" w:eastAsia="黑体" w:cs="黑体"/>
          <w:b/>
          <w:bCs/>
          <w:sz w:val="28"/>
          <w:szCs w:val="36"/>
        </w:rPr>
      </w:pPr>
      <w:bookmarkStart w:id="26" w:name="_Toc22304904"/>
      <w:bookmarkStart w:id="27" w:name="_Toc282993253"/>
      <w:bookmarkStart w:id="28" w:name="_Toc32408"/>
      <w:bookmarkStart w:id="29" w:name="_Toc39754002"/>
      <w:bookmarkStart w:id="30" w:name="_Toc384340984"/>
      <w:bookmarkStart w:id="31" w:name="_Toc39753345"/>
      <w:r>
        <w:rPr>
          <w:rFonts w:hint="eastAsia" w:ascii="黑体" w:hAnsi="黑体" w:eastAsia="黑体" w:cs="黑体"/>
          <w:b/>
          <w:bCs/>
          <w:sz w:val="28"/>
          <w:szCs w:val="36"/>
        </w:rPr>
        <w:t>4 技术要求</w:t>
      </w:r>
      <w:bookmarkEnd w:id="26"/>
      <w:bookmarkEnd w:id="27"/>
      <w:bookmarkEnd w:id="28"/>
      <w:bookmarkEnd w:id="29"/>
      <w:bookmarkEnd w:id="30"/>
      <w:bookmarkEnd w:id="31"/>
    </w:p>
    <w:p w14:paraId="4CC7155C">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14:paraId="0C8B42D7">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14:paraId="558FF278">
      <w:pPr>
        <w:adjustRightInd w:val="0"/>
        <w:snapToGrid w:val="0"/>
        <w:rPr>
          <w:rFonts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4527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0E55C08F">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14:paraId="0AC8F50F">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14:paraId="5A6E0263">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14:paraId="495E63CF">
            <w:pPr>
              <w:spacing w:line="240" w:lineRule="auto"/>
              <w:jc w:val="center"/>
              <w:rPr>
                <w:rFonts w:ascii="宋体" w:hAnsi="宋体" w:cs="宋体"/>
                <w:b/>
                <w:bCs/>
                <w:szCs w:val="21"/>
              </w:rPr>
            </w:pPr>
            <w:r>
              <w:rPr>
                <w:rFonts w:hint="eastAsia" w:ascii="宋体" w:hAnsi="宋体" w:cs="宋体"/>
                <w:b/>
                <w:bCs/>
                <w:szCs w:val="21"/>
              </w:rPr>
              <w:t>时间要求</w:t>
            </w:r>
          </w:p>
        </w:tc>
      </w:tr>
      <w:tr w14:paraId="358C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25C39E5D">
            <w:pPr>
              <w:spacing w:line="240" w:lineRule="auto"/>
              <w:jc w:val="center"/>
              <w:rPr>
                <w:rFonts w:ascii="宋体" w:hAnsi="宋体" w:cs="宋体"/>
                <w:szCs w:val="21"/>
              </w:rPr>
            </w:pPr>
            <w:r>
              <w:rPr>
                <w:rFonts w:hint="eastAsia" w:ascii="宋体" w:hAnsi="宋体" w:cs="宋体"/>
                <w:szCs w:val="21"/>
              </w:rPr>
              <w:t>1</w:t>
            </w:r>
          </w:p>
        </w:tc>
        <w:tc>
          <w:tcPr>
            <w:tcW w:w="2985" w:type="dxa"/>
            <w:shd w:val="clear" w:color="auto" w:fill="auto"/>
            <w:vAlign w:val="center"/>
          </w:tcPr>
          <w:p w14:paraId="5C9F2C67">
            <w:pPr>
              <w:spacing w:line="240" w:lineRule="auto"/>
              <w:jc w:val="center"/>
              <w:rPr>
                <w:rFonts w:ascii="宋体" w:hAnsi="宋体" w:cs="宋体"/>
                <w:szCs w:val="21"/>
              </w:rPr>
            </w:pPr>
            <w:r>
              <w:rPr>
                <w:rFonts w:hint="eastAsia" w:ascii="宋体" w:hAnsi="宋体" w:cs="宋体"/>
                <w:szCs w:val="21"/>
                <w:highlight w:val="none"/>
                <w:lang w:val="en-US" w:eastAsia="zh-CN"/>
              </w:rPr>
              <w:t>研制一套输电线路高空作业便捷式安全网以及应用方法研究，其能够适应塔上各种复杂工况，安装灵活便捷，携带方便质量超轻，并且能够显著保证人身安全，提高作业效率。</w:t>
            </w:r>
          </w:p>
        </w:tc>
        <w:tc>
          <w:tcPr>
            <w:tcW w:w="2363" w:type="dxa"/>
            <w:shd w:val="clear" w:color="auto" w:fill="auto"/>
            <w:vAlign w:val="center"/>
          </w:tcPr>
          <w:p w14:paraId="6177445B">
            <w:pPr>
              <w:spacing w:line="240"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一种输电线路高空作业便捷式安全网样机1套</w:t>
            </w:r>
          </w:p>
        </w:tc>
        <w:tc>
          <w:tcPr>
            <w:tcW w:w="2357" w:type="dxa"/>
            <w:vAlign w:val="center"/>
          </w:tcPr>
          <w:p w14:paraId="37864833">
            <w:pPr>
              <w:spacing w:line="240" w:lineRule="auto"/>
              <w:jc w:val="center"/>
              <w:rPr>
                <w:rFonts w:ascii="宋体" w:hAnsi="宋体" w:cs="宋体"/>
              </w:rPr>
            </w:pPr>
            <w:r>
              <w:rPr>
                <w:rFonts w:hint="eastAsia" w:asciiTheme="minorEastAsia" w:hAnsiTheme="minorEastAsia" w:cstheme="minorEastAsia"/>
                <w:szCs w:val="21"/>
              </w:rPr>
              <w:t>2026年1</w:t>
            </w:r>
            <w:r>
              <w:rPr>
                <w:rFonts w:asciiTheme="minorEastAsia" w:hAnsiTheme="minorEastAsia" w:cstheme="minorEastAsia"/>
                <w:szCs w:val="21"/>
              </w:rPr>
              <w:t>2</w:t>
            </w:r>
            <w:r>
              <w:rPr>
                <w:rFonts w:hint="eastAsia" w:asciiTheme="minorEastAsia" w:hAnsiTheme="minorEastAsia" w:cstheme="minorEastAsia"/>
                <w:szCs w:val="21"/>
              </w:rPr>
              <w:t>月</w:t>
            </w:r>
          </w:p>
        </w:tc>
      </w:tr>
      <w:tr w14:paraId="43A28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716F6374">
            <w:pPr>
              <w:spacing w:line="240" w:lineRule="auto"/>
              <w:jc w:val="center"/>
              <w:rPr>
                <w:rFonts w:ascii="宋体" w:hAnsi="宋体" w:cs="宋体"/>
                <w:szCs w:val="21"/>
                <w:highlight w:val="none"/>
              </w:rPr>
            </w:pPr>
            <w:r>
              <w:rPr>
                <w:rFonts w:hint="eastAsia" w:ascii="宋体" w:hAnsi="宋体" w:cs="宋体"/>
                <w:szCs w:val="21"/>
                <w:highlight w:val="none"/>
              </w:rPr>
              <w:t>2</w:t>
            </w:r>
          </w:p>
        </w:tc>
        <w:tc>
          <w:tcPr>
            <w:tcW w:w="2985" w:type="dxa"/>
            <w:shd w:val="clear" w:color="auto" w:fill="auto"/>
            <w:vAlign w:val="center"/>
          </w:tcPr>
          <w:p w14:paraId="59474F27">
            <w:pPr>
              <w:spacing w:line="240" w:lineRule="auto"/>
              <w:jc w:val="left"/>
              <w:rPr>
                <w:rFonts w:ascii="宋体" w:hAnsi="宋体" w:cs="宋体"/>
                <w:szCs w:val="21"/>
                <w:highlight w:val="none"/>
              </w:rPr>
            </w:pPr>
            <w:r>
              <w:rPr>
                <w:rFonts w:hint="eastAsia" w:ascii="宋体" w:hAnsi="宋体" w:cs="宋体"/>
                <w:szCs w:val="21"/>
                <w:highlight w:val="none"/>
                <w:lang w:val="en-US" w:eastAsia="zh-CN"/>
              </w:rPr>
              <w:t>配合申请发明专利</w:t>
            </w:r>
            <w:r>
              <w:rPr>
                <w:rFonts w:hint="eastAsia" w:ascii="宋体" w:hAnsi="宋体" w:cs="宋体"/>
                <w:szCs w:val="21"/>
                <w:highlight w:val="none"/>
              </w:rPr>
              <w:t>1项。</w:t>
            </w:r>
          </w:p>
        </w:tc>
        <w:tc>
          <w:tcPr>
            <w:tcW w:w="2363" w:type="dxa"/>
            <w:shd w:val="clear" w:color="auto" w:fill="auto"/>
            <w:vAlign w:val="center"/>
          </w:tcPr>
          <w:p w14:paraId="1FB4684E">
            <w:pPr>
              <w:spacing w:line="240" w:lineRule="auto"/>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发明专利受理通知书</w:t>
            </w:r>
          </w:p>
        </w:tc>
        <w:tc>
          <w:tcPr>
            <w:tcW w:w="2357" w:type="dxa"/>
            <w:vAlign w:val="center"/>
          </w:tcPr>
          <w:p w14:paraId="671249B5">
            <w:pPr>
              <w:spacing w:line="240" w:lineRule="auto"/>
              <w:jc w:val="center"/>
              <w:rPr>
                <w:rFonts w:asciiTheme="minorEastAsia" w:hAnsiTheme="minorEastAsia" w:eastAsiaTheme="minorEastAsia" w:cstheme="minorEastAsia"/>
                <w:szCs w:val="21"/>
                <w:highlight w:val="none"/>
              </w:rPr>
            </w:pPr>
            <w:r>
              <w:rPr>
                <w:rFonts w:hint="eastAsia" w:asciiTheme="minorEastAsia" w:hAnsiTheme="minorEastAsia" w:cstheme="minorEastAsia"/>
                <w:szCs w:val="21"/>
                <w:highlight w:val="none"/>
              </w:rPr>
              <w:t>2026年12月</w:t>
            </w:r>
          </w:p>
        </w:tc>
      </w:tr>
      <w:tr w14:paraId="5899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4D608D8F">
            <w:pPr>
              <w:spacing w:line="240" w:lineRule="auto"/>
              <w:jc w:val="center"/>
              <w:rPr>
                <w:rFonts w:ascii="宋体" w:hAnsi="宋体" w:cs="宋体"/>
                <w:szCs w:val="21"/>
              </w:rPr>
            </w:pPr>
            <w:r>
              <w:rPr>
                <w:rFonts w:hint="eastAsia" w:ascii="宋体" w:hAnsi="宋体" w:cs="宋体"/>
                <w:szCs w:val="21"/>
              </w:rPr>
              <w:t>3</w:t>
            </w:r>
          </w:p>
        </w:tc>
        <w:tc>
          <w:tcPr>
            <w:tcW w:w="2985" w:type="dxa"/>
            <w:shd w:val="clear" w:color="auto" w:fill="auto"/>
            <w:vAlign w:val="center"/>
          </w:tcPr>
          <w:p w14:paraId="0C239792">
            <w:pPr>
              <w:spacing w:line="240" w:lineRule="auto"/>
              <w:jc w:val="left"/>
              <w:rPr>
                <w:rFonts w:ascii="宋体" w:hAnsi="宋体" w:cs="宋体"/>
                <w:szCs w:val="21"/>
              </w:rPr>
            </w:pPr>
            <w:r>
              <w:rPr>
                <w:rFonts w:hint="eastAsia" w:ascii="宋体" w:hAnsi="宋体" w:cs="宋体"/>
                <w:szCs w:val="21"/>
              </w:rPr>
              <w:t>项目验收检查</w:t>
            </w:r>
          </w:p>
        </w:tc>
        <w:tc>
          <w:tcPr>
            <w:tcW w:w="2363" w:type="dxa"/>
            <w:shd w:val="clear" w:color="auto" w:fill="auto"/>
            <w:vAlign w:val="center"/>
          </w:tcPr>
          <w:p w14:paraId="4C7A6FBD">
            <w:pPr>
              <w:spacing w:line="240" w:lineRule="auto"/>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完成项目全部验收内容</w:t>
            </w:r>
          </w:p>
        </w:tc>
        <w:tc>
          <w:tcPr>
            <w:tcW w:w="2357" w:type="dxa"/>
            <w:vAlign w:val="center"/>
          </w:tcPr>
          <w:p w14:paraId="101D8C3E">
            <w:pPr>
              <w:spacing w:line="240" w:lineRule="auto"/>
              <w:jc w:val="center"/>
              <w:rPr>
                <w:rFonts w:asciiTheme="minorEastAsia" w:hAnsiTheme="minorEastAsia" w:eastAsiaTheme="minorEastAsia" w:cstheme="minorEastAsia"/>
                <w:szCs w:val="21"/>
              </w:rPr>
            </w:pPr>
            <w:r>
              <w:rPr>
                <w:rFonts w:hint="eastAsia" w:asciiTheme="minorEastAsia" w:hAnsiTheme="minorEastAsia" w:cstheme="minorEastAsia"/>
                <w:szCs w:val="21"/>
              </w:rPr>
              <w:t>2026年12月</w:t>
            </w:r>
          </w:p>
        </w:tc>
      </w:tr>
    </w:tbl>
    <w:p w14:paraId="1F6179CA">
      <w:pPr>
        <w:rPr>
          <w:rFonts w:hint="eastAsia" w:ascii="宋体" w:hAnsi="宋体" w:cs="宋体"/>
          <w:kern w:val="0"/>
          <w:sz w:val="24"/>
        </w:rPr>
      </w:pPr>
      <w:r>
        <w:rPr>
          <w:rFonts w:hint="eastAsia" w:ascii="宋体" w:hAnsi="宋体" w:cs="宋体"/>
          <w:color w:val="000000"/>
          <w:sz w:val="24"/>
        </w:rPr>
        <w:t>4.</w:t>
      </w:r>
      <w:r>
        <w:rPr>
          <w:rFonts w:hint="eastAsia" w:ascii="宋体" w:hAnsi="宋体" w:cs="宋体"/>
          <w:color w:val="000000"/>
          <w:sz w:val="24"/>
          <w:lang w:val="en-US" w:eastAsia="zh-CN"/>
        </w:rPr>
        <w:t>1</w:t>
      </w:r>
      <w:r>
        <w:rPr>
          <w:rFonts w:hint="eastAsia" w:ascii="宋体" w:hAnsi="宋体" w:cs="宋体"/>
          <w:color w:val="000000"/>
          <w:sz w:val="24"/>
        </w:rPr>
        <w:t xml:space="preserve">.2 </w:t>
      </w:r>
      <w:r>
        <w:rPr>
          <w:rFonts w:hint="eastAsia" w:ascii="宋体" w:hAnsi="宋体" w:cs="宋体"/>
          <w:kern w:val="0"/>
          <w:sz w:val="24"/>
          <w:lang w:eastAsia="zh-CN"/>
        </w:rPr>
        <w:t>一种输电线路高空作业便捷式安全网</w:t>
      </w:r>
      <w:r>
        <w:rPr>
          <w:rFonts w:hint="eastAsia" w:ascii="宋体" w:hAnsi="宋体" w:cs="宋体"/>
          <w:kern w:val="0"/>
          <w:sz w:val="24"/>
          <w:lang w:val="en-US" w:eastAsia="zh-CN"/>
        </w:rPr>
        <w:t>总体技术</w:t>
      </w:r>
      <w:r>
        <w:rPr>
          <w:rFonts w:hint="eastAsia" w:ascii="宋体" w:hAnsi="宋体" w:cs="宋体"/>
          <w:kern w:val="0"/>
          <w:sz w:val="24"/>
        </w:rPr>
        <w:t>要求</w:t>
      </w:r>
    </w:p>
    <w:p w14:paraId="4CFCBE84">
      <w:pPr>
        <w:pStyle w:val="2"/>
        <w:ind w:left="0" w:leftChars="0" w:firstLine="480" w:firstLineChars="200"/>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（1）</w:t>
      </w:r>
      <w:r>
        <w:rPr>
          <w:rFonts w:hint="eastAsia" w:ascii="宋体" w:hAnsi="宋体" w:eastAsia="宋体" w:cs="宋体"/>
          <w:kern w:val="0"/>
          <w:sz w:val="24"/>
          <w:szCs w:val="24"/>
          <w:lang w:val="en-US" w:eastAsia="zh-CN" w:bidi="ar-SA"/>
        </w:rPr>
        <w:t>便携与结构要求</w:t>
      </w:r>
      <w:r>
        <w:rPr>
          <w:rFonts w:hint="eastAsia" w:ascii="宋体" w:hAnsi="宋体" w:cs="宋体"/>
          <w:kern w:val="0"/>
          <w:sz w:val="24"/>
          <w:szCs w:val="24"/>
          <w:lang w:val="en-US" w:eastAsia="zh-CN" w:bidi="ar-SA"/>
        </w:rPr>
        <w:t>。</w:t>
      </w:r>
      <w:r>
        <w:rPr>
          <w:rFonts w:hint="eastAsia" w:ascii="宋体" w:hAnsi="宋体" w:eastAsia="宋体" w:cs="宋体"/>
          <w:kern w:val="0"/>
          <w:sz w:val="24"/>
          <w:szCs w:val="24"/>
          <w:lang w:val="en-US" w:eastAsia="zh-CN" w:bidi="ar-SA"/>
        </w:rPr>
        <w:t>装置整体采用模块化可折叠结构，所有部件集成一体，无需现场二次拼装；整体自重适宜，单人可独立完成地面转运、高空携带、架设以及收纳作业；折叠收拢后外形紧凑，能够放置于常规电力工器具包 / 运输箱内，方便随车运输。</w:t>
      </w:r>
    </w:p>
    <w:p w14:paraId="2E616C0D">
      <w:pPr>
        <w:pStyle w:val="2"/>
        <w:ind w:left="0" w:leftChars="0" w:firstLine="480" w:firstLineChars="200"/>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（2）</w:t>
      </w:r>
      <w:r>
        <w:rPr>
          <w:rFonts w:hint="eastAsia" w:ascii="宋体" w:hAnsi="宋体" w:eastAsia="宋体" w:cs="宋体"/>
          <w:kern w:val="0"/>
          <w:sz w:val="24"/>
          <w:szCs w:val="24"/>
          <w:lang w:val="en-US" w:eastAsia="zh-CN" w:bidi="ar-SA"/>
        </w:rPr>
        <w:t>安全防护性能要求</w:t>
      </w:r>
      <w:r>
        <w:rPr>
          <w:rFonts w:hint="eastAsia" w:ascii="宋体" w:hAnsi="宋体" w:cs="宋体"/>
          <w:kern w:val="0"/>
          <w:sz w:val="24"/>
          <w:szCs w:val="24"/>
          <w:lang w:val="en-US" w:eastAsia="zh-CN" w:bidi="ar-SA"/>
        </w:rPr>
        <w:t>。</w:t>
      </w:r>
      <w:r>
        <w:rPr>
          <w:rFonts w:hint="eastAsia" w:ascii="宋体" w:hAnsi="宋体" w:eastAsia="宋体" w:cs="宋体"/>
          <w:kern w:val="0"/>
          <w:sz w:val="24"/>
          <w:szCs w:val="24"/>
          <w:lang w:val="en-US" w:eastAsia="zh-CN" w:bidi="ar-SA"/>
        </w:rPr>
        <w:t>装置整体防坠性能满足高空作业安全防护相关标准要求；能够有效承接高空人员意外坠落产生的冲击荷载，配置缓冲结构吸收坠落瞬时冲击力，避免刚性冲击对人体造成二次伤害；所有受力构件、连接节点强度具备安全冗余，不出现断裂、脱开、永久变形等失效问题。</w:t>
      </w:r>
    </w:p>
    <w:p w14:paraId="1DE94292">
      <w:pPr>
        <w:pStyle w:val="2"/>
        <w:ind w:left="0" w:leftChars="0" w:firstLine="480" w:firstLineChars="200"/>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（3）</w:t>
      </w:r>
      <w:r>
        <w:rPr>
          <w:rFonts w:hint="eastAsia" w:ascii="宋体" w:hAnsi="宋体" w:eastAsia="宋体" w:cs="宋体"/>
          <w:kern w:val="0"/>
          <w:sz w:val="24"/>
          <w:szCs w:val="24"/>
          <w:lang w:val="en-US" w:eastAsia="zh-CN" w:bidi="ar-SA"/>
        </w:rPr>
        <w:t>现场安装适配要求</w:t>
      </w:r>
      <w:r>
        <w:rPr>
          <w:rFonts w:hint="eastAsia" w:ascii="宋体" w:hAnsi="宋体" w:cs="宋体"/>
          <w:kern w:val="0"/>
          <w:sz w:val="24"/>
          <w:szCs w:val="24"/>
          <w:lang w:val="en-US" w:eastAsia="zh-CN" w:bidi="ar-SA"/>
        </w:rPr>
        <w:t>。</w:t>
      </w:r>
      <w:r>
        <w:rPr>
          <w:rFonts w:hint="eastAsia" w:ascii="宋体" w:hAnsi="宋体" w:eastAsia="宋体" w:cs="宋体"/>
          <w:kern w:val="0"/>
          <w:sz w:val="24"/>
          <w:szCs w:val="24"/>
          <w:lang w:val="en-US" w:eastAsia="zh-CN" w:bidi="ar-SA"/>
        </w:rPr>
        <w:t>适配输电绝缘子、铁塔横担、主材等钢结构构件；挂接装置配备自锁保险结构，防止振动、外力触碰引发意外脱扣；整套装置布设无需专用工具，操作人员依靠手动即可完成固定、展开、锁紧作业，大幅缩短现场布设与拆除回收时长。</w:t>
      </w:r>
    </w:p>
    <w:p w14:paraId="2932F508">
      <w:pPr>
        <w:pStyle w:val="2"/>
        <w:ind w:left="0" w:leftChars="0" w:firstLine="480" w:firstLineChars="200"/>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（4）</w:t>
      </w:r>
      <w:r>
        <w:rPr>
          <w:rFonts w:hint="eastAsia" w:ascii="宋体" w:hAnsi="宋体" w:eastAsia="宋体" w:cs="宋体"/>
          <w:kern w:val="0"/>
          <w:sz w:val="24"/>
          <w:szCs w:val="24"/>
          <w:lang w:val="en-US" w:eastAsia="zh-CN" w:bidi="ar-SA"/>
        </w:rPr>
        <w:t>环境耐受性能要求</w:t>
      </w:r>
      <w:r>
        <w:rPr>
          <w:rFonts w:hint="eastAsia" w:ascii="宋体" w:hAnsi="宋体" w:cs="宋体"/>
          <w:kern w:val="0"/>
          <w:sz w:val="24"/>
          <w:szCs w:val="24"/>
          <w:lang w:val="en-US" w:eastAsia="zh-CN" w:bidi="ar-SA"/>
        </w:rPr>
        <w:t>。</w:t>
      </w:r>
      <w:r>
        <w:rPr>
          <w:rFonts w:hint="eastAsia" w:ascii="宋体" w:hAnsi="宋体" w:eastAsia="宋体" w:cs="宋体"/>
          <w:kern w:val="0"/>
          <w:sz w:val="24"/>
          <w:szCs w:val="24"/>
          <w:lang w:val="en-US" w:eastAsia="zh-CN" w:bidi="ar-SA"/>
        </w:rPr>
        <w:t>网体材料具备一定抗撕裂、耐磨性能，与杆塔构件、绝缘子接触位置设置耐磨防护结构，并且具有良好的绝缘性能。</w:t>
      </w:r>
    </w:p>
    <w:p w14:paraId="31736D54">
      <w:pPr>
        <w:pStyle w:val="2"/>
        <w:ind w:left="0" w:leftChars="0" w:firstLine="480" w:firstLineChars="200"/>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（5）</w:t>
      </w:r>
      <w:r>
        <w:rPr>
          <w:rFonts w:hint="eastAsia" w:ascii="宋体" w:hAnsi="宋体" w:eastAsia="宋体" w:cs="宋体"/>
          <w:kern w:val="0"/>
          <w:sz w:val="24"/>
          <w:szCs w:val="24"/>
          <w:lang w:val="en-US" w:eastAsia="zh-CN" w:bidi="ar-SA"/>
        </w:rPr>
        <w:t>通用性与可靠性要求</w:t>
      </w:r>
      <w:r>
        <w:rPr>
          <w:rFonts w:hint="eastAsia" w:ascii="宋体" w:hAnsi="宋体" w:cs="宋体"/>
          <w:kern w:val="0"/>
          <w:sz w:val="24"/>
          <w:szCs w:val="24"/>
          <w:lang w:val="en-US" w:eastAsia="zh-CN" w:bidi="ar-SA"/>
        </w:rPr>
        <w:t>。</w:t>
      </w:r>
      <w:r>
        <w:rPr>
          <w:rFonts w:hint="eastAsia" w:ascii="宋体" w:hAnsi="宋体" w:eastAsia="宋体" w:cs="宋体"/>
          <w:kern w:val="0"/>
          <w:sz w:val="24"/>
          <w:szCs w:val="24"/>
          <w:lang w:val="en-US" w:eastAsia="zh-CN" w:bidi="ar-SA"/>
        </w:rPr>
        <w:t>安全网可灵活调节展开尺寸，能够适配不同作业范围防护需求；活动铰接、锁止机构动作顺畅，经多次反复展开、收拢操作后无卡滞、松旷；结构布局合理，作业过程中不易与杆塔构件、工器具发生缠绕、勾挂。</w:t>
      </w:r>
    </w:p>
    <w:p w14:paraId="7ECF41A2">
      <w:pPr>
        <w:pStyle w:val="2"/>
        <w:ind w:left="0" w:leftChars="0" w:firstLine="480" w:firstLineChars="200"/>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（6）</w:t>
      </w:r>
      <w:r>
        <w:rPr>
          <w:rFonts w:hint="eastAsia" w:ascii="宋体" w:hAnsi="宋体" w:eastAsia="宋体" w:cs="宋体"/>
          <w:kern w:val="0"/>
          <w:sz w:val="24"/>
          <w:szCs w:val="24"/>
          <w:lang w:val="en-US" w:eastAsia="zh-CN" w:bidi="ar-SA"/>
        </w:rPr>
        <w:t>操作与人机工效要求</w:t>
      </w:r>
      <w:r>
        <w:rPr>
          <w:rFonts w:hint="eastAsia" w:ascii="宋体" w:hAnsi="宋体" w:cs="宋体"/>
          <w:kern w:val="0"/>
          <w:sz w:val="24"/>
          <w:szCs w:val="24"/>
          <w:lang w:val="en-US" w:eastAsia="zh-CN" w:bidi="ar-SA"/>
        </w:rPr>
        <w:t>。</w:t>
      </w:r>
      <w:bookmarkStart w:id="50" w:name="_GoBack"/>
      <w:bookmarkEnd w:id="50"/>
      <w:r>
        <w:rPr>
          <w:rFonts w:hint="eastAsia" w:ascii="宋体" w:hAnsi="宋体" w:eastAsia="宋体" w:cs="宋体"/>
          <w:kern w:val="0"/>
          <w:sz w:val="24"/>
          <w:szCs w:val="24"/>
          <w:lang w:val="en-US" w:eastAsia="zh-CN" w:bidi="ar-SA"/>
        </w:rPr>
        <w:t>装置操作流程简单易懂，便于一线运维人员快速上手；边缘无尖锐棱角，避免转运、安装过程划伤作业人员；收纳捆扎结构操作简便，收拢后不易自行松散张开。</w:t>
      </w:r>
    </w:p>
    <w:p w14:paraId="37CE3342">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2</w:t>
      </w:r>
      <w:r>
        <w:rPr>
          <w:rFonts w:hint="eastAsia" w:ascii="宋体" w:hAnsi="宋体" w:cs="宋体"/>
          <w:color w:val="000000"/>
          <w:sz w:val="24"/>
        </w:rPr>
        <w:t xml:space="preserve"> 项目组织。投标方需成立项目组</w:t>
      </w:r>
      <w:r>
        <w:rPr>
          <w:rFonts w:hint="eastAsia" w:ascii="宋体" w:hAnsi="宋体"/>
          <w:sz w:val="24"/>
        </w:rPr>
        <w:t>，具备良好的专业背景和经验。在与招标方协商的基础上确定，确保人员稳定。更换项目组成员的替代人选及更换时机需经双方协商认可，并保证工作的连续性和工作质量。</w:t>
      </w:r>
    </w:p>
    <w:bookmarkEnd w:id="15"/>
    <w:bookmarkEnd w:id="16"/>
    <w:bookmarkEnd w:id="17"/>
    <w:bookmarkEnd w:id="18"/>
    <w:bookmarkEnd w:id="19"/>
    <w:bookmarkEnd w:id="20"/>
    <w:bookmarkEnd w:id="21"/>
    <w:bookmarkEnd w:id="22"/>
    <w:bookmarkEnd w:id="23"/>
    <w:bookmarkEnd w:id="24"/>
    <w:bookmarkEnd w:id="25"/>
    <w:p w14:paraId="7C914E8E">
      <w:pPr>
        <w:rPr>
          <w:rFonts w:ascii="宋体" w:hAnsi="宋体" w:cs="宋体"/>
          <w:sz w:val="24"/>
        </w:rPr>
      </w:pPr>
      <w:bookmarkStart w:id="32"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32"/>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33" w:name="_Toc309593280"/>
      <w:bookmarkStart w:id="34" w:name="_Toc531004215"/>
      <w:bookmarkStart w:id="35" w:name="_Toc309805604"/>
      <w:bookmarkStart w:id="36" w:name="_Toc441483969"/>
      <w:bookmarkStart w:id="37" w:name="_Toc312827040"/>
      <w:bookmarkStart w:id="38" w:name="_Toc309593209"/>
      <w:bookmarkStart w:id="39" w:name="_Toc531004269"/>
      <w:bookmarkStart w:id="40" w:name="_Toc18633"/>
    </w:p>
    <w:p w14:paraId="6D7F86C8">
      <w:pPr>
        <w:pStyle w:val="8"/>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设备图纸设计、审核、主要原材料选用、重大技术变更等关键技术环节工作。投标方应在设备研发、制造主要技术节点通知招标方技术团队参与</w:t>
      </w:r>
      <w:r>
        <w:rPr>
          <w:rFonts w:hint="eastAsia" w:hAnsi="宋体"/>
          <w:sz w:val="24"/>
        </w:rPr>
        <w:t>。</w:t>
      </w:r>
    </w:p>
    <w:p w14:paraId="5062A7C2">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14:paraId="73CA961D">
      <w:pPr>
        <w:pStyle w:val="8"/>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14:paraId="3DEDD22B">
      <w:pPr>
        <w:pStyle w:val="8"/>
        <w:rPr>
          <w:rFonts w:hAnsi="宋体"/>
          <w:sz w:val="24"/>
        </w:rPr>
      </w:pPr>
      <w:r>
        <w:rPr>
          <w:rFonts w:hint="eastAsia" w:ascii="Times New Roman" w:hAnsi="Times New Roman"/>
          <w:sz w:val="24"/>
        </w:rPr>
        <w:t>（1）沟通项目所需资料的收集</w:t>
      </w:r>
      <w:r>
        <w:rPr>
          <w:rFonts w:hint="eastAsia" w:hAnsi="宋体"/>
          <w:sz w:val="24"/>
        </w:rPr>
        <w:t>。</w:t>
      </w:r>
    </w:p>
    <w:p w14:paraId="67A48A5E">
      <w:pPr>
        <w:pStyle w:val="8"/>
        <w:rPr>
          <w:rFonts w:hAnsi="宋体"/>
          <w:sz w:val="24"/>
        </w:rPr>
      </w:pPr>
      <w:r>
        <w:rPr>
          <w:rFonts w:hint="eastAsia" w:ascii="Times New Roman" w:hAnsi="Times New Roman"/>
          <w:sz w:val="24"/>
        </w:rPr>
        <w:t>（2）沟通项目进度信息。</w:t>
      </w:r>
    </w:p>
    <w:p w14:paraId="2E5D34AE">
      <w:pPr>
        <w:pStyle w:val="8"/>
        <w:rPr>
          <w:rFonts w:hAnsi="宋体"/>
          <w:sz w:val="24"/>
        </w:rPr>
      </w:pPr>
      <w:r>
        <w:rPr>
          <w:rFonts w:hint="eastAsia" w:ascii="Times New Roman" w:hAnsi="Times New Roman"/>
          <w:sz w:val="24"/>
        </w:rPr>
        <w:t>（3）协商解决项目执行过程中遇到的问题。</w:t>
      </w:r>
    </w:p>
    <w:p w14:paraId="48BACCB4">
      <w:pPr>
        <w:pStyle w:val="8"/>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414BF8E5">
      <w:pPr>
        <w:pStyle w:val="8"/>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14:paraId="1A984B6D">
      <w:pPr>
        <w:pStyle w:val="8"/>
        <w:ind w:firstLine="240"/>
        <w:rPr>
          <w:rFonts w:hAnsi="宋体"/>
          <w:sz w:val="24"/>
        </w:rPr>
      </w:pPr>
      <w:r>
        <w:rPr>
          <w:rFonts w:hAnsi="宋体"/>
          <w:sz w:val="24"/>
        </w:rPr>
        <w:t xml:space="preserve">    </w:t>
      </w:r>
      <w:r>
        <w:rPr>
          <w:rFonts w:hint="eastAsia" w:hAnsi="宋体"/>
          <w:sz w:val="24"/>
        </w:rPr>
        <w:t>招标方</w:t>
      </w:r>
      <w:r>
        <w:rPr>
          <w:rFonts w:hAnsi="宋体"/>
          <w:sz w:val="24"/>
        </w:rPr>
        <w:t>：</w:t>
      </w:r>
    </w:p>
    <w:p w14:paraId="5F924D18">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0AA469EA">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607FE177">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24F9798F">
      <w:pPr>
        <w:pStyle w:val="8"/>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11B928EF">
      <w:pPr>
        <w:pStyle w:val="8"/>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14:paraId="07642554">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7F8CC74">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0EC835D1">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31C544D4">
      <w:pPr>
        <w:pStyle w:val="8"/>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F0E491E">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14:paraId="1AEDD50F">
      <w:pPr>
        <w:spacing w:line="360" w:lineRule="auto"/>
        <w:ind w:left="6" w:leftChars="3" w:firstLine="480" w:firstLineChars="200"/>
        <w:rPr>
          <w:sz w:val="24"/>
        </w:rPr>
      </w:pPr>
      <w:r>
        <w:rPr>
          <w:rFonts w:hint="eastAsia"/>
          <w:sz w:val="24"/>
        </w:rPr>
        <w:t>投标方</w:t>
      </w:r>
      <w:r>
        <w:rPr>
          <w:sz w:val="24"/>
        </w:rPr>
        <w:t>技术文件应包括：</w:t>
      </w:r>
    </w:p>
    <w:p w14:paraId="43B1C038">
      <w:pPr>
        <w:spacing w:line="360" w:lineRule="auto"/>
        <w:ind w:left="6" w:leftChars="3" w:firstLine="480" w:firstLineChars="200"/>
        <w:rPr>
          <w:rFonts w:hint="eastAsia" w:eastAsia="宋体"/>
          <w:sz w:val="24"/>
          <w:lang w:eastAsia="zh-CN"/>
        </w:rPr>
      </w:pPr>
      <w:r>
        <w:rPr>
          <w:sz w:val="24"/>
        </w:rPr>
        <w:t>（</w:t>
      </w:r>
      <w:r>
        <w:rPr>
          <w:rFonts w:hint="eastAsia"/>
          <w:sz w:val="24"/>
          <w:lang w:val="en-US" w:eastAsia="zh-CN"/>
        </w:rPr>
        <w:t>1</w:t>
      </w:r>
      <w:r>
        <w:rPr>
          <w:sz w:val="24"/>
        </w:rPr>
        <w:t>）预期目标和成果，主要技术难点、创新点及解决措施</w:t>
      </w:r>
      <w:r>
        <w:rPr>
          <w:rFonts w:hint="eastAsia"/>
          <w:sz w:val="24"/>
          <w:lang w:eastAsia="zh-CN"/>
        </w:rPr>
        <w:t>。</w:t>
      </w:r>
    </w:p>
    <w:p w14:paraId="644A5040">
      <w:pPr>
        <w:pStyle w:val="4"/>
        <w:numPr>
          <w:ilvl w:val="0"/>
          <w:numId w:val="0"/>
        </w:numPr>
        <w:rPr>
          <w:rFonts w:hint="eastAsia" w:ascii="黑体" w:hAnsi="黑体" w:eastAsia="黑体" w:cs="黑体"/>
          <w:b/>
          <w:bCs/>
          <w:kern w:val="2"/>
          <w:sz w:val="28"/>
          <w:szCs w:val="36"/>
          <w:lang w:val="en-US" w:eastAsia="zh-CN" w:bidi="ar-SA"/>
        </w:rPr>
      </w:pPr>
      <w:bookmarkStart w:id="41" w:name="_Toc14774"/>
      <w:bookmarkStart w:id="42" w:name="_Toc12192"/>
      <w:bookmarkStart w:id="43" w:name="_Toc26448179"/>
      <w:bookmarkStart w:id="44" w:name="_Toc309593208"/>
      <w:bookmarkStart w:id="45" w:name="_Toc312827039"/>
      <w:bookmarkStart w:id="46" w:name="_Toc23520"/>
      <w:bookmarkStart w:id="47" w:name="_Toc309805603"/>
      <w:bookmarkStart w:id="48" w:name="_Toc12135"/>
      <w:bookmarkStart w:id="49" w:name="_Toc309593279"/>
      <w:r>
        <w:rPr>
          <w:rFonts w:hint="eastAsia" w:ascii="黑体" w:hAnsi="黑体" w:eastAsia="黑体" w:cs="黑体"/>
          <w:b/>
          <w:bCs/>
          <w:kern w:val="2"/>
          <w:sz w:val="28"/>
          <w:szCs w:val="36"/>
          <w:lang w:val="en-US" w:eastAsia="zh-CN" w:bidi="ar-SA"/>
        </w:rPr>
        <w:t>6.※工期进度要求</w:t>
      </w:r>
      <w:bookmarkEnd w:id="41"/>
      <w:bookmarkEnd w:id="42"/>
      <w:bookmarkEnd w:id="43"/>
      <w:bookmarkEnd w:id="44"/>
      <w:bookmarkEnd w:id="45"/>
      <w:bookmarkEnd w:id="46"/>
      <w:bookmarkEnd w:id="47"/>
      <w:bookmarkEnd w:id="48"/>
      <w:bookmarkEnd w:id="49"/>
    </w:p>
    <w:p w14:paraId="5BD3C678">
      <w:pPr>
        <w:spacing w:line="360" w:lineRule="auto"/>
        <w:ind w:left="6" w:leftChars="3" w:firstLine="480" w:firstLineChars="200"/>
        <w:rPr>
          <w:sz w:val="24"/>
        </w:rPr>
      </w:pPr>
      <w:r>
        <w:rPr>
          <w:sz w:val="24"/>
        </w:rPr>
        <w:t>本项目应按照下表所示进度安排开展试验工作：</w:t>
      </w:r>
    </w:p>
    <w:tbl>
      <w:tblPr>
        <w:tblStyle w:val="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14:paraId="3A26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08BBD23B">
            <w:pPr>
              <w:jc w:val="center"/>
              <w:rPr>
                <w:b/>
                <w:sz w:val="24"/>
              </w:rPr>
            </w:pPr>
            <w:r>
              <w:rPr>
                <w:b/>
                <w:sz w:val="24"/>
              </w:rPr>
              <w:t>任务名称</w:t>
            </w:r>
          </w:p>
        </w:tc>
        <w:tc>
          <w:tcPr>
            <w:tcW w:w="1734" w:type="dxa"/>
            <w:noWrap w:val="0"/>
            <w:vAlign w:val="center"/>
          </w:tcPr>
          <w:p w14:paraId="516846AB">
            <w:pPr>
              <w:jc w:val="center"/>
              <w:rPr>
                <w:b/>
                <w:sz w:val="24"/>
              </w:rPr>
            </w:pPr>
            <w:r>
              <w:rPr>
                <w:b/>
                <w:sz w:val="24"/>
              </w:rPr>
              <w:t>工作时间</w:t>
            </w:r>
          </w:p>
        </w:tc>
        <w:tc>
          <w:tcPr>
            <w:tcW w:w="5358" w:type="dxa"/>
            <w:noWrap w:val="0"/>
            <w:vAlign w:val="center"/>
          </w:tcPr>
          <w:p w14:paraId="0FB0BFA4">
            <w:pPr>
              <w:tabs>
                <w:tab w:val="left" w:pos="859"/>
              </w:tabs>
              <w:ind w:left="111" w:leftChars="53" w:firstLine="7" w:firstLineChars="3"/>
              <w:jc w:val="center"/>
              <w:rPr>
                <w:b/>
                <w:sz w:val="24"/>
              </w:rPr>
            </w:pPr>
            <w:r>
              <w:rPr>
                <w:b/>
                <w:sz w:val="24"/>
              </w:rPr>
              <w:t>主要内容及交付项</w:t>
            </w:r>
          </w:p>
        </w:tc>
      </w:tr>
      <w:tr w14:paraId="59E1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737" w:type="dxa"/>
            <w:noWrap w:val="0"/>
            <w:vAlign w:val="center"/>
          </w:tcPr>
          <w:p w14:paraId="71CE3849">
            <w:pPr>
              <w:pStyle w:val="54"/>
              <w:snapToGrid w:val="0"/>
              <w:rPr>
                <w:rFonts w:hint="eastAsia" w:ascii="Times New Roman" w:eastAsia="宋体"/>
                <w:kern w:val="2"/>
                <w:sz w:val="21"/>
                <w:szCs w:val="21"/>
                <w:lang w:eastAsia="zh-CN"/>
              </w:rPr>
            </w:pPr>
            <w:r>
              <w:rPr>
                <w:rFonts w:hint="eastAsia" w:ascii="Times New Roman" w:eastAsia="宋体"/>
                <w:kern w:val="2"/>
                <w:sz w:val="21"/>
                <w:szCs w:val="21"/>
                <w:lang w:eastAsia="zh-CN"/>
              </w:rPr>
              <w:t>需求调研与</w:t>
            </w:r>
            <w:r>
              <w:rPr>
                <w:rFonts w:hint="eastAsia" w:ascii="Times New Roman" w:eastAsia="宋体"/>
                <w:kern w:val="2"/>
                <w:sz w:val="21"/>
                <w:szCs w:val="21"/>
                <w:lang w:val="en-US" w:eastAsia="zh-CN"/>
              </w:rPr>
              <w:t>结构</w:t>
            </w:r>
            <w:r>
              <w:rPr>
                <w:rFonts w:hint="eastAsia" w:ascii="Times New Roman" w:eastAsia="宋体"/>
                <w:kern w:val="2"/>
                <w:sz w:val="21"/>
                <w:szCs w:val="21"/>
                <w:lang w:eastAsia="zh-CN"/>
              </w:rPr>
              <w:t>设计</w:t>
            </w:r>
          </w:p>
        </w:tc>
        <w:tc>
          <w:tcPr>
            <w:tcW w:w="1734" w:type="dxa"/>
            <w:noWrap w:val="0"/>
            <w:vAlign w:val="center"/>
          </w:tcPr>
          <w:p w14:paraId="4E19A742">
            <w:pPr>
              <w:adjustRightInd w:val="0"/>
              <w:snapToGrid w:val="0"/>
              <w:spacing w:line="400" w:lineRule="exact"/>
              <w:ind w:right="72"/>
              <w:jc w:val="center"/>
              <w:textAlignment w:val="center"/>
              <w:rPr>
                <w:szCs w:val="21"/>
              </w:rPr>
            </w:pPr>
            <w:r>
              <w:rPr>
                <w:rFonts w:hint="eastAsia"/>
                <w:szCs w:val="21"/>
              </w:rPr>
              <w:t>采购结果确定后</w:t>
            </w:r>
            <w:r>
              <w:rPr>
                <w:rFonts w:hint="eastAsia"/>
                <w:szCs w:val="21"/>
                <w:lang w:val="en-US" w:eastAsia="zh-CN"/>
              </w:rPr>
              <w:t>1</w:t>
            </w:r>
            <w:r>
              <w:rPr>
                <w:rFonts w:hint="eastAsia"/>
                <w:szCs w:val="21"/>
              </w:rPr>
              <w:t>月内</w:t>
            </w:r>
          </w:p>
        </w:tc>
        <w:tc>
          <w:tcPr>
            <w:tcW w:w="5358" w:type="dxa"/>
            <w:noWrap w:val="0"/>
            <w:vAlign w:val="center"/>
          </w:tcPr>
          <w:p w14:paraId="4E51ADAD">
            <w:pPr>
              <w:pStyle w:val="54"/>
              <w:snapToGrid w:val="0"/>
              <w:rPr>
                <w:rFonts w:hint="eastAsia" w:ascii="宋体" w:hAnsi="宋体" w:eastAsia="宋体" w:cs="宋体"/>
                <w:b/>
                <w:kern w:val="2"/>
                <w:sz w:val="21"/>
                <w:szCs w:val="21"/>
              </w:rPr>
            </w:pPr>
            <w:r>
              <w:rPr>
                <w:rFonts w:hint="eastAsia" w:ascii="宋体" w:hAnsi="宋体" w:eastAsia="宋体" w:cs="宋体"/>
                <w:b/>
                <w:kern w:val="2"/>
                <w:sz w:val="21"/>
                <w:szCs w:val="21"/>
              </w:rPr>
              <w:t>主要内容：</w:t>
            </w:r>
          </w:p>
          <w:p w14:paraId="5F85C1B6">
            <w:pPr>
              <w:pStyle w:val="54"/>
              <w:snapToGrid w:val="0"/>
              <w:rPr>
                <w:rFonts w:hint="default" w:ascii="Times New Roman" w:eastAsia="宋体" w:cs="Times New Roman"/>
                <w:kern w:val="2"/>
                <w:sz w:val="21"/>
                <w:szCs w:val="21"/>
                <w:lang w:val="en-US" w:eastAsia="zh-CN"/>
              </w:rPr>
            </w:pPr>
            <w:r>
              <w:rPr>
                <w:rFonts w:hint="eastAsia" w:ascii="Times New Roman" w:eastAsia="宋体" w:cs="Times New Roman"/>
                <w:kern w:val="2"/>
                <w:sz w:val="21"/>
                <w:szCs w:val="21"/>
              </w:rPr>
              <w:t>（1）调研</w:t>
            </w:r>
            <w:r>
              <w:rPr>
                <w:rFonts w:hint="eastAsia" w:ascii="Times New Roman" w:eastAsia="宋体" w:cs="Times New Roman"/>
                <w:kern w:val="2"/>
                <w:sz w:val="21"/>
                <w:szCs w:val="21"/>
                <w:lang w:val="en-US" w:eastAsia="zh-CN"/>
              </w:rPr>
              <w:t>所辖线路杆塔结构、绝缘子结构，现场作业情况、需求，作业过程中的危险点、难点。</w:t>
            </w:r>
          </w:p>
          <w:p w14:paraId="7CBD870C">
            <w:pPr>
              <w:pStyle w:val="54"/>
              <w:snapToGrid w:val="0"/>
              <w:rPr>
                <w:rFonts w:ascii="Times New Roman" w:eastAsia="宋体"/>
                <w:b/>
                <w:kern w:val="2"/>
                <w:sz w:val="21"/>
                <w:szCs w:val="21"/>
              </w:rPr>
            </w:pPr>
            <w:r>
              <w:rPr>
                <w:rFonts w:hint="eastAsia" w:ascii="宋体" w:hAnsi="宋体" w:eastAsia="宋体" w:cs="宋体"/>
                <w:b/>
                <w:kern w:val="2"/>
                <w:sz w:val="21"/>
                <w:szCs w:val="21"/>
              </w:rPr>
              <w:t>交付项</w:t>
            </w: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需求</w:t>
            </w:r>
            <w:r>
              <w:rPr>
                <w:rFonts w:hint="eastAsia" w:ascii="宋体" w:hAnsi="宋体" w:eastAsia="宋体" w:cs="宋体"/>
                <w:kern w:val="2"/>
                <w:sz w:val="21"/>
                <w:szCs w:val="21"/>
              </w:rPr>
              <w:t>方案1份。</w:t>
            </w:r>
          </w:p>
        </w:tc>
      </w:tr>
      <w:tr w14:paraId="2C45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1737" w:type="dxa"/>
            <w:noWrap w:val="0"/>
            <w:vAlign w:val="center"/>
          </w:tcPr>
          <w:p w14:paraId="0CF2D0E4">
            <w:pPr>
              <w:pStyle w:val="54"/>
              <w:snapToGrid w:val="0"/>
              <w:rPr>
                <w:rFonts w:hint="default" w:ascii="Times New Roman" w:eastAsia="宋体" w:cs="Times New Roman"/>
                <w:kern w:val="2"/>
                <w:sz w:val="21"/>
                <w:szCs w:val="21"/>
                <w:highlight w:val="none"/>
                <w:lang w:val="en-US" w:eastAsia="zh-CN"/>
              </w:rPr>
            </w:pPr>
            <w:r>
              <w:rPr>
                <w:rFonts w:hint="eastAsia" w:ascii="Times New Roman" w:eastAsia="宋体" w:cs="Times New Roman"/>
                <w:kern w:val="2"/>
                <w:sz w:val="21"/>
                <w:szCs w:val="21"/>
                <w:highlight w:val="none"/>
                <w:lang w:val="en-US" w:eastAsia="zh-CN"/>
              </w:rPr>
              <w:t>工具制作</w:t>
            </w:r>
          </w:p>
        </w:tc>
        <w:tc>
          <w:tcPr>
            <w:tcW w:w="1734" w:type="dxa"/>
            <w:noWrap w:val="0"/>
            <w:vAlign w:val="center"/>
          </w:tcPr>
          <w:p w14:paraId="310A5E4E">
            <w:pPr>
              <w:spacing w:line="264" w:lineRule="auto"/>
              <w:jc w:val="center"/>
              <w:rPr>
                <w:sz w:val="24"/>
              </w:rPr>
            </w:pPr>
            <w:r>
              <w:rPr>
                <w:rFonts w:hint="eastAsia"/>
                <w:szCs w:val="21"/>
              </w:rPr>
              <w:t>采购结果确定后</w:t>
            </w:r>
            <w:r>
              <w:rPr>
                <w:rFonts w:hint="eastAsia"/>
                <w:szCs w:val="21"/>
                <w:lang w:val="en-US" w:eastAsia="zh-CN"/>
              </w:rPr>
              <w:t>3</w:t>
            </w:r>
            <w:r>
              <w:rPr>
                <w:rFonts w:hint="eastAsia"/>
                <w:szCs w:val="21"/>
              </w:rPr>
              <w:t>月内</w:t>
            </w:r>
          </w:p>
        </w:tc>
        <w:tc>
          <w:tcPr>
            <w:tcW w:w="5358" w:type="dxa"/>
            <w:noWrap w:val="0"/>
            <w:vAlign w:val="center"/>
          </w:tcPr>
          <w:p w14:paraId="6239E6B1">
            <w:pPr>
              <w:pStyle w:val="54"/>
              <w:snapToGrid w:val="0"/>
              <w:rPr>
                <w:rFonts w:ascii="Times New Roman" w:eastAsia="宋体"/>
                <w:b/>
                <w:kern w:val="2"/>
                <w:sz w:val="21"/>
                <w:szCs w:val="21"/>
              </w:rPr>
            </w:pPr>
            <w:r>
              <w:rPr>
                <w:rFonts w:ascii="Times New Roman" w:eastAsia="宋体"/>
                <w:b/>
                <w:kern w:val="2"/>
                <w:sz w:val="21"/>
                <w:szCs w:val="21"/>
              </w:rPr>
              <w:t>主要内容：</w:t>
            </w:r>
          </w:p>
          <w:p w14:paraId="14896219">
            <w:pPr>
              <w:pStyle w:val="54"/>
              <w:snapToGrid w:val="0"/>
              <w:rPr>
                <w:rFonts w:ascii="Times New Roman" w:eastAsia="宋体"/>
                <w:b/>
                <w:kern w:val="2"/>
                <w:sz w:val="21"/>
                <w:szCs w:val="21"/>
              </w:rPr>
            </w:pPr>
            <w:r>
              <w:rPr>
                <w:rFonts w:hint="eastAsia" w:ascii="Times New Roman" w:eastAsia="宋体" w:cs="Times New Roman"/>
                <w:kern w:val="2"/>
                <w:sz w:val="21"/>
                <w:szCs w:val="21"/>
              </w:rPr>
              <w:t>（1）</w:t>
            </w:r>
            <w:r>
              <w:rPr>
                <w:rFonts w:hint="eastAsia" w:ascii="Times New Roman" w:eastAsia="宋体" w:cs="Times New Roman"/>
                <w:kern w:val="2"/>
                <w:sz w:val="21"/>
                <w:szCs w:val="21"/>
                <w:lang w:val="en-US" w:eastAsia="zh-CN"/>
              </w:rPr>
              <w:t>根据现场作业需要、杆塔结构、绝缘子结构确定设计方案、以及工具材料的选取</w:t>
            </w:r>
            <w:r>
              <w:rPr>
                <w:rFonts w:hint="eastAsia" w:ascii="Times New Roman" w:eastAsia="宋体" w:cs="Times New Roman"/>
                <w:kern w:val="2"/>
                <w:sz w:val="21"/>
                <w:szCs w:val="21"/>
              </w:rPr>
              <w:t>；</w:t>
            </w:r>
            <w:r>
              <w:rPr>
                <w:rFonts w:hint="default" w:ascii="Times New Roman" w:eastAsia="宋体" w:cs="Times New Roman"/>
                <w:kern w:val="2"/>
                <w:sz w:val="21"/>
                <w:szCs w:val="21"/>
              </w:rPr>
              <w:br w:type="textWrapping"/>
            </w:r>
            <w:r>
              <w:rPr>
                <w:rFonts w:ascii="Times New Roman" w:eastAsia="宋体"/>
                <w:b/>
                <w:kern w:val="2"/>
                <w:sz w:val="21"/>
                <w:szCs w:val="21"/>
              </w:rPr>
              <w:t>交付项：</w:t>
            </w:r>
          </w:p>
          <w:p w14:paraId="4CC168F9">
            <w:pPr>
              <w:pStyle w:val="54"/>
              <w:snapToGrid w:val="0"/>
              <w:rPr>
                <w:rFonts w:hint="eastAsia" w:ascii="Times New Roman" w:eastAsia="宋体"/>
              </w:rPr>
            </w:pPr>
            <w:r>
              <w:rPr>
                <w:rFonts w:hint="default" w:ascii="Times New Roman" w:eastAsia="宋体" w:cs="Times New Roman"/>
                <w:kern w:val="2"/>
                <w:sz w:val="21"/>
                <w:szCs w:val="21"/>
              </w:rPr>
              <w:t>（1）</w:t>
            </w:r>
            <w:r>
              <w:rPr>
                <w:rFonts w:hint="eastAsia" w:ascii="Times New Roman" w:eastAsia="宋体" w:cs="Times New Roman"/>
                <w:kern w:val="2"/>
                <w:sz w:val="21"/>
                <w:szCs w:val="21"/>
                <w:lang w:val="en-US" w:eastAsia="zh-CN"/>
              </w:rPr>
              <w:t>设计制作方案、图纸、用料报告</w:t>
            </w:r>
            <w:r>
              <w:rPr>
                <w:rFonts w:hint="eastAsia" w:ascii="Times New Roman" w:eastAsia="宋体" w:cs="Times New Roman"/>
                <w:kern w:val="2"/>
                <w:sz w:val="21"/>
                <w:szCs w:val="21"/>
              </w:rPr>
              <w:t>。</w:t>
            </w:r>
          </w:p>
        </w:tc>
      </w:tr>
      <w:tr w14:paraId="248D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9" w:hRule="atLeast"/>
          <w:jc w:val="center"/>
        </w:trPr>
        <w:tc>
          <w:tcPr>
            <w:tcW w:w="1737" w:type="dxa"/>
            <w:noWrap w:val="0"/>
            <w:vAlign w:val="center"/>
          </w:tcPr>
          <w:p w14:paraId="18F89A74">
            <w:pPr>
              <w:pStyle w:val="54"/>
              <w:snapToGrid w:val="0"/>
              <w:rPr>
                <w:rFonts w:hint="eastAsia" w:ascii="Times New Roman" w:eastAsia="宋体" w:cs="Times New Roman"/>
                <w:kern w:val="2"/>
                <w:sz w:val="21"/>
                <w:szCs w:val="21"/>
                <w:highlight w:val="none"/>
                <w:lang w:eastAsia="zh-CN"/>
              </w:rPr>
            </w:pPr>
            <w:r>
              <w:rPr>
                <w:rFonts w:ascii="Times New Roman" w:eastAsia="宋体" w:cs="Times New Roman"/>
                <w:kern w:val="2"/>
                <w:sz w:val="21"/>
                <w:szCs w:val="21"/>
                <w:highlight w:val="none"/>
              </w:rPr>
              <w:t>现场</w:t>
            </w:r>
            <w:r>
              <w:rPr>
                <w:rFonts w:hint="eastAsia" w:ascii="Times New Roman" w:eastAsia="宋体" w:cs="Times New Roman"/>
                <w:kern w:val="2"/>
                <w:sz w:val="21"/>
                <w:szCs w:val="21"/>
                <w:highlight w:val="none"/>
                <w:lang w:val="en-US" w:eastAsia="zh-CN"/>
              </w:rPr>
              <w:t>测试</w:t>
            </w:r>
          </w:p>
        </w:tc>
        <w:tc>
          <w:tcPr>
            <w:tcW w:w="1734" w:type="dxa"/>
            <w:noWrap w:val="0"/>
            <w:vAlign w:val="center"/>
          </w:tcPr>
          <w:p w14:paraId="35C52FF6">
            <w:pPr>
              <w:adjustRightInd w:val="0"/>
              <w:snapToGrid w:val="0"/>
              <w:spacing w:line="288" w:lineRule="auto"/>
              <w:ind w:right="72"/>
              <w:jc w:val="center"/>
              <w:rPr>
                <w:sz w:val="24"/>
              </w:rPr>
            </w:pPr>
            <w:r>
              <w:rPr>
                <w:rFonts w:hint="eastAsia"/>
                <w:szCs w:val="21"/>
              </w:rPr>
              <w:t>采购结果确定后</w:t>
            </w:r>
            <w:r>
              <w:rPr>
                <w:rFonts w:hint="eastAsia"/>
                <w:szCs w:val="21"/>
                <w:lang w:val="en-US" w:eastAsia="zh-CN"/>
              </w:rPr>
              <w:t>5</w:t>
            </w:r>
            <w:r>
              <w:rPr>
                <w:rFonts w:hint="eastAsia"/>
                <w:szCs w:val="21"/>
              </w:rPr>
              <w:t>月内</w:t>
            </w:r>
          </w:p>
        </w:tc>
        <w:tc>
          <w:tcPr>
            <w:tcW w:w="5358" w:type="dxa"/>
            <w:noWrap w:val="0"/>
            <w:vAlign w:val="center"/>
          </w:tcPr>
          <w:p w14:paraId="1D40E674">
            <w:pPr>
              <w:pStyle w:val="54"/>
              <w:snapToGrid w:val="0"/>
              <w:rPr>
                <w:rFonts w:ascii="Times New Roman" w:eastAsia="宋体"/>
                <w:b/>
                <w:kern w:val="2"/>
                <w:sz w:val="21"/>
                <w:szCs w:val="21"/>
              </w:rPr>
            </w:pPr>
            <w:r>
              <w:rPr>
                <w:rFonts w:ascii="Times New Roman" w:eastAsia="宋体"/>
                <w:b/>
                <w:kern w:val="2"/>
                <w:sz w:val="21"/>
                <w:szCs w:val="21"/>
              </w:rPr>
              <w:t>主要内容：</w:t>
            </w:r>
          </w:p>
          <w:p w14:paraId="60156997">
            <w:pPr>
              <w:pStyle w:val="54"/>
              <w:snapToGrid w:val="0"/>
              <w:rPr>
                <w:rFonts w:hint="eastAsia" w:ascii="Times New Roman" w:eastAsia="宋体" w:cs="Times New Roman"/>
                <w:kern w:val="2"/>
                <w:sz w:val="21"/>
                <w:szCs w:val="21"/>
              </w:rPr>
            </w:pPr>
            <w:r>
              <w:rPr>
                <w:rFonts w:hint="default" w:ascii="Times New Roman" w:eastAsia="宋体" w:cs="Times New Roman"/>
                <w:kern w:val="2"/>
                <w:sz w:val="21"/>
                <w:szCs w:val="21"/>
              </w:rPr>
              <w:t>（1）完成</w:t>
            </w:r>
            <w:r>
              <w:rPr>
                <w:rFonts w:hint="eastAsia" w:ascii="Times New Roman" w:eastAsia="宋体" w:cs="Times New Roman"/>
                <w:kern w:val="2"/>
                <w:sz w:val="21"/>
                <w:szCs w:val="21"/>
                <w:lang w:val="en-US" w:eastAsia="zh-CN"/>
              </w:rPr>
              <w:t>工具</w:t>
            </w:r>
            <w:r>
              <w:rPr>
                <w:rFonts w:hint="default" w:ascii="Times New Roman" w:eastAsia="宋体" w:cs="Times New Roman"/>
                <w:kern w:val="2"/>
                <w:sz w:val="21"/>
                <w:szCs w:val="21"/>
              </w:rPr>
              <w:t>功能测试、性能测试及安全测试；</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w:t>
            </w:r>
            <w:r>
              <w:rPr>
                <w:rFonts w:hint="eastAsia" w:ascii="Times New Roman" w:eastAsia="宋体" w:cs="Times New Roman"/>
                <w:kern w:val="2"/>
                <w:sz w:val="21"/>
                <w:szCs w:val="21"/>
                <w:lang w:val="en-US" w:eastAsia="zh-CN"/>
              </w:rPr>
              <w:t>2</w:t>
            </w:r>
            <w:r>
              <w:rPr>
                <w:rFonts w:hint="default" w:ascii="Times New Roman" w:eastAsia="宋体" w:cs="Times New Roman"/>
                <w:kern w:val="2"/>
                <w:sz w:val="21"/>
                <w:szCs w:val="21"/>
              </w:rPr>
              <w:t>）优化</w:t>
            </w:r>
            <w:r>
              <w:rPr>
                <w:rFonts w:hint="eastAsia" w:ascii="Times New Roman" w:eastAsia="宋体" w:cs="Times New Roman"/>
                <w:kern w:val="2"/>
                <w:sz w:val="21"/>
                <w:szCs w:val="21"/>
                <w:lang w:val="en-US" w:eastAsia="zh-CN"/>
              </w:rPr>
              <w:t>用户需求和现场作业建议</w:t>
            </w:r>
            <w:r>
              <w:rPr>
                <w:rFonts w:hint="default" w:ascii="Times New Roman" w:eastAsia="宋体" w:cs="Times New Roman"/>
                <w:kern w:val="2"/>
                <w:sz w:val="21"/>
                <w:szCs w:val="21"/>
              </w:rPr>
              <w:t>；</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w:t>
            </w:r>
            <w:r>
              <w:rPr>
                <w:rFonts w:hint="eastAsia" w:ascii="Times New Roman" w:eastAsia="宋体" w:cs="Times New Roman"/>
                <w:kern w:val="2"/>
                <w:sz w:val="21"/>
                <w:szCs w:val="21"/>
                <w:lang w:val="en-US" w:eastAsia="zh-CN"/>
              </w:rPr>
              <w:t>3</w:t>
            </w:r>
            <w:r>
              <w:rPr>
                <w:rFonts w:hint="default" w:ascii="Times New Roman" w:eastAsia="宋体" w:cs="Times New Roman"/>
                <w:kern w:val="2"/>
                <w:sz w:val="21"/>
                <w:szCs w:val="21"/>
              </w:rPr>
              <w:t>）编写用户操作手册。</w:t>
            </w:r>
          </w:p>
          <w:p w14:paraId="0C383010">
            <w:pPr>
              <w:pStyle w:val="54"/>
              <w:snapToGrid w:val="0"/>
              <w:rPr>
                <w:rFonts w:ascii="Times New Roman" w:eastAsia="宋体"/>
                <w:kern w:val="2"/>
                <w:sz w:val="21"/>
                <w:szCs w:val="21"/>
              </w:rPr>
            </w:pPr>
            <w:r>
              <w:rPr>
                <w:rFonts w:ascii="Times New Roman" w:eastAsia="宋体"/>
                <w:b/>
                <w:kern w:val="2"/>
                <w:sz w:val="21"/>
                <w:szCs w:val="21"/>
              </w:rPr>
              <w:t>交付项：</w:t>
            </w:r>
          </w:p>
          <w:p w14:paraId="0775C4B8">
            <w:pPr>
              <w:pStyle w:val="54"/>
              <w:snapToGrid w:val="0"/>
              <w:rPr>
                <w:rFonts w:hint="default" w:ascii="Times New Roman" w:eastAsia="宋体"/>
                <w:kern w:val="2"/>
                <w:sz w:val="21"/>
                <w:szCs w:val="21"/>
                <w:lang w:val="en-US" w:eastAsia="zh-CN"/>
              </w:rPr>
            </w:pPr>
            <w:r>
              <w:rPr>
                <w:rFonts w:hint="eastAsia"/>
                <w:sz w:val="21"/>
                <w:szCs w:val="21"/>
              </w:rPr>
              <w:t>（</w:t>
            </w:r>
            <w:r>
              <w:rPr>
                <w:rFonts w:hint="eastAsia" w:ascii="Times New Roman" w:eastAsia="宋体"/>
                <w:kern w:val="2"/>
                <w:sz w:val="21"/>
                <w:szCs w:val="21"/>
              </w:rPr>
              <w:t>1）测试报告1份；</w:t>
            </w:r>
            <w:r>
              <w:rPr>
                <w:rFonts w:hint="eastAsia" w:ascii="Times New Roman" w:eastAsia="宋体"/>
                <w:kern w:val="2"/>
                <w:sz w:val="21"/>
                <w:szCs w:val="21"/>
              </w:rPr>
              <w:br w:type="textWrapping"/>
            </w:r>
            <w:r>
              <w:rPr>
                <w:rFonts w:hint="eastAsia" w:ascii="Times New Roman" w:eastAsia="宋体"/>
                <w:kern w:val="2"/>
                <w:sz w:val="21"/>
                <w:szCs w:val="21"/>
              </w:rPr>
              <w:t>（2）</w:t>
            </w:r>
            <w:r>
              <w:rPr>
                <w:rFonts w:hint="eastAsia" w:ascii="Times New Roman" w:eastAsia="宋体" w:cs="Times New Roman"/>
                <w:kern w:val="2"/>
                <w:sz w:val="21"/>
                <w:szCs w:val="21"/>
              </w:rPr>
              <w:t>一种输电线路高空作业便捷式安全网</w:t>
            </w:r>
            <w:r>
              <w:rPr>
                <w:rFonts w:hint="eastAsia" w:ascii="Times New Roman" w:eastAsia="宋体" w:cs="Times New Roman"/>
                <w:kern w:val="2"/>
                <w:sz w:val="21"/>
                <w:szCs w:val="21"/>
                <w:lang w:val="en-US" w:eastAsia="zh-CN"/>
              </w:rPr>
              <w:t>样机</w:t>
            </w:r>
            <w:r>
              <w:rPr>
                <w:rFonts w:hint="eastAsia" w:ascii="Times New Roman" w:eastAsia="宋体" w:cs="Times New Roman"/>
                <w:kern w:val="2"/>
                <w:sz w:val="21"/>
                <w:szCs w:val="21"/>
              </w:rPr>
              <w:t>1</w:t>
            </w:r>
            <w:r>
              <w:rPr>
                <w:rFonts w:hint="eastAsia" w:ascii="Times New Roman" w:eastAsia="宋体" w:cs="Times New Roman"/>
                <w:kern w:val="2"/>
                <w:sz w:val="21"/>
                <w:szCs w:val="21"/>
                <w:lang w:val="en-US" w:eastAsia="zh-CN"/>
              </w:rPr>
              <w:t>套</w:t>
            </w:r>
            <w:r>
              <w:rPr>
                <w:rFonts w:hint="eastAsia" w:ascii="Times New Roman" w:eastAsia="宋体"/>
                <w:kern w:val="2"/>
                <w:sz w:val="21"/>
                <w:szCs w:val="21"/>
              </w:rPr>
              <w:t>；</w:t>
            </w:r>
            <w:r>
              <w:rPr>
                <w:rFonts w:hint="eastAsia" w:ascii="Times New Roman" w:eastAsia="宋体"/>
                <w:kern w:val="2"/>
                <w:sz w:val="21"/>
                <w:szCs w:val="21"/>
              </w:rPr>
              <w:br w:type="textWrapping"/>
            </w:r>
            <w:r>
              <w:rPr>
                <w:rFonts w:hint="eastAsia" w:ascii="Times New Roman" w:eastAsia="宋体"/>
                <w:kern w:val="2"/>
                <w:sz w:val="21"/>
                <w:szCs w:val="21"/>
              </w:rPr>
              <w:t>（3）用户操作手册1份。</w:t>
            </w:r>
          </w:p>
        </w:tc>
      </w:tr>
      <w:tr w14:paraId="4EE26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4A7FDAFE">
            <w:pPr>
              <w:pStyle w:val="54"/>
              <w:snapToGrid w:val="0"/>
              <w:rPr>
                <w:rFonts w:ascii="Times New Roman"/>
                <w:highlight w:val="none"/>
              </w:rPr>
            </w:pPr>
            <w:r>
              <w:rPr>
                <w:rFonts w:ascii="Times New Roman" w:eastAsia="宋体"/>
                <w:kern w:val="2"/>
                <w:sz w:val="21"/>
                <w:szCs w:val="21"/>
                <w:highlight w:val="none"/>
              </w:rPr>
              <w:t>项目验收</w:t>
            </w:r>
          </w:p>
        </w:tc>
        <w:tc>
          <w:tcPr>
            <w:tcW w:w="1734" w:type="dxa"/>
            <w:noWrap w:val="0"/>
            <w:vAlign w:val="center"/>
          </w:tcPr>
          <w:p w14:paraId="5A1B1BF1">
            <w:pPr>
              <w:adjustRightInd w:val="0"/>
              <w:snapToGrid w:val="0"/>
              <w:spacing w:line="400" w:lineRule="exact"/>
              <w:ind w:right="72"/>
              <w:jc w:val="center"/>
              <w:textAlignment w:val="center"/>
              <w:rPr>
                <w:sz w:val="24"/>
                <w:highlight w:val="none"/>
              </w:rPr>
            </w:pPr>
            <w:r>
              <w:rPr>
                <w:szCs w:val="21"/>
                <w:highlight w:val="none"/>
              </w:rPr>
              <w:t>202</w:t>
            </w:r>
            <w:r>
              <w:rPr>
                <w:rFonts w:hint="eastAsia"/>
                <w:szCs w:val="21"/>
                <w:highlight w:val="none"/>
                <w:lang w:val="en-US" w:eastAsia="zh-CN"/>
              </w:rPr>
              <w:t>6</w:t>
            </w:r>
            <w:r>
              <w:rPr>
                <w:szCs w:val="21"/>
                <w:highlight w:val="none"/>
              </w:rPr>
              <w:t>年</w:t>
            </w:r>
            <w:r>
              <w:rPr>
                <w:rFonts w:hint="eastAsia"/>
                <w:szCs w:val="21"/>
                <w:highlight w:val="none"/>
                <w:lang w:val="en-US" w:eastAsia="zh-CN"/>
              </w:rPr>
              <w:t>12</w:t>
            </w:r>
            <w:r>
              <w:rPr>
                <w:szCs w:val="21"/>
                <w:highlight w:val="none"/>
              </w:rPr>
              <w:t>月</w:t>
            </w:r>
          </w:p>
        </w:tc>
        <w:tc>
          <w:tcPr>
            <w:tcW w:w="5358" w:type="dxa"/>
            <w:noWrap w:val="0"/>
            <w:vAlign w:val="center"/>
          </w:tcPr>
          <w:p w14:paraId="7D9C9501">
            <w:pPr>
              <w:pStyle w:val="54"/>
              <w:snapToGrid w:val="0"/>
              <w:rPr>
                <w:rFonts w:ascii="Times New Roman" w:eastAsia="宋体"/>
                <w:kern w:val="2"/>
                <w:sz w:val="21"/>
                <w:szCs w:val="21"/>
                <w:highlight w:val="none"/>
              </w:rPr>
            </w:pPr>
            <w:r>
              <w:rPr>
                <w:rFonts w:ascii="Times New Roman" w:eastAsia="宋体"/>
                <w:b/>
                <w:kern w:val="2"/>
                <w:sz w:val="21"/>
                <w:szCs w:val="21"/>
                <w:highlight w:val="none"/>
              </w:rPr>
              <w:t>主要内容</w:t>
            </w:r>
            <w:r>
              <w:rPr>
                <w:rFonts w:ascii="Times New Roman" w:eastAsia="宋体"/>
                <w:kern w:val="2"/>
                <w:sz w:val="21"/>
                <w:szCs w:val="21"/>
                <w:highlight w:val="none"/>
              </w:rPr>
              <w:t>：项目结题验收。</w:t>
            </w:r>
          </w:p>
          <w:p w14:paraId="14A56BB5">
            <w:pPr>
              <w:pStyle w:val="54"/>
              <w:snapToGrid w:val="0"/>
              <w:rPr>
                <w:rFonts w:ascii="Times New Roman"/>
                <w:highlight w:val="none"/>
              </w:rPr>
            </w:pPr>
            <w:r>
              <w:rPr>
                <w:rFonts w:ascii="Times New Roman" w:eastAsia="宋体"/>
                <w:b/>
                <w:kern w:val="2"/>
                <w:sz w:val="21"/>
                <w:szCs w:val="21"/>
                <w:highlight w:val="none"/>
              </w:rPr>
              <w:t>交付项</w:t>
            </w:r>
            <w:r>
              <w:rPr>
                <w:rFonts w:ascii="Times New Roman" w:eastAsia="宋体"/>
                <w:kern w:val="2"/>
                <w:sz w:val="21"/>
                <w:szCs w:val="21"/>
                <w:highlight w:val="none"/>
              </w:rPr>
              <w:t>：</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w:t>
            </w:r>
            <w:r>
              <w:rPr>
                <w:rFonts w:hint="eastAsia" w:ascii="Times New Roman" w:eastAsia="宋体" w:cs="Times New Roman"/>
                <w:kern w:val="2"/>
                <w:sz w:val="21"/>
                <w:szCs w:val="21"/>
                <w:lang w:val="en-US" w:eastAsia="zh-CN"/>
              </w:rPr>
              <w:t>1</w:t>
            </w:r>
            <w:r>
              <w:rPr>
                <w:rFonts w:hint="default" w:ascii="Times New Roman" w:eastAsia="宋体" w:cs="Times New Roman"/>
                <w:kern w:val="2"/>
                <w:sz w:val="21"/>
                <w:szCs w:val="21"/>
              </w:rPr>
              <w:t>）</w:t>
            </w:r>
            <w:r>
              <w:rPr>
                <w:rFonts w:hint="eastAsia" w:ascii="Times New Roman" w:eastAsia="宋体" w:cs="Times New Roman"/>
                <w:kern w:val="2"/>
                <w:sz w:val="21"/>
                <w:szCs w:val="21"/>
                <w:lang w:val="en-US" w:eastAsia="zh-CN"/>
              </w:rPr>
              <w:t>发明专利</w:t>
            </w:r>
            <w:r>
              <w:rPr>
                <w:rFonts w:hint="default" w:ascii="Times New Roman" w:eastAsia="宋体" w:cs="Times New Roman"/>
                <w:kern w:val="2"/>
                <w:sz w:val="21"/>
                <w:szCs w:val="21"/>
              </w:rPr>
              <w:t>受理通知书1项；</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w:t>
            </w:r>
            <w:r>
              <w:rPr>
                <w:rFonts w:hint="eastAsia" w:ascii="Times New Roman" w:eastAsia="宋体" w:cs="Times New Roman"/>
                <w:kern w:val="2"/>
                <w:sz w:val="21"/>
                <w:szCs w:val="21"/>
                <w:lang w:val="en-US" w:eastAsia="zh-CN"/>
              </w:rPr>
              <w:t>2</w:t>
            </w:r>
            <w:r>
              <w:rPr>
                <w:rFonts w:hint="default" w:ascii="Times New Roman" w:eastAsia="宋体" w:cs="Times New Roman"/>
                <w:kern w:val="2"/>
                <w:sz w:val="21"/>
                <w:szCs w:val="21"/>
              </w:rPr>
              <w:t>）项目验收材料全套。</w:t>
            </w:r>
          </w:p>
        </w:tc>
      </w:tr>
    </w:tbl>
    <w:p w14:paraId="77EE51CD">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33"/>
      <w:bookmarkEnd w:id="34"/>
      <w:bookmarkEnd w:id="35"/>
      <w:bookmarkEnd w:id="36"/>
      <w:bookmarkEnd w:id="37"/>
      <w:bookmarkEnd w:id="38"/>
      <w:bookmarkEnd w:id="39"/>
    </w:p>
    <w:p w14:paraId="0CC52F0B">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14:paraId="03AA7F5C">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40"/>
    </w:p>
    <w:p w14:paraId="21B31973">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C4494"/>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1A461FC"/>
    <w:rsid w:val="0404019C"/>
    <w:rsid w:val="04340829"/>
    <w:rsid w:val="06D27AF8"/>
    <w:rsid w:val="06F2484F"/>
    <w:rsid w:val="095B2A75"/>
    <w:rsid w:val="0A210078"/>
    <w:rsid w:val="0C030754"/>
    <w:rsid w:val="0CA05D46"/>
    <w:rsid w:val="0F966A31"/>
    <w:rsid w:val="10550F6F"/>
    <w:rsid w:val="128F30ED"/>
    <w:rsid w:val="12BD66DE"/>
    <w:rsid w:val="13132954"/>
    <w:rsid w:val="163A1216"/>
    <w:rsid w:val="166F3EB8"/>
    <w:rsid w:val="191A5617"/>
    <w:rsid w:val="1A0A5C1B"/>
    <w:rsid w:val="1BD511FB"/>
    <w:rsid w:val="1F8A11CF"/>
    <w:rsid w:val="1FFE20B7"/>
    <w:rsid w:val="20F20322"/>
    <w:rsid w:val="22431066"/>
    <w:rsid w:val="23D05B4F"/>
    <w:rsid w:val="26820744"/>
    <w:rsid w:val="27FA20BD"/>
    <w:rsid w:val="28677108"/>
    <w:rsid w:val="2AEE2FCE"/>
    <w:rsid w:val="2C0D5456"/>
    <w:rsid w:val="2C4C628B"/>
    <w:rsid w:val="2D630FAE"/>
    <w:rsid w:val="2DB575CA"/>
    <w:rsid w:val="2E9A689E"/>
    <w:rsid w:val="2F036DE8"/>
    <w:rsid w:val="2F8649A3"/>
    <w:rsid w:val="30936BC2"/>
    <w:rsid w:val="30DB7A4E"/>
    <w:rsid w:val="319B592F"/>
    <w:rsid w:val="33A11AE7"/>
    <w:rsid w:val="33F27DDD"/>
    <w:rsid w:val="34574C85"/>
    <w:rsid w:val="35577297"/>
    <w:rsid w:val="36515C79"/>
    <w:rsid w:val="373C54BB"/>
    <w:rsid w:val="37643739"/>
    <w:rsid w:val="37E33064"/>
    <w:rsid w:val="3B016E25"/>
    <w:rsid w:val="3B4F326E"/>
    <w:rsid w:val="3C0F5DF2"/>
    <w:rsid w:val="3EF75647"/>
    <w:rsid w:val="3FC46A7B"/>
    <w:rsid w:val="40C512FC"/>
    <w:rsid w:val="428F0505"/>
    <w:rsid w:val="42C6746E"/>
    <w:rsid w:val="42EE5CD4"/>
    <w:rsid w:val="45D97826"/>
    <w:rsid w:val="45F20916"/>
    <w:rsid w:val="46927C50"/>
    <w:rsid w:val="48736764"/>
    <w:rsid w:val="48D82303"/>
    <w:rsid w:val="4B6F6491"/>
    <w:rsid w:val="4C327361"/>
    <w:rsid w:val="4D3F13B6"/>
    <w:rsid w:val="4DFF75F2"/>
    <w:rsid w:val="52420D12"/>
    <w:rsid w:val="55E03B4E"/>
    <w:rsid w:val="56061A78"/>
    <w:rsid w:val="5643156F"/>
    <w:rsid w:val="57AF48B9"/>
    <w:rsid w:val="592823C4"/>
    <w:rsid w:val="592C035C"/>
    <w:rsid w:val="5981212C"/>
    <w:rsid w:val="5B187842"/>
    <w:rsid w:val="5D615387"/>
    <w:rsid w:val="602841D4"/>
    <w:rsid w:val="61C27952"/>
    <w:rsid w:val="6212562E"/>
    <w:rsid w:val="62DB3950"/>
    <w:rsid w:val="62F53AC8"/>
    <w:rsid w:val="637B25C6"/>
    <w:rsid w:val="63D72C4E"/>
    <w:rsid w:val="66FE4F15"/>
    <w:rsid w:val="67395102"/>
    <w:rsid w:val="69A41DA4"/>
    <w:rsid w:val="69BA736E"/>
    <w:rsid w:val="6A5A6906"/>
    <w:rsid w:val="6BCF0AA5"/>
    <w:rsid w:val="6BEF5D56"/>
    <w:rsid w:val="6C17004B"/>
    <w:rsid w:val="6E062826"/>
    <w:rsid w:val="6F0B1CE7"/>
    <w:rsid w:val="6F664872"/>
    <w:rsid w:val="6F942155"/>
    <w:rsid w:val="704439AD"/>
    <w:rsid w:val="732F57C2"/>
    <w:rsid w:val="74366DF1"/>
    <w:rsid w:val="74F35D39"/>
    <w:rsid w:val="75083064"/>
    <w:rsid w:val="75110011"/>
    <w:rsid w:val="7B7B7477"/>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5">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style>
  <w:style w:type="paragraph" w:styleId="3">
    <w:name w:val="Body Text Indent"/>
    <w:basedOn w:val="1"/>
    <w:unhideWhenUsed/>
    <w:qFormat/>
    <w:uiPriority w:val="99"/>
    <w:pPr>
      <w:spacing w:after="120"/>
      <w:ind w:left="420" w:leftChars="200"/>
    </w:pPr>
  </w:style>
  <w:style w:type="paragraph" w:styleId="6">
    <w:name w:val="Body Text"/>
    <w:basedOn w:val="7"/>
    <w:next w:val="7"/>
    <w:qFormat/>
    <w:uiPriority w:val="99"/>
    <w:pPr>
      <w:ind w:firstLine="880" w:firstLineChars="200"/>
    </w:pPr>
    <w:rPr>
      <w:rFonts w:ascii="仿宋_GB2312" w:hAnsi="仿宋_GB2312" w:eastAsia="仿宋_GB2312" w:cs="Arial"/>
      <w:sz w:val="32"/>
      <w:szCs w:val="20"/>
    </w:rPr>
  </w:style>
  <w:style w:type="paragraph" w:styleId="7">
    <w:name w:val="Title"/>
    <w:basedOn w:val="1"/>
    <w:next w:val="1"/>
    <w:qFormat/>
    <w:uiPriority w:val="99"/>
    <w:pPr>
      <w:spacing w:before="240" w:after="60"/>
      <w:jc w:val="center"/>
      <w:outlineLvl w:val="0"/>
    </w:pPr>
    <w:rPr>
      <w:rFonts w:ascii="Arial" w:hAnsi="Arial"/>
      <w:b/>
      <w:bCs/>
      <w:sz w:val="32"/>
      <w:szCs w:val="32"/>
    </w:rPr>
  </w:style>
  <w:style w:type="paragraph" w:styleId="8">
    <w:name w:val="Plain Text"/>
    <w:basedOn w:val="1"/>
    <w:qFormat/>
    <w:uiPriority w:val="0"/>
    <w:rPr>
      <w:rFonts w:ascii="宋体" w:hAnsi="Courier New"/>
      <w:szCs w:val="21"/>
    </w:rPr>
  </w:style>
  <w:style w:type="paragraph" w:styleId="9">
    <w:name w:val="footer"/>
    <w:basedOn w:val="1"/>
    <w:qFormat/>
    <w:uiPriority w:val="99"/>
    <w:pPr>
      <w:tabs>
        <w:tab w:val="center" w:pos="4153"/>
        <w:tab w:val="right" w:pos="8306"/>
      </w:tabs>
      <w:snapToGrid w:val="0"/>
    </w:pPr>
    <w:rPr>
      <w:sz w:val="18"/>
      <w:szCs w:val="18"/>
    </w:rPr>
  </w:style>
  <w:style w:type="paragraph" w:styleId="10">
    <w:name w:val="toc 2"/>
    <w:basedOn w:val="1"/>
    <w:next w:val="1"/>
    <w:unhideWhenUsed/>
    <w:qFormat/>
    <w:uiPriority w:val="39"/>
    <w:pPr>
      <w:widowControl/>
      <w:spacing w:after="100" w:line="259" w:lineRule="auto"/>
      <w:ind w:left="220"/>
    </w:pPr>
    <w:rPr>
      <w:kern w:val="0"/>
      <w:sz w:val="22"/>
    </w:rPr>
  </w:style>
  <w:style w:type="paragraph" w:styleId="11">
    <w:name w:val="Normal (Web)"/>
    <w:basedOn w:val="1"/>
    <w:qFormat/>
    <w:uiPriority w:val="0"/>
    <w:pPr>
      <w:spacing w:beforeAutospacing="1" w:afterAutospacing="1"/>
    </w:pPr>
    <w:rPr>
      <w:kern w:val="0"/>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 w:type="paragraph" w:customStyle="1" w:styleId="54">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5160</Words>
  <Characters>5398</Characters>
  <Lines>122</Lines>
  <Paragraphs>127</Paragraphs>
  <TotalTime>1</TotalTime>
  <ScaleCrop>false</ScaleCrop>
  <LinksUpToDate>false</LinksUpToDate>
  <CharactersWithSpaces>5482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卢银炜</cp:lastModifiedBy>
  <dcterms:modified xsi:type="dcterms:W3CDTF">2026-07-16T09:50:43Z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5873278687674BF091178BC59529CDEB_13</vt:lpwstr>
  </property>
  <property fmtid="{D5CDD505-2E9C-101B-9397-08002B2CF9AE}" pid="4" name="KSOTemplateDocerSaveRecord">
    <vt:lpwstr>eyJoZGlkIjoiOWUwOWY1OThjOTBmY2I1M2U5OGEyOWE4OWU3MTI0MDIiLCJ1c2VySWQiOiIyMzk3NjYyODQifQ==</vt:lpwstr>
  </property>
</Properties>
</file>