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5A5BA">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0963956F">
      <w:pPr>
        <w:adjustRightInd w:val="0"/>
        <w:snapToGrid w:val="0"/>
        <w:rPr>
          <w:sz w:val="28"/>
          <w:szCs w:val="36"/>
        </w:rPr>
      </w:pPr>
    </w:p>
    <w:p w14:paraId="4C687407">
      <w:pPr>
        <w:adjustRightInd w:val="0"/>
        <w:snapToGrid w:val="0"/>
        <w:rPr>
          <w:sz w:val="28"/>
          <w:szCs w:val="36"/>
        </w:rPr>
      </w:pPr>
    </w:p>
    <w:p w14:paraId="5E380CEE">
      <w:pPr>
        <w:adjustRightInd w:val="0"/>
        <w:snapToGrid w:val="0"/>
        <w:rPr>
          <w:sz w:val="28"/>
          <w:szCs w:val="36"/>
        </w:rPr>
      </w:pPr>
    </w:p>
    <w:p w14:paraId="2754DEE1">
      <w:pPr>
        <w:adjustRightInd w:val="0"/>
        <w:snapToGrid w:val="0"/>
        <w:rPr>
          <w:sz w:val="28"/>
          <w:szCs w:val="36"/>
        </w:rPr>
      </w:pPr>
    </w:p>
    <w:p w14:paraId="7DF71E19">
      <w:pPr>
        <w:adjustRightInd w:val="0"/>
        <w:snapToGrid w:val="0"/>
        <w:rPr>
          <w:sz w:val="28"/>
          <w:szCs w:val="36"/>
        </w:rPr>
      </w:pPr>
    </w:p>
    <w:p w14:paraId="0C4AA669">
      <w:pPr>
        <w:adjustRightInd w:val="0"/>
        <w:snapToGrid w:val="0"/>
        <w:rPr>
          <w:sz w:val="28"/>
          <w:szCs w:val="36"/>
        </w:rPr>
      </w:pPr>
    </w:p>
    <w:p w14:paraId="26DED167">
      <w:pPr>
        <w:adjustRightInd w:val="0"/>
        <w:snapToGrid w:val="0"/>
        <w:rPr>
          <w:sz w:val="28"/>
          <w:szCs w:val="36"/>
        </w:rPr>
      </w:pPr>
    </w:p>
    <w:p w14:paraId="4D142C4B">
      <w:pPr>
        <w:adjustRightInd w:val="0"/>
        <w:snapToGrid w:val="0"/>
        <w:jc w:val="center"/>
        <w:rPr>
          <w:rFonts w:eastAsia="黑体"/>
          <w:b/>
          <w:sz w:val="52"/>
        </w:rPr>
      </w:pPr>
      <w:r>
        <w:rPr>
          <w:rFonts w:hint="eastAsia" w:eastAsia="黑体"/>
          <w:b/>
          <w:sz w:val="52"/>
          <w:lang w:val="en-US" w:eastAsia="zh-CN"/>
        </w:rPr>
        <w:t>一种基于人工智能的</w:t>
      </w:r>
      <w:r>
        <w:rPr>
          <w:rFonts w:hint="eastAsia" w:eastAsia="黑体"/>
          <w:b/>
          <w:sz w:val="52"/>
        </w:rPr>
        <w:t>数字</w:t>
      </w:r>
      <w:r>
        <w:rPr>
          <w:rFonts w:hint="eastAsia" w:eastAsia="黑体"/>
          <w:b/>
          <w:sz w:val="52"/>
          <w:lang w:val="en-US" w:eastAsia="zh-CN"/>
        </w:rPr>
        <w:t>化</w:t>
      </w:r>
      <w:r>
        <w:rPr>
          <w:rFonts w:hint="eastAsia" w:eastAsia="黑体"/>
          <w:b/>
          <w:sz w:val="52"/>
        </w:rPr>
        <w:t>扭力扳手技术研究及应用</w:t>
      </w:r>
    </w:p>
    <w:p w14:paraId="19F404DA">
      <w:pPr>
        <w:adjustRightInd w:val="0"/>
        <w:snapToGrid w:val="0"/>
        <w:jc w:val="center"/>
        <w:rPr>
          <w:rFonts w:eastAsia="黑体"/>
          <w:b/>
          <w:sz w:val="52"/>
        </w:rPr>
      </w:pPr>
      <w:r>
        <w:rPr>
          <w:rFonts w:eastAsia="黑体"/>
          <w:b/>
          <w:sz w:val="52"/>
        </w:rPr>
        <w:t>技术规范书</w:t>
      </w:r>
    </w:p>
    <w:p w14:paraId="416ADD3C">
      <w:pPr>
        <w:adjustRightInd w:val="0"/>
        <w:snapToGrid w:val="0"/>
        <w:rPr>
          <w:sz w:val="28"/>
          <w:szCs w:val="36"/>
        </w:rPr>
      </w:pPr>
    </w:p>
    <w:p w14:paraId="3BB62FEC">
      <w:pPr>
        <w:adjustRightInd w:val="0"/>
        <w:snapToGrid w:val="0"/>
        <w:rPr>
          <w:sz w:val="28"/>
          <w:szCs w:val="36"/>
        </w:rPr>
      </w:pPr>
    </w:p>
    <w:p w14:paraId="57594481">
      <w:pPr>
        <w:adjustRightInd w:val="0"/>
        <w:snapToGrid w:val="0"/>
        <w:rPr>
          <w:sz w:val="28"/>
          <w:szCs w:val="36"/>
        </w:rPr>
      </w:pPr>
    </w:p>
    <w:p w14:paraId="16A5E58D">
      <w:pPr>
        <w:adjustRightInd w:val="0"/>
        <w:snapToGrid w:val="0"/>
        <w:rPr>
          <w:sz w:val="28"/>
          <w:szCs w:val="36"/>
        </w:rPr>
      </w:pPr>
    </w:p>
    <w:p w14:paraId="75642025">
      <w:pPr>
        <w:adjustRightInd w:val="0"/>
        <w:snapToGrid w:val="0"/>
        <w:rPr>
          <w:sz w:val="28"/>
          <w:szCs w:val="36"/>
        </w:rPr>
      </w:pPr>
    </w:p>
    <w:p w14:paraId="1D32280D">
      <w:pPr>
        <w:adjustRightInd w:val="0"/>
        <w:snapToGrid w:val="0"/>
        <w:rPr>
          <w:sz w:val="28"/>
          <w:szCs w:val="36"/>
        </w:rPr>
      </w:pPr>
    </w:p>
    <w:p w14:paraId="283730E6">
      <w:pPr>
        <w:adjustRightInd w:val="0"/>
        <w:snapToGrid w:val="0"/>
        <w:rPr>
          <w:sz w:val="28"/>
          <w:szCs w:val="36"/>
        </w:rPr>
      </w:pPr>
    </w:p>
    <w:p w14:paraId="685BA78B">
      <w:pPr>
        <w:adjustRightInd w:val="0"/>
        <w:snapToGrid w:val="0"/>
        <w:rPr>
          <w:sz w:val="28"/>
          <w:szCs w:val="36"/>
        </w:rPr>
      </w:pPr>
    </w:p>
    <w:p w14:paraId="1F375DFC">
      <w:pPr>
        <w:adjustRightInd w:val="0"/>
        <w:snapToGrid w:val="0"/>
        <w:rPr>
          <w:sz w:val="28"/>
          <w:szCs w:val="36"/>
        </w:rPr>
      </w:pPr>
    </w:p>
    <w:p w14:paraId="2A1D41E6">
      <w:pPr>
        <w:adjustRightInd w:val="0"/>
        <w:snapToGrid w:val="0"/>
        <w:rPr>
          <w:sz w:val="28"/>
          <w:szCs w:val="36"/>
        </w:rPr>
      </w:pPr>
    </w:p>
    <w:p w14:paraId="3F75D49E">
      <w:pPr>
        <w:adjustRightInd w:val="0"/>
        <w:snapToGrid w:val="0"/>
        <w:rPr>
          <w:sz w:val="28"/>
          <w:szCs w:val="36"/>
        </w:rPr>
      </w:pPr>
    </w:p>
    <w:p w14:paraId="266A96DA">
      <w:pPr>
        <w:adjustRightInd w:val="0"/>
        <w:snapToGrid w:val="0"/>
        <w:jc w:val="center"/>
        <w:rPr>
          <w:rFonts w:hint="eastAsia" w:ascii="黑体" w:hAnsi="黑体" w:eastAsia="黑体" w:cs="黑体"/>
          <w:sz w:val="32"/>
          <w:szCs w:val="32"/>
        </w:rPr>
      </w:pPr>
      <w:r>
        <w:rPr>
          <w:rFonts w:hint="eastAsia" w:ascii="黑体" w:hAnsi="黑体" w:eastAsia="黑体" w:cs="黑体"/>
          <w:sz w:val="32"/>
          <w:szCs w:val="32"/>
        </w:rPr>
        <w:t>中国南方电网超高压输电公司南宁局</w:t>
      </w:r>
    </w:p>
    <w:p w14:paraId="622A00C9">
      <w:pPr>
        <w:adjustRightInd w:val="0"/>
        <w:snapToGrid w:val="0"/>
        <w:jc w:val="center"/>
        <w:rPr>
          <w:rFonts w:hint="eastAsia" w:ascii="黑体" w:hAnsi="黑体" w:eastAsia="黑体" w:cs="黑体"/>
          <w:sz w:val="32"/>
          <w:szCs w:val="32"/>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w:t>
      </w:r>
      <w:r>
        <w:rPr>
          <w:rFonts w:hint="eastAsia" w:ascii="黑体" w:hAnsi="黑体" w:eastAsia="黑体" w:cs="黑体"/>
          <w:sz w:val="32"/>
          <w:szCs w:val="32"/>
        </w:rPr>
        <w:t>月</w:t>
      </w:r>
    </w:p>
    <w:p w14:paraId="006D05D3">
      <w:pPr>
        <w:adjustRightInd w:val="0"/>
        <w:snapToGrid w:val="0"/>
        <w:jc w:val="center"/>
        <w:rPr>
          <w:rFonts w:hint="eastAsia"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1852B38">
      <w:pPr>
        <w:snapToGrid w:val="0"/>
        <w:spacing w:before="120"/>
        <w:rPr>
          <w:rFonts w:hint="eastAsia" w:ascii="黑体" w:hAnsi="黑体" w:eastAsia="黑体" w:cs="黑体"/>
          <w:b/>
          <w:bCs/>
          <w:sz w:val="28"/>
          <w:szCs w:val="28"/>
        </w:rPr>
      </w:pPr>
      <w:r>
        <w:rPr>
          <w:rFonts w:hint="eastAsia" w:ascii="黑体" w:hAnsi="黑体" w:eastAsia="黑体" w:cs="黑体"/>
          <w:b/>
          <w:bCs/>
          <w:sz w:val="28"/>
          <w:szCs w:val="36"/>
        </w:rPr>
        <w:t>1 总则</w:t>
      </w:r>
    </w:p>
    <w:p w14:paraId="1CD7ECB2">
      <w:pPr>
        <w:pStyle w:val="9"/>
        <w:numPr>
          <w:ilvl w:val="255"/>
          <w:numId w:val="0"/>
        </w:numPr>
        <w:shd w:val="clear" w:color="auto" w:fill="FDFDFE"/>
        <w:spacing w:before="0" w:beforeAutospacing="0" w:after="0" w:afterAutospacing="0"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w:t>
      </w:r>
      <w:r>
        <w:rPr>
          <w:rFonts w:hint="eastAsia" w:asciiTheme="minorEastAsia" w:hAnsiTheme="minorEastAsia" w:eastAsiaTheme="minorEastAsia" w:cstheme="minorEastAsia"/>
          <w:kern w:val="2"/>
          <w:sz w:val="24"/>
          <w:szCs w:val="24"/>
          <w:lang w:val="en-US" w:eastAsia="zh-CN" w:bidi="ar-SA"/>
        </w:rPr>
        <w:t>本技术规范书适用于《一种基于人工智能的数字扭力扳手技术研究及应用》技术创新项目，提出了通过人工智能的数字扭力扳手技术，前端验收人员利用智能数字化扭力扳手采集相关数据并传回后台，实现线路螺栓紧固验收工作的数字化、实时化、可追溯化。最终目标是构建输电线路螺栓紧固质量的“全生命周期数字档案”，为工程验收提供科学、客观的数据支撑，从源头提升电网本质安全水平。投标方应针对自身特点，根据本技术规范书所描述的具体要求，提供完整的解决方案。</w:t>
      </w:r>
    </w:p>
    <w:p w14:paraId="22A0368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投标方应保证提供符合本技术规范书和相关国际、国内标准的优质管理咨询服务。对国家有关安全、环保等强制性标准，必须满足其要求。如果规范书所使用的标准与投标方所执行的标准不一致时，按较高标准执行。</w:t>
      </w:r>
    </w:p>
    <w:p w14:paraId="7758353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任何与本技术规范书或标准的偏差只有在得到招标方的书面批准后方能认可。</w:t>
      </w:r>
    </w:p>
    <w:p w14:paraId="0DFED2A8">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在合同签订之后，招标方有权提出因规范标准和规程变化而产生的一些补充要求，具体项目及内容由双方共同商定。</w:t>
      </w:r>
    </w:p>
    <w:p w14:paraId="03E42F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投标人编制应标文件时，可以提出不同的建议方案，但建议方案必须满足但不限于本技术规范书所阐述的全部要求，应标文件要求文字详细、数据准确、表述及图示清晰明确，具有针对性。</w:t>
      </w:r>
    </w:p>
    <w:p w14:paraId="6408C5D8">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 本技术规范书仅提出基本的技术需求，不保证对一切技术细节做出规定，也不保证已充分引述有关标准和技术条文，投标方须根据需求目标提供进一步具体的可满足要求的服务内容。</w:t>
      </w:r>
    </w:p>
    <w:p w14:paraId="3F9ADB4A">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 投标方在应标文件中应如实反映与本技术规范书的技术差异。如果投标方没有提出技术差异，招标方即认为投标方所提供的服务完全满足本技术规范书的要求，在执行合同的过程中，招标方发现投标方提供的服务与其应标技术规范书的条文存在差异，招标方有权利要求中止合同。</w:t>
      </w:r>
    </w:p>
    <w:p w14:paraId="32DB8E5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2BF034A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 本技术规范书未尽事宜，由招标方与投标方双方协商确定。</w:t>
      </w:r>
    </w:p>
    <w:p w14:paraId="392112CF">
      <w:pPr>
        <w:snapToGrid w:val="0"/>
        <w:spacing w:before="120"/>
        <w:rPr>
          <w:rFonts w:hint="eastAsia"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531004264"/>
      <w:bookmarkStart w:id="4" w:name="_Toc531004210"/>
      <w:bookmarkStart w:id="5" w:name="_Toc441483964"/>
      <w:r>
        <w:rPr>
          <w:rFonts w:hint="eastAsia" w:ascii="黑体" w:hAnsi="黑体" w:eastAsia="黑体" w:cs="黑体"/>
          <w:b/>
          <w:bCs/>
          <w:sz w:val="28"/>
          <w:szCs w:val="36"/>
        </w:rPr>
        <w:t>项目有关内容</w:t>
      </w:r>
      <w:bookmarkEnd w:id="3"/>
      <w:bookmarkEnd w:id="4"/>
      <w:bookmarkEnd w:id="5"/>
    </w:p>
    <w:p w14:paraId="44DB59C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2.1项目背景</w:t>
      </w:r>
    </w:p>
    <w:bookmarkEnd w:id="1"/>
    <w:bookmarkEnd w:id="2"/>
    <w:p w14:paraId="40BF2090">
      <w:pPr>
        <w:adjustRightInd w:val="0"/>
        <w:snapToGrid w:val="0"/>
        <w:rPr>
          <w:rFonts w:hint="eastAsia" w:asciiTheme="minorEastAsia" w:hAnsiTheme="minorEastAsia" w:eastAsiaTheme="minorEastAsia" w:cstheme="minorEastAsia"/>
          <w:sz w:val="24"/>
        </w:rPr>
      </w:pPr>
      <w:bookmarkStart w:id="6" w:name="_Toc20556"/>
      <w:bookmarkStart w:id="7" w:name="_Toc22304900"/>
      <w:bookmarkStart w:id="8" w:name="_Toc39753999"/>
      <w:bookmarkStart w:id="9" w:name="_Toc39753342"/>
      <w:bookmarkStart w:id="10" w:name="_Toc384340980"/>
      <w:r>
        <w:rPr>
          <w:rFonts w:hint="eastAsia" w:asciiTheme="minorEastAsia" w:hAnsiTheme="minorEastAsia" w:eastAsiaTheme="minorEastAsia" w:cstheme="minorEastAsia"/>
          <w:sz w:val="24"/>
        </w:rPr>
        <w:t>超高压输电线路作为电网的主动脉，其安全稳定运行直接关系到国家能源命脉。</w:t>
      </w:r>
      <w:r>
        <w:rPr>
          <w:rFonts w:hint="eastAsia" w:asciiTheme="minorEastAsia" w:hAnsiTheme="minorEastAsia" w:eastAsiaTheme="minorEastAsia" w:cstheme="minorEastAsia"/>
          <w:sz w:val="24"/>
          <w:lang w:val="en-US" w:eastAsia="zh-CN"/>
        </w:rPr>
        <w:t>铁</w:t>
      </w:r>
      <w:r>
        <w:rPr>
          <w:rFonts w:hint="eastAsia" w:asciiTheme="minorEastAsia" w:hAnsiTheme="minorEastAsia" w:eastAsiaTheme="minorEastAsia" w:cstheme="minorEastAsia"/>
          <w:sz w:val="24"/>
        </w:rPr>
        <w:t>塔、金具等关键部件的连接螺栓的紧固质量，是决定线路抗风、抗冰及长期运行寿命的核心因素。然而，在当前大规模电网建设与精益化运维的双重压力下，传统的螺栓紧固验收与管理模式正面临三大日益严峻的现实痛点，亟需通过技术手段实现根本性变革。</w:t>
      </w:r>
    </w:p>
    <w:p w14:paraId="6D02283E">
      <w:pPr>
        <w:numPr>
          <w:ilvl w:val="0"/>
          <w:numId w:val="2"/>
        </w:numPr>
        <w:adjustRightInd w:val="0"/>
        <w:snapToGrid w:val="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数据采集手段原始，记录存在易错漏与易篡改风险</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当前，输电线路工程验收中超过90%的扭矩数据仍依赖现场人员手工记录于纸质表格。这种模式不仅效率低下，更存在严重的数据质量隐患：一方面，野外恶劣环境易导致纸质记录污损、遗失，人工抄录极易产生错漏；另一方面，缺乏有效的防篡改机制，事后补录、伪造数据等行为难以杜绝。真实、完整、可信的原始数据缺失，使得工程质量的第一道防线存在裂缝，为后续的运维安全埋下不可知的隐患。</w:t>
      </w:r>
    </w:p>
    <w:p w14:paraId="2EFD5007">
      <w:pPr>
        <w:numPr>
          <w:ilvl w:val="0"/>
          <w:numId w:val="0"/>
        </w:numPr>
        <w:adjustRightInd w:val="0"/>
        <w:snapToGrid w:val="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二、</w:t>
      </w:r>
      <w:r>
        <w:rPr>
          <w:rFonts w:hint="eastAsia" w:asciiTheme="minorEastAsia" w:hAnsiTheme="minorEastAsia" w:eastAsiaTheme="minorEastAsia" w:cstheme="minorEastAsia"/>
          <w:kern w:val="2"/>
          <w:sz w:val="24"/>
          <w:szCs w:val="24"/>
          <w:lang w:val="en-US" w:eastAsia="zh-CN" w:bidi="ar-SA"/>
        </w:rPr>
        <w:t>目前</w:t>
      </w:r>
      <w:r>
        <w:rPr>
          <w:rFonts w:hint="default" w:asciiTheme="minorEastAsia" w:hAnsiTheme="minorEastAsia" w:eastAsiaTheme="minorEastAsia" w:cstheme="minorEastAsia"/>
          <w:kern w:val="2"/>
          <w:sz w:val="24"/>
          <w:szCs w:val="24"/>
          <w:lang w:val="en-US" w:eastAsia="zh-CN" w:bidi="ar-SA"/>
        </w:rPr>
        <w:t>作业现场管理人员缺乏实时监控</w:t>
      </w:r>
      <w:r>
        <w:rPr>
          <w:rFonts w:hint="eastAsia" w:asciiTheme="minorEastAsia" w:hAnsiTheme="minorEastAsia" w:eastAsiaTheme="minorEastAsia" w:cstheme="minorEastAsia"/>
          <w:kern w:val="2"/>
          <w:sz w:val="24"/>
          <w:szCs w:val="24"/>
          <w:lang w:val="en-US" w:eastAsia="zh-CN" w:bidi="ar-SA"/>
        </w:rPr>
        <w:t>方法</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输电线路工程往往跨越数百公里，作业面高度分散。传统管理模式下，现场扭矩施加是否达标、施工进度如何，管理人员只能依赖事后汇报或随机抽查，无法实时掌握遍布于各塔基作业点的真实动态。这种状态导致管理层决策滞后，对现场的违规操作或异常趋势无法及时感知与干预，工程质量的整体把控存在严重的时效性瓶颈。</w:t>
      </w:r>
    </w:p>
    <w:p w14:paraId="6DF97C06">
      <w:pPr>
        <w:pStyle w:val="9"/>
        <w:keepNext w:val="0"/>
        <w:keepLines w:val="0"/>
        <w:widowControl/>
        <w:suppressLineNumbers w:val="0"/>
        <w:shd w:val="clear" w:fill="FFFFFF"/>
        <w:spacing w:before="120" w:beforeAutospacing="0" w:after="120" w:afterAutospacing="0"/>
        <w:ind w:left="0" w:right="0" w:firstLine="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三、质量追溯体系缺失，责任界定与原因分析异常困难</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一旦在竣工验收或后期运维中发现螺栓松动甚至发生倒塔事故（如近年来行业内因螺栓紧固原因导致的倒塔断线事故屡有发生），由于缺乏涵盖扭矩值、操作人员、地理位置与时间戳的完整数据链条，项目方往往难以快速定位问题螺栓的具体位置，更无法界定是施工工艺问题、材料问题还是人为疏忽。责任无法精准追溯，整改缺乏数据支撑，不仅增加了事故调查的难度，也极大制约了工程质量管理的持续改进。</w:t>
      </w:r>
    </w:p>
    <w:p w14:paraId="6CCC7696">
      <w:pPr>
        <w:snapToGrid w:val="0"/>
        <w:spacing w:before="120"/>
        <w:rPr>
          <w:rFonts w:hint="eastAsia" w:asciiTheme="minorEastAsia" w:hAnsiTheme="minorEastAsia" w:eastAsiaTheme="minorEastAsia" w:cstheme="minorEastAsia"/>
          <w:sz w:val="24"/>
        </w:rPr>
      </w:pPr>
      <w:r>
        <w:rPr>
          <w:rFonts w:hint="eastAsia" w:ascii="黑体" w:hAnsi="黑体" w:eastAsia="黑体" w:cs="黑体"/>
          <w:b/>
          <w:bCs/>
          <w:sz w:val="28"/>
          <w:szCs w:val="36"/>
        </w:rPr>
        <w:t>3 应遵循的主要标准</w:t>
      </w:r>
      <w:bookmarkEnd w:id="6"/>
      <w:bookmarkEnd w:id="7"/>
      <w:bookmarkEnd w:id="8"/>
      <w:bookmarkEnd w:id="9"/>
      <w:bookmarkEnd w:id="10"/>
    </w:p>
    <w:p w14:paraId="7AEE3A59">
      <w:pPr>
        <w:adjustRightInd w:val="0"/>
        <w:snapToGrid w:val="0"/>
        <w:rPr>
          <w:rFonts w:hint="eastAsia" w:asciiTheme="minorEastAsia" w:hAnsiTheme="minorEastAsia" w:eastAsiaTheme="minorEastAsia" w:cstheme="minorEastAsia"/>
          <w:sz w:val="24"/>
        </w:rPr>
      </w:pPr>
      <w:bookmarkStart w:id="11" w:name="_Toc155114612"/>
      <w:bookmarkStart w:id="12" w:name="_Toc448828694"/>
      <w:bookmarkStart w:id="13" w:name="_Toc455543289"/>
      <w:bookmarkStart w:id="14" w:name="_Toc457979127"/>
      <w:bookmarkStart w:id="15" w:name="_Toc482581219"/>
      <w:bookmarkStart w:id="16" w:name="_Toc114253693"/>
      <w:bookmarkStart w:id="17" w:name="_Toc455373921"/>
      <w:bookmarkStart w:id="18" w:name="_Toc241912000"/>
      <w:bookmarkStart w:id="19" w:name="_Toc459534976"/>
      <w:bookmarkStart w:id="20" w:name="_Toc457986926"/>
      <w:bookmarkStart w:id="21" w:name="_Toc146182538"/>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204161CB">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284D01F9">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15729《扭力扳手通用技术》-</w:t>
      </w:r>
    </w:p>
    <w:p w14:paraId="1A93903F">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Q/CSG 2021008-2021 中国南方电网有限责任公司规章制度管理规定</w:t>
      </w:r>
    </w:p>
    <w:p w14:paraId="78FAEA10">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Q/CSG-EHV 222001-2022 超高压输电公司管理制度管理规定</w:t>
      </w:r>
    </w:p>
    <w:p w14:paraId="7546E0DB">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Q/CSG 2152010-2022 中国南方电网有限责任公司信息系统运行管理办法</w:t>
      </w:r>
    </w:p>
    <w:p w14:paraId="666CA809">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Q/CSG 2153078-2020 中国南方电网有限责任公司信息化项目管理细则</w:t>
      </w:r>
    </w:p>
    <w:p w14:paraId="3A8FC3A7">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Q/CSG 2153080-2020 中国南方电网有限责任公司信息化项目建设管理细则</w:t>
      </w:r>
    </w:p>
    <w:p w14:paraId="55432856">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Q/CSG 2153002-2022 中国南方电网有限责任公司数据质量管理细则</w:t>
      </w:r>
    </w:p>
    <w:p w14:paraId="43329D1A">
      <w:pPr>
        <w:adjustRightInd w:val="0"/>
        <w:snapToGrid w:val="0"/>
        <w:rPr>
          <w:rFonts w:hint="default" w:asciiTheme="minorEastAsia" w:hAnsiTheme="minorEastAsia" w:eastAsiaTheme="minorEastAsia" w:cstheme="minorEastAsia"/>
          <w:sz w:val="24"/>
        </w:rPr>
      </w:pPr>
      <w:r>
        <w:rPr>
          <w:rFonts w:hint="default" w:asciiTheme="minorEastAsia" w:hAnsiTheme="minorEastAsia" w:eastAsiaTheme="minorEastAsia" w:cstheme="minorEastAsia"/>
          <w:sz w:val="24"/>
        </w:rPr>
        <w:t>Q/CSG 2153004-2022 中国南方电网有限责任公司数据采集与运维管理细则</w:t>
      </w:r>
    </w:p>
    <w:p w14:paraId="1FA30D28">
      <w:pPr>
        <w:adjustRightInd w:val="0"/>
        <w:snapToGrid w:val="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Q/CSG 411002-2012</w:t>
      </w:r>
      <w:r>
        <w:rPr>
          <w:rFonts w:hint="eastAsia" w:asciiTheme="minorEastAsia" w:hAnsiTheme="minorEastAsia" w:eastAsiaTheme="minorEastAsia" w:cstheme="minorEastAsia"/>
          <w:sz w:val="24"/>
          <w:lang w:val="en-US" w:eastAsia="zh-CN"/>
        </w:rPr>
        <w:t xml:space="preserve">  10kV~500kV输变电及配电工程质量验收与评定标准(第一册:输电线路)</w:t>
      </w:r>
    </w:p>
    <w:p w14:paraId="77BBEFA9">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DL/T 875-2016《架空输电线路施工机具基本技术要求》</w:t>
      </w:r>
    </w:p>
    <w:p w14:paraId="4F8818DC">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DL/T 1741《电力作业用小型施工机具预防性试验规程》</w:t>
      </w:r>
    </w:p>
    <w:p w14:paraId="4C2449BD">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DL/T 1424《电网金属技术监督规程》</w:t>
      </w:r>
    </w:p>
    <w:p w14:paraId="7894FD66">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T/CASME 858-2023《智能扭矩系统建设技术规范》</w:t>
      </w:r>
      <w:bookmarkStart w:id="37" w:name="_GoBack"/>
      <w:bookmarkEnd w:id="37"/>
    </w:p>
    <w:p w14:paraId="11AF6E42">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《工业智能扭矩扳手技术要求与检测方法》（团体标准）</w:t>
      </w:r>
    </w:p>
    <w:p w14:paraId="1ABFCFB9">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南方电网总调〔2020〕4号《南方电网电力监控系统网络安全全域防御与纵深防御体系建设工作方案》</w:t>
      </w:r>
    </w:p>
    <w:p w14:paraId="0A65405C">
      <w:pPr>
        <w:adjustRightInd w:val="0"/>
        <w:snapToGrid w:val="0"/>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rPr>
        <w:t>南方电网生技〔2022〕29号 附件1《南方电网公司数字生产“十四五”行动计划》</w:t>
      </w:r>
    </w:p>
    <w:p w14:paraId="2D2E9D1E">
      <w:pPr>
        <w:rPr>
          <w:rFonts w:ascii="Times New Roman" w:hAnsi="Times New Roman"/>
          <w:szCs w:val="21"/>
        </w:rPr>
      </w:pPr>
      <w:r>
        <w:rPr>
          <w:rFonts w:hint="eastAsia" w:ascii="Times New Roman" w:hAnsi="Times New Roman"/>
          <w:szCs w:val="21"/>
        </w:rPr>
        <w:t>注：上述标准是招标方最低要求。除此标准以外，投标人可以推荐其他标准，但事先必须通过招标方认可，或选择其中较高标准。</w:t>
      </w:r>
    </w:p>
    <w:p w14:paraId="704E4D81"/>
    <w:p w14:paraId="07004441">
      <w:pPr>
        <w:snapToGrid w:val="0"/>
        <w:spacing w:before="120"/>
        <w:rPr>
          <w:rFonts w:hint="eastAsia" w:ascii="黑体" w:hAnsi="黑体" w:eastAsia="黑体" w:cs="黑体"/>
          <w:b/>
          <w:bCs/>
          <w:sz w:val="28"/>
          <w:szCs w:val="36"/>
        </w:rPr>
      </w:pPr>
      <w:bookmarkStart w:id="22" w:name="_Toc384340984"/>
      <w:bookmarkStart w:id="23" w:name="_Toc282993253"/>
      <w:bookmarkStart w:id="24" w:name="_Toc39753345"/>
      <w:bookmarkStart w:id="25" w:name="_Toc39754002"/>
      <w:bookmarkStart w:id="26" w:name="_Toc22304904"/>
      <w:bookmarkStart w:id="27" w:name="_Toc32408"/>
      <w:r>
        <w:rPr>
          <w:rFonts w:hint="eastAsia" w:ascii="黑体" w:hAnsi="黑体" w:eastAsia="黑体" w:cs="黑体"/>
          <w:b/>
          <w:bCs/>
          <w:sz w:val="28"/>
          <w:szCs w:val="36"/>
        </w:rPr>
        <w:t>4 技术要求</w:t>
      </w:r>
      <w:bookmarkEnd w:id="22"/>
      <w:bookmarkEnd w:id="23"/>
      <w:bookmarkEnd w:id="24"/>
      <w:bookmarkEnd w:id="25"/>
      <w:bookmarkEnd w:id="26"/>
      <w:bookmarkEnd w:id="27"/>
    </w:p>
    <w:p w14:paraId="304724CA">
      <w:pPr>
        <w:adjustRightInd w:val="0"/>
        <w:snapToGrid w:val="0"/>
        <w:rPr>
          <w:rFonts w:hint="eastAsia" w:ascii="宋体" w:hAnsi="宋体" w:eastAsiaTheme="minorEastAsia"/>
          <w:sz w:val="24"/>
        </w:rPr>
      </w:pPr>
      <w:r>
        <w:rPr>
          <w:rFonts w:hint="eastAsia" w:ascii="宋体" w:hAnsi="宋体"/>
          <w:sz w:val="24"/>
        </w:rPr>
        <w:t xml:space="preserve">4.1 </w:t>
      </w:r>
      <w:r>
        <w:rPr>
          <w:rFonts w:ascii="宋体" w:hAnsi="宋体"/>
          <w:sz w:val="24"/>
        </w:rPr>
        <w:t>研究要求</w:t>
      </w:r>
      <w:r>
        <w:rPr>
          <w:rFonts w:hint="eastAsia" w:ascii="宋体" w:hAnsi="宋体"/>
          <w:sz w:val="24"/>
          <w:lang w:eastAsia="zh-CN"/>
        </w:rPr>
        <w:t>：</w:t>
      </w:r>
      <w:r>
        <w:rPr>
          <w:rFonts w:ascii="宋体" w:hAnsi="宋体"/>
          <w:sz w:val="24"/>
        </w:rPr>
        <w:t>结合实际开展现状调研与需求分析，了解相关单位业务框架流程与移动端数字化应用情况，综合一线</w:t>
      </w:r>
      <w:r>
        <w:rPr>
          <w:rFonts w:hint="eastAsia" w:ascii="宋体" w:hAnsi="宋体"/>
          <w:sz w:val="24"/>
          <w:lang w:val="en-US" w:eastAsia="zh-CN"/>
        </w:rPr>
        <w:t>作业人员</w:t>
      </w:r>
      <w:r>
        <w:rPr>
          <w:rFonts w:ascii="宋体" w:hAnsi="宋体"/>
          <w:sz w:val="24"/>
        </w:rPr>
        <w:t>与</w:t>
      </w:r>
      <w:r>
        <w:rPr>
          <w:rFonts w:hint="eastAsia" w:ascii="宋体" w:hAnsi="宋体"/>
          <w:sz w:val="24"/>
          <w:lang w:val="en-US" w:eastAsia="zh-CN"/>
        </w:rPr>
        <w:t>工程验收</w:t>
      </w:r>
      <w:r>
        <w:rPr>
          <w:rFonts w:ascii="宋体" w:hAnsi="宋体"/>
          <w:sz w:val="24"/>
        </w:rPr>
        <w:t>需求，开展基于</w:t>
      </w:r>
      <w:r>
        <w:rPr>
          <w:rFonts w:hint="eastAsia" w:ascii="宋体" w:hAnsi="宋体"/>
          <w:sz w:val="24"/>
          <w:lang w:val="en-US" w:eastAsia="zh-CN"/>
        </w:rPr>
        <w:t>智能扳手前</w:t>
      </w:r>
      <w:r>
        <w:rPr>
          <w:rFonts w:ascii="宋体" w:hAnsi="宋体"/>
          <w:sz w:val="24"/>
        </w:rPr>
        <w:t>端</w:t>
      </w:r>
      <w:r>
        <w:rPr>
          <w:rFonts w:hint="eastAsia" w:ascii="宋体" w:hAnsi="宋体"/>
          <w:sz w:val="24"/>
          <w:lang w:val="en-US" w:eastAsia="zh-CN"/>
        </w:rPr>
        <w:t>数字化采集装置</w:t>
      </w:r>
      <w:r>
        <w:rPr>
          <w:rFonts w:ascii="宋体" w:hAnsi="宋体"/>
          <w:sz w:val="24"/>
        </w:rPr>
        <w:t>+</w:t>
      </w:r>
      <w:r>
        <w:rPr>
          <w:rFonts w:hint="eastAsia" w:ascii="宋体" w:hAnsi="宋体"/>
          <w:sz w:val="24"/>
          <w:lang w:val="en-US" w:eastAsia="zh-CN"/>
        </w:rPr>
        <w:t>人工智能分析记录系统的</w:t>
      </w:r>
      <w:r>
        <w:rPr>
          <w:rFonts w:ascii="宋体" w:hAnsi="宋体"/>
          <w:sz w:val="24"/>
        </w:rPr>
        <w:t>技术可行性研究。基于内外部数据梳理业务框架，形成典型应用场景及机制建设。在满足网络安全、终端信息安全、数据本地管控的前提下，开展本项目研究任务。</w:t>
      </w:r>
    </w:p>
    <w:p w14:paraId="345B358C">
      <w:pPr>
        <w:adjustRightInd w:val="0"/>
        <w:snapToGrid w:val="0"/>
        <w:rPr>
          <w:rFonts w:hint="eastAsia" w:ascii="宋体" w:hAnsi="宋体"/>
          <w:sz w:val="24"/>
        </w:rPr>
      </w:pPr>
      <w:r>
        <w:rPr>
          <w:rFonts w:hint="eastAsia" w:ascii="宋体" w:hAnsi="宋体"/>
          <w:sz w:val="24"/>
        </w:rPr>
        <w:t>4.2 研究内容。</w:t>
      </w:r>
    </w:p>
    <w:p w14:paraId="2A21FF5F">
      <w:pPr>
        <w:adjustRightInd w:val="0"/>
        <w:snapToGrid w:val="0"/>
        <w:rPr>
          <w:rFonts w:hint="eastAsia" w:ascii="宋体" w:hAnsi="宋体"/>
          <w:sz w:val="24"/>
        </w:rPr>
      </w:pPr>
      <w:r>
        <w:rPr>
          <w:rFonts w:hint="eastAsia" w:ascii="宋体" w:hAnsi="宋体"/>
          <w:sz w:val="24"/>
        </w:rPr>
        <w:t>4.2.1 主要项目内容</w:t>
      </w:r>
    </w:p>
    <w:p w14:paraId="754EAC3C">
      <w:pPr>
        <w:adjustRightInd w:val="0"/>
        <w:snapToGrid w:val="0"/>
        <w:rPr>
          <w:rFonts w:hint="eastAsia"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21EC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663279FF">
            <w:pPr>
              <w:spacing w:line="240" w:lineRule="auto"/>
              <w:jc w:val="center"/>
              <w:rPr>
                <w:rFonts w:hint="eastAsia" w:ascii="宋体" w:hAnsi="宋体" w:cs="宋体"/>
                <w:b/>
                <w:bCs/>
                <w:szCs w:val="21"/>
              </w:rPr>
            </w:pPr>
            <w:r>
              <w:rPr>
                <w:rFonts w:hint="eastAsia" w:ascii="宋体" w:hAnsi="宋体" w:cs="宋体"/>
                <w:b/>
                <w:bCs/>
                <w:szCs w:val="21"/>
              </w:rPr>
              <w:t>序号</w:t>
            </w:r>
          </w:p>
        </w:tc>
        <w:tc>
          <w:tcPr>
            <w:tcW w:w="2985" w:type="dxa"/>
            <w:vAlign w:val="center"/>
          </w:tcPr>
          <w:p w14:paraId="397F23BF">
            <w:pPr>
              <w:spacing w:line="240" w:lineRule="auto"/>
              <w:jc w:val="center"/>
              <w:rPr>
                <w:rFonts w:hint="eastAsia" w:ascii="宋体" w:hAnsi="宋体" w:cs="宋体"/>
                <w:b/>
                <w:bCs/>
                <w:szCs w:val="21"/>
              </w:rPr>
            </w:pPr>
            <w:r>
              <w:rPr>
                <w:rFonts w:hint="eastAsia" w:ascii="宋体" w:hAnsi="宋体" w:cs="宋体"/>
                <w:b/>
                <w:bCs/>
                <w:szCs w:val="21"/>
              </w:rPr>
              <w:t>主要项目内容</w:t>
            </w:r>
          </w:p>
        </w:tc>
        <w:tc>
          <w:tcPr>
            <w:tcW w:w="2363" w:type="dxa"/>
            <w:vAlign w:val="center"/>
          </w:tcPr>
          <w:p w14:paraId="5D8B36BE">
            <w:pPr>
              <w:spacing w:line="240" w:lineRule="auto"/>
              <w:jc w:val="center"/>
              <w:rPr>
                <w:rFonts w:hint="eastAsia" w:ascii="宋体" w:hAnsi="宋体" w:cs="宋体"/>
                <w:b/>
                <w:bCs/>
                <w:szCs w:val="21"/>
              </w:rPr>
            </w:pPr>
            <w:r>
              <w:rPr>
                <w:rFonts w:hint="eastAsia" w:ascii="宋体" w:hAnsi="宋体" w:cs="宋体"/>
                <w:b/>
                <w:bCs/>
                <w:szCs w:val="21"/>
              </w:rPr>
              <w:t>交付物</w:t>
            </w:r>
          </w:p>
        </w:tc>
        <w:tc>
          <w:tcPr>
            <w:tcW w:w="2357" w:type="dxa"/>
            <w:vAlign w:val="center"/>
          </w:tcPr>
          <w:p w14:paraId="40C0077E">
            <w:pPr>
              <w:spacing w:line="240" w:lineRule="auto"/>
              <w:jc w:val="center"/>
              <w:rPr>
                <w:rFonts w:hint="eastAsia" w:ascii="宋体" w:hAnsi="宋体" w:cs="宋体"/>
                <w:b/>
                <w:bCs/>
                <w:szCs w:val="21"/>
              </w:rPr>
            </w:pPr>
            <w:r>
              <w:rPr>
                <w:rFonts w:hint="eastAsia" w:ascii="宋体" w:hAnsi="宋体" w:cs="宋体"/>
                <w:b/>
                <w:bCs/>
                <w:szCs w:val="21"/>
              </w:rPr>
              <w:t>时间要求</w:t>
            </w:r>
          </w:p>
        </w:tc>
      </w:tr>
      <w:tr w14:paraId="401DA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E4FBE5F">
            <w:pPr>
              <w:spacing w:line="240" w:lineRule="auto"/>
              <w:jc w:val="center"/>
              <w:rPr>
                <w:rFonts w:hint="eastAsia" w:ascii="宋体" w:hAnsi="宋体" w:cs="宋体"/>
                <w:szCs w:val="21"/>
              </w:rPr>
            </w:pPr>
            <w:r>
              <w:rPr>
                <w:rFonts w:hint="eastAsia" w:ascii="宋体" w:hAnsi="宋体" w:cs="宋体"/>
                <w:szCs w:val="21"/>
              </w:rPr>
              <w:t>1</w:t>
            </w:r>
          </w:p>
        </w:tc>
        <w:tc>
          <w:tcPr>
            <w:tcW w:w="2985" w:type="dxa"/>
            <w:shd w:val="clear" w:color="auto" w:fill="auto"/>
            <w:vAlign w:val="center"/>
          </w:tcPr>
          <w:p w14:paraId="150489CF">
            <w:pPr>
              <w:spacing w:line="240" w:lineRule="auto"/>
              <w:jc w:val="center"/>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研制一种</w:t>
            </w:r>
            <w:r>
              <w:rPr>
                <w:rFonts w:hint="eastAsia" w:ascii="宋体" w:hAnsi="宋体" w:cs="宋体"/>
                <w:szCs w:val="21"/>
                <w:lang w:val="en-US" w:eastAsia="zh-CN"/>
              </w:rPr>
              <w:t>基于人工智能的</w:t>
            </w:r>
            <w:r>
              <w:rPr>
                <w:rFonts w:hint="eastAsia" w:ascii="宋体" w:hAnsi="宋体" w:cs="宋体"/>
                <w:szCs w:val="21"/>
              </w:rPr>
              <w:t>数字</w:t>
            </w:r>
            <w:r>
              <w:rPr>
                <w:rFonts w:hint="eastAsia" w:ascii="宋体" w:hAnsi="宋体" w:cs="宋体"/>
                <w:szCs w:val="21"/>
                <w:lang w:val="en-US" w:eastAsia="zh-CN"/>
              </w:rPr>
              <w:t>化</w:t>
            </w:r>
            <w:r>
              <w:rPr>
                <w:rFonts w:hint="eastAsia" w:ascii="宋体" w:hAnsi="宋体" w:cs="宋体"/>
                <w:szCs w:val="21"/>
              </w:rPr>
              <w:t>扭力扳手装置研制；</w:t>
            </w:r>
          </w:p>
          <w:p w14:paraId="14E2188D">
            <w:pPr>
              <w:spacing w:line="240" w:lineRule="auto"/>
              <w:jc w:val="center"/>
              <w:rPr>
                <w:rFonts w:hint="eastAsia" w:ascii="宋体" w:hAnsi="宋体" w:cs="宋体"/>
                <w:szCs w:val="21"/>
              </w:rPr>
            </w:pPr>
            <w:r>
              <w:rPr>
                <w:rFonts w:hint="eastAsia" w:ascii="宋体" w:hAnsi="宋体" w:cs="宋体"/>
                <w:szCs w:val="21"/>
                <w:lang w:val="en-US" w:eastAsia="zh-CN"/>
              </w:rPr>
              <w:t>（2）开发研制一款人工智能的</w:t>
            </w:r>
            <w:r>
              <w:rPr>
                <w:rFonts w:hint="eastAsia" w:ascii="宋体" w:hAnsi="宋体" w:cs="宋体"/>
                <w:szCs w:val="21"/>
              </w:rPr>
              <w:t>数字</w:t>
            </w:r>
            <w:r>
              <w:rPr>
                <w:rFonts w:hint="eastAsia" w:ascii="宋体" w:hAnsi="宋体" w:cs="宋体"/>
                <w:szCs w:val="21"/>
                <w:lang w:val="en-US" w:eastAsia="zh-CN"/>
              </w:rPr>
              <w:t>化</w:t>
            </w:r>
            <w:r>
              <w:rPr>
                <w:rFonts w:hint="eastAsia" w:ascii="宋体" w:hAnsi="宋体" w:cs="宋体"/>
                <w:szCs w:val="21"/>
              </w:rPr>
              <w:t>扭力扳手</w:t>
            </w:r>
            <w:r>
              <w:rPr>
                <w:rFonts w:hint="eastAsia" w:ascii="宋体" w:hAnsi="宋体" w:cs="宋体"/>
                <w:szCs w:val="21"/>
                <w:lang w:val="en-US" w:eastAsia="zh-CN"/>
              </w:rPr>
              <w:t>APP云端数据分析平台</w:t>
            </w:r>
          </w:p>
          <w:p w14:paraId="1E9C80CC">
            <w:pPr>
              <w:spacing w:line="240" w:lineRule="auto"/>
              <w:jc w:val="center"/>
              <w:rPr>
                <w:rFonts w:hint="eastAsia" w:ascii="宋体" w:hAnsi="宋体" w:cs="宋体"/>
                <w:szCs w:val="21"/>
              </w:rPr>
            </w:pPr>
          </w:p>
        </w:tc>
        <w:tc>
          <w:tcPr>
            <w:tcW w:w="2363" w:type="dxa"/>
            <w:shd w:val="clear" w:color="auto" w:fill="auto"/>
            <w:vAlign w:val="center"/>
          </w:tcPr>
          <w:p w14:paraId="278AAD56">
            <w:pPr>
              <w:spacing w:line="240" w:lineRule="auto"/>
              <w:jc w:val="center"/>
              <w:rPr>
                <w:rFonts w:hint="eastAsia" w:ascii="宋体" w:hAnsi="宋体" w:cs="宋体"/>
                <w:szCs w:val="21"/>
                <w:lang w:val="en-US" w:eastAsia="zh-CN"/>
              </w:rPr>
            </w:pPr>
            <w:r>
              <w:rPr>
                <w:rFonts w:hint="default" w:ascii="宋体" w:hAnsi="宋体" w:cs="宋体"/>
                <w:szCs w:val="21"/>
                <w:lang w:val="en-US" w:eastAsia="zh-CN"/>
              </w:rPr>
              <w:t>(1)</w:t>
            </w:r>
            <w:r>
              <w:rPr>
                <w:rFonts w:hint="eastAsia" w:ascii="宋体" w:hAnsi="宋体" w:cs="宋体"/>
                <w:szCs w:val="21"/>
                <w:lang w:val="en-US" w:eastAsia="zh-CN"/>
              </w:rPr>
              <w:t>基于人工智能数字化扭力扳手装置样机一套</w:t>
            </w:r>
          </w:p>
          <w:p w14:paraId="0AE1E90B">
            <w:pPr>
              <w:spacing w:line="240" w:lineRule="auto"/>
              <w:jc w:val="center"/>
              <w:rPr>
                <w:rFonts w:hint="eastAsia" w:ascii="PingFang-SC-Regular" w:hAnsi="PingFang-SC-Regular" w:cs="Segoe UI"/>
                <w:lang w:val="en-US" w:eastAsia="zh-CN"/>
              </w:rPr>
            </w:pPr>
            <w:r>
              <w:rPr>
                <w:rFonts w:hint="default" w:ascii="宋体" w:hAnsi="宋体" w:cs="宋体"/>
                <w:szCs w:val="21"/>
                <w:lang w:val="en-US" w:eastAsia="zh-CN"/>
              </w:rPr>
              <w:t>(2)</w:t>
            </w:r>
            <w:r>
              <w:rPr>
                <w:rFonts w:hint="eastAsia" w:ascii="宋体" w:hAnsi="宋体" w:cs="宋体"/>
                <w:szCs w:val="21"/>
                <w:lang w:val="en-US" w:eastAsia="zh-CN"/>
              </w:rPr>
              <w:t>基于人工智能的数字化扭力扳手数据分析平台安装包</w:t>
            </w:r>
          </w:p>
        </w:tc>
        <w:tc>
          <w:tcPr>
            <w:tcW w:w="2357" w:type="dxa"/>
            <w:vAlign w:val="center"/>
          </w:tcPr>
          <w:p w14:paraId="7FCEEB16">
            <w:pPr>
              <w:spacing w:line="240" w:lineRule="auto"/>
              <w:jc w:val="center"/>
              <w:rPr>
                <w:rFonts w:hint="eastAsia" w:ascii="宋体" w:hAnsi="宋体" w:cs="宋体"/>
              </w:rPr>
            </w:pPr>
            <w:r>
              <w:rPr>
                <w:rFonts w:hint="eastAsia" w:asciiTheme="minorEastAsia" w:hAnsiTheme="minorEastAsia" w:cstheme="minorEastAsia"/>
                <w:szCs w:val="21"/>
              </w:rPr>
              <w:t>2026年11月</w:t>
            </w:r>
          </w:p>
        </w:tc>
      </w:tr>
      <w:tr w14:paraId="4CD6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B99C1CB">
            <w:pPr>
              <w:spacing w:line="240" w:lineRule="auto"/>
              <w:jc w:val="center"/>
              <w:rPr>
                <w:rFonts w:hint="eastAsia" w:ascii="宋体" w:hAnsi="宋体" w:cs="宋体"/>
                <w:szCs w:val="21"/>
              </w:rPr>
            </w:pPr>
            <w:r>
              <w:rPr>
                <w:rFonts w:hint="eastAsia" w:ascii="宋体" w:hAnsi="宋体" w:cs="宋体"/>
                <w:szCs w:val="21"/>
              </w:rPr>
              <w:t>2</w:t>
            </w:r>
          </w:p>
        </w:tc>
        <w:tc>
          <w:tcPr>
            <w:tcW w:w="2985" w:type="dxa"/>
            <w:shd w:val="clear" w:color="auto" w:fill="auto"/>
            <w:vAlign w:val="center"/>
          </w:tcPr>
          <w:p w14:paraId="64AC5CF7">
            <w:pPr>
              <w:spacing w:line="240" w:lineRule="auto"/>
              <w:jc w:val="left"/>
              <w:rPr>
                <w:rFonts w:hint="eastAsia" w:ascii="宋体" w:hAnsi="宋体" w:cs="宋体"/>
                <w:szCs w:val="21"/>
              </w:rPr>
            </w:pPr>
            <w:r>
              <w:rPr>
                <w:rFonts w:hint="eastAsia" w:ascii="宋体" w:hAnsi="宋体" w:cs="宋体"/>
                <w:szCs w:val="21"/>
              </w:rPr>
              <w:t>【挑战指标】总结项目成果形成专利1项。</w:t>
            </w:r>
          </w:p>
        </w:tc>
        <w:tc>
          <w:tcPr>
            <w:tcW w:w="2363" w:type="dxa"/>
            <w:shd w:val="clear" w:color="auto" w:fill="auto"/>
            <w:vAlign w:val="center"/>
          </w:tcPr>
          <w:p w14:paraId="43774FDD">
            <w:pPr>
              <w:spacing w:line="240" w:lineRule="auto"/>
              <w:jc w:val="center"/>
              <w:rPr>
                <w:rFonts w:hint="eastAsia" w:ascii="宋体" w:hAnsi="宋体" w:cs="宋体"/>
                <w:szCs w:val="21"/>
              </w:rPr>
            </w:pPr>
            <w:r>
              <w:rPr>
                <w:rFonts w:hint="eastAsia" w:ascii="宋体" w:hAnsi="宋体" w:cs="宋体"/>
                <w:szCs w:val="21"/>
              </w:rPr>
              <w:t>专利1项（受理阶段）</w:t>
            </w:r>
          </w:p>
        </w:tc>
        <w:tc>
          <w:tcPr>
            <w:tcW w:w="2357" w:type="dxa"/>
            <w:vAlign w:val="center"/>
          </w:tcPr>
          <w:p w14:paraId="533FACD9">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14:paraId="7E92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695C0C7B">
            <w:pPr>
              <w:spacing w:line="240" w:lineRule="auto"/>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2985" w:type="dxa"/>
            <w:shd w:val="clear" w:color="auto" w:fill="auto"/>
            <w:vAlign w:val="center"/>
          </w:tcPr>
          <w:p w14:paraId="0B57C7E4">
            <w:pPr>
              <w:spacing w:line="240" w:lineRule="auto"/>
              <w:jc w:val="left"/>
              <w:rPr>
                <w:rFonts w:hint="default" w:ascii="宋体" w:hAnsi="宋体" w:eastAsia="宋体" w:cs="宋体"/>
                <w:szCs w:val="21"/>
                <w:lang w:val="en-US" w:eastAsia="zh-CN"/>
              </w:rPr>
            </w:pPr>
            <w:r>
              <w:rPr>
                <w:rFonts w:hint="eastAsia" w:ascii="宋体" w:hAnsi="宋体" w:cs="宋体"/>
                <w:szCs w:val="21"/>
                <w:lang w:val="en-US" w:eastAsia="zh-CN"/>
              </w:rPr>
              <w:t>发表论文一篇</w:t>
            </w:r>
          </w:p>
        </w:tc>
        <w:tc>
          <w:tcPr>
            <w:tcW w:w="2363" w:type="dxa"/>
            <w:shd w:val="clear" w:color="auto" w:fill="auto"/>
            <w:vAlign w:val="center"/>
          </w:tcPr>
          <w:p w14:paraId="419C3D4F">
            <w:pPr>
              <w:spacing w:line="240" w:lineRule="auto"/>
              <w:jc w:val="left"/>
              <w:rPr>
                <w:rFonts w:hint="default" w:ascii="宋体" w:hAnsi="宋体" w:eastAsia="宋体" w:cs="宋体"/>
                <w:lang w:val="en-US" w:eastAsia="zh-CN"/>
              </w:rPr>
            </w:pPr>
            <w:r>
              <w:rPr>
                <w:rFonts w:hint="eastAsia" w:ascii="宋体" w:hAnsi="宋体" w:cs="宋体"/>
                <w:lang w:val="en-US" w:eastAsia="zh-CN"/>
              </w:rPr>
              <w:t>发表论文一篇</w:t>
            </w:r>
          </w:p>
        </w:tc>
        <w:tc>
          <w:tcPr>
            <w:tcW w:w="2357" w:type="dxa"/>
            <w:vAlign w:val="center"/>
          </w:tcPr>
          <w:p w14:paraId="21E8E47B">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14:paraId="3EF8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3F60BDCA">
            <w:pPr>
              <w:spacing w:line="240" w:lineRule="auto"/>
              <w:jc w:val="center"/>
              <w:rPr>
                <w:rFonts w:hint="default" w:ascii="宋体" w:hAnsi="宋体" w:eastAsia="宋体" w:cs="宋体"/>
                <w:szCs w:val="21"/>
                <w:lang w:val="en-US" w:eastAsia="zh-CN"/>
              </w:rPr>
            </w:pPr>
            <w:r>
              <w:rPr>
                <w:rFonts w:hint="eastAsia" w:ascii="宋体" w:hAnsi="宋体" w:cs="宋体"/>
                <w:szCs w:val="21"/>
                <w:lang w:val="en-US" w:eastAsia="zh-CN"/>
              </w:rPr>
              <w:t>4</w:t>
            </w:r>
          </w:p>
        </w:tc>
        <w:tc>
          <w:tcPr>
            <w:tcW w:w="2985" w:type="dxa"/>
            <w:shd w:val="clear" w:color="auto" w:fill="auto"/>
            <w:vAlign w:val="center"/>
          </w:tcPr>
          <w:p w14:paraId="41EB6DB6">
            <w:pPr>
              <w:spacing w:line="240" w:lineRule="auto"/>
              <w:jc w:val="left"/>
              <w:rPr>
                <w:rFonts w:hint="eastAsia"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2675ACCE">
            <w:pPr>
              <w:spacing w:line="240" w:lineRule="auto"/>
              <w:jc w:val="left"/>
              <w:rPr>
                <w:rFonts w:hint="eastAsia" w:ascii="宋体" w:hAnsi="宋体" w:cs="宋体"/>
              </w:rPr>
            </w:pPr>
            <w:r>
              <w:rPr>
                <w:rFonts w:hint="eastAsia" w:ascii="宋体" w:hAnsi="宋体" w:cs="宋体"/>
              </w:rPr>
              <w:t>完成项目全部验收内容</w:t>
            </w:r>
          </w:p>
        </w:tc>
        <w:tc>
          <w:tcPr>
            <w:tcW w:w="2357" w:type="dxa"/>
            <w:vAlign w:val="center"/>
          </w:tcPr>
          <w:p w14:paraId="090CC0E8">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rPr>
              <w:t>2026年12月</w:t>
            </w:r>
          </w:p>
        </w:tc>
      </w:tr>
    </w:tbl>
    <w:p w14:paraId="4260A043">
      <w:pPr>
        <w:rPr>
          <w:rFonts w:hint="eastAsia" w:ascii="宋体" w:hAnsi="宋体" w:cs="宋体"/>
          <w:color w:val="000000"/>
          <w:sz w:val="24"/>
        </w:rPr>
      </w:pPr>
      <w:r>
        <w:rPr>
          <w:rFonts w:hint="eastAsia" w:ascii="宋体" w:hAnsi="宋体" w:cs="宋体"/>
          <w:color w:val="000000"/>
          <w:sz w:val="24"/>
        </w:rPr>
        <w:t xml:space="preserve">4.2.2 </w:t>
      </w:r>
      <w:r>
        <w:rPr>
          <w:rFonts w:hint="eastAsia" w:ascii="宋体" w:hAnsi="宋体" w:cs="宋体"/>
          <w:color w:val="000000"/>
          <w:sz w:val="24"/>
          <w:lang w:val="en-US" w:eastAsia="zh-CN"/>
        </w:rPr>
        <w:t>一种</w:t>
      </w:r>
      <w:r>
        <w:rPr>
          <w:rFonts w:hint="eastAsia" w:ascii="宋体" w:hAnsi="宋体" w:cs="宋体"/>
          <w:kern w:val="0"/>
          <w:sz w:val="24"/>
          <w:lang w:val="en-US" w:eastAsia="zh-CN"/>
        </w:rPr>
        <w:t>基于人工智能的</w:t>
      </w:r>
      <w:r>
        <w:rPr>
          <w:rFonts w:hint="eastAsia" w:ascii="宋体" w:hAnsi="宋体" w:cs="宋体"/>
          <w:kern w:val="0"/>
          <w:sz w:val="24"/>
        </w:rPr>
        <w:t>数字</w:t>
      </w:r>
      <w:r>
        <w:rPr>
          <w:rFonts w:hint="eastAsia" w:ascii="宋体" w:hAnsi="宋体" w:cs="宋体"/>
          <w:kern w:val="0"/>
          <w:sz w:val="24"/>
          <w:lang w:val="en-US" w:eastAsia="zh-CN"/>
        </w:rPr>
        <w:t>化</w:t>
      </w:r>
      <w:r>
        <w:rPr>
          <w:rFonts w:hint="eastAsia" w:ascii="宋体" w:hAnsi="宋体" w:cs="宋体"/>
          <w:kern w:val="0"/>
          <w:sz w:val="24"/>
        </w:rPr>
        <w:t>扭力扳手技术研究实施要求</w:t>
      </w:r>
    </w:p>
    <w:p w14:paraId="0FF108FA">
      <w:pPr>
        <w:pStyle w:val="8"/>
        <w:spacing w:after="0" w:line="360" w:lineRule="auto"/>
        <w:ind w:left="0"/>
        <w:rPr>
          <w:rFonts w:hint="eastAsia" w:ascii="宋体" w:hAnsi="宋体" w:cs="宋体"/>
          <w:sz w:val="24"/>
        </w:rPr>
      </w:pPr>
      <w:r>
        <w:rPr>
          <w:rFonts w:hint="eastAsia" w:ascii="宋体" w:hAnsi="宋体" w:cs="宋体"/>
          <w:sz w:val="24"/>
        </w:rPr>
        <w:t>4.2.2.1总体要求</w:t>
      </w:r>
    </w:p>
    <w:p w14:paraId="601343FE">
      <w:pPr>
        <w:pStyle w:val="8"/>
        <w:numPr>
          <w:ilvl w:val="0"/>
          <w:numId w:val="3"/>
        </w:numPr>
        <w:spacing w:after="0" w:line="360" w:lineRule="auto"/>
        <w:ind w:left="0"/>
        <w:rPr>
          <w:rFonts w:hint="eastAsia" w:ascii="宋体" w:hAnsi="宋体" w:cs="宋体"/>
          <w:sz w:val="24"/>
        </w:rPr>
      </w:pPr>
      <w:r>
        <w:rPr>
          <w:rFonts w:hint="eastAsia" w:ascii="宋体" w:hAnsi="宋体" w:cs="宋体"/>
          <w:sz w:val="24"/>
        </w:rPr>
        <w:t>稳定性和可靠性</w:t>
      </w:r>
    </w:p>
    <w:p w14:paraId="7420B6DF">
      <w:pPr>
        <w:numPr>
          <w:ilvl w:val="0"/>
          <w:numId w:val="0"/>
        </w:numPr>
        <w:ind w:firstLine="480" w:firstLineChars="200"/>
        <w:rPr>
          <w:rFonts w:hint="eastAsia"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系统为独立运行的整体解决方案，智能扳手终端具备工业级三防（防水、防尘、防震）设计，适应野外恶劣环境；具备完善的本地数据存储与缓存管理功能，在网络信号不佳地区可先本地存储，待有信号后自动补传</w:t>
      </w:r>
    </w:p>
    <w:p w14:paraId="5E244D79">
      <w:pPr>
        <w:pStyle w:val="8"/>
        <w:spacing w:after="0" w:line="360" w:lineRule="auto"/>
        <w:ind w:left="0"/>
        <w:rPr>
          <w:rFonts w:hint="eastAsia" w:ascii="宋体" w:hAnsi="宋体" w:cs="宋体"/>
          <w:sz w:val="24"/>
        </w:rPr>
      </w:pPr>
      <w:r>
        <w:rPr>
          <w:rFonts w:hint="eastAsia" w:ascii="宋体" w:hAnsi="宋体" w:cs="宋体"/>
          <w:sz w:val="24"/>
        </w:rPr>
        <w:t>（2）易用性</w:t>
      </w:r>
    </w:p>
    <w:p w14:paraId="31BD11DF">
      <w:pPr>
        <w:pStyle w:val="8"/>
        <w:spacing w:after="0" w:line="360" w:lineRule="auto"/>
        <w:ind w:left="0"/>
        <w:rPr>
          <w:rFonts w:hint="eastAsia" w:ascii="宋体" w:hAnsi="宋体" w:cs="宋体"/>
          <w:sz w:val="24"/>
        </w:rPr>
      </w:pPr>
      <w:r>
        <w:rPr>
          <w:rFonts w:hint="eastAsia" w:ascii="宋体" w:hAnsi="宋体" w:cs="宋体"/>
          <w:sz w:val="24"/>
        </w:rPr>
        <w:t xml:space="preserve">    </w:t>
      </w:r>
      <w:r>
        <w:rPr>
          <w:rFonts w:ascii="宋体" w:hAnsi="宋体" w:eastAsia="宋体" w:cs="宋体"/>
          <w:kern w:val="0"/>
          <w:sz w:val="24"/>
          <w:szCs w:val="24"/>
          <w:lang w:val="en-US" w:eastAsia="zh-CN" w:bidi="ar-SA"/>
        </w:rPr>
        <w:t>智能扳手终端提供清晰的显示屏与操作界面，支持螺栓型号选择、扭矩实时显示与声光震动提醒；移动APP提供符合操作习惯的交互界面，界面简洁直观；云端平台提供数据看板、</w:t>
      </w:r>
      <w:r>
        <w:rPr>
          <w:rFonts w:hint="eastAsia" w:ascii="宋体" w:hAnsi="宋体" w:cs="宋体"/>
          <w:kern w:val="0"/>
          <w:sz w:val="24"/>
          <w:szCs w:val="24"/>
          <w:lang w:val="en-US" w:eastAsia="zh-CN" w:bidi="ar-SA"/>
        </w:rPr>
        <w:t>数据分析报表及图表可视化</w:t>
      </w:r>
      <w:r>
        <w:rPr>
          <w:rFonts w:ascii="宋体" w:hAnsi="宋体" w:eastAsia="宋体" w:cs="宋体"/>
          <w:kern w:val="0"/>
          <w:sz w:val="24"/>
          <w:szCs w:val="24"/>
          <w:lang w:val="en-US" w:eastAsia="zh-CN" w:bidi="ar-SA"/>
        </w:rPr>
        <w:t>等直观展示方式</w:t>
      </w:r>
    </w:p>
    <w:p w14:paraId="3D63559A">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4.2.2.2系统实施要求</w:t>
      </w:r>
    </w:p>
    <w:p w14:paraId="6A13D6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4.2.2.2.1 系统架构及技术</w:t>
      </w:r>
    </w:p>
    <w:p w14:paraId="30125770">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智能扳手终端扭矩测量：采用应变片式扭矩传感器与高精度ADC芯片，确保扭矩测量精度优于±</w:t>
      </w:r>
      <w:r>
        <w:rPr>
          <w:rFonts w:hint="eastAsia" w:ascii="宋体" w:hAnsi="宋体" w:cs="宋体"/>
          <w:kern w:val="0"/>
          <w:sz w:val="24"/>
          <w:szCs w:val="24"/>
          <w:lang w:val="en-US" w:eastAsia="zh-CN" w:bidi="ar-SA"/>
        </w:rPr>
        <w:t>1</w:t>
      </w:r>
      <w:r>
        <w:rPr>
          <w:rFonts w:hint="default" w:ascii="宋体" w:hAnsi="宋体" w:eastAsia="宋体" w:cs="宋体"/>
          <w:kern w:val="0"/>
          <w:sz w:val="24"/>
          <w:szCs w:val="24"/>
          <w:lang w:val="en-US" w:eastAsia="zh-CN" w:bidi="ar-SA"/>
        </w:rPr>
        <w:t>%。</w:t>
      </w:r>
    </w:p>
    <w:p w14:paraId="26310E59">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空间定位：集成卫星定位模块（接收北斗</w:t>
      </w:r>
      <w:r>
        <w:rPr>
          <w:rFonts w:hint="eastAsia" w:ascii="宋体" w:hAnsi="宋体" w:cs="宋体"/>
          <w:kern w:val="0"/>
          <w:sz w:val="24"/>
          <w:szCs w:val="24"/>
          <w:lang w:val="en-US" w:eastAsia="zh-CN" w:bidi="ar-SA"/>
        </w:rPr>
        <w:t>/</w:t>
      </w:r>
      <w:r>
        <w:rPr>
          <w:rFonts w:hint="default" w:ascii="宋体" w:hAnsi="宋体" w:eastAsia="宋体" w:cs="宋体"/>
          <w:kern w:val="0"/>
          <w:sz w:val="24"/>
          <w:szCs w:val="24"/>
          <w:lang w:val="en-US" w:eastAsia="zh-CN" w:bidi="ar-SA"/>
        </w:rPr>
        <w:t>GPS等信号），实时采集经纬度与高程信息，定位精度达到厘米级/分米级。</w:t>
      </w:r>
    </w:p>
    <w:p w14:paraId="0CB60957">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无线通信：内置4G/5G与蓝牙模块，实现数据无线传输。</w:t>
      </w:r>
    </w:p>
    <w:p w14:paraId="3B281459">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工业设计：工业级三防（防水、防尘、防震）设计，适应野外恶劣环境。报警功能：当实测扭矩超出预设标准扭矩值允差范围时，通过声光或震动即时提醒</w:t>
      </w:r>
    </w:p>
    <w:p w14:paraId="40C068C6">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云端数据分析平台数据看板：实时展示各验收点的工作位置分布</w:t>
      </w:r>
      <w:r>
        <w:rPr>
          <w:rFonts w:hint="eastAsia" w:ascii="宋体" w:hAnsi="宋体" w:cs="宋体"/>
          <w:kern w:val="0"/>
          <w:sz w:val="24"/>
          <w:szCs w:val="24"/>
          <w:lang w:val="en-US" w:eastAsia="zh-CN" w:bidi="ar-SA"/>
        </w:rPr>
        <w:t>、螺栓高程信息</w:t>
      </w:r>
      <w:r>
        <w:rPr>
          <w:rFonts w:hint="default" w:ascii="宋体" w:hAnsi="宋体" w:eastAsia="宋体" w:cs="宋体"/>
          <w:kern w:val="0"/>
          <w:sz w:val="24"/>
          <w:szCs w:val="24"/>
          <w:lang w:val="en-US" w:eastAsia="zh-CN" w:bidi="ar-SA"/>
        </w:rPr>
        <w:t>和扭矩数据。</w:t>
      </w:r>
    </w:p>
    <w:p w14:paraId="048BD647">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随机抽检与合格率计算：用户可设定抽检比例或数量，系统基于分层随机抽样算法，自动从已验收的螺栓中随机抽取样本，并即时计算合格率。报告自动生成</w:t>
      </w:r>
      <w:r>
        <w:rPr>
          <w:rFonts w:hint="eastAsia" w:ascii="宋体" w:hAnsi="宋体" w:cs="宋体"/>
          <w:kern w:val="0"/>
          <w:sz w:val="24"/>
          <w:szCs w:val="24"/>
          <w:lang w:val="en-US" w:eastAsia="zh-CN" w:bidi="ar-SA"/>
        </w:rPr>
        <w:t>，</w:t>
      </w:r>
      <w:r>
        <w:rPr>
          <w:rFonts w:hint="default" w:ascii="宋体" w:hAnsi="宋体" w:eastAsia="宋体" w:cs="宋体"/>
          <w:kern w:val="0"/>
          <w:sz w:val="24"/>
          <w:szCs w:val="24"/>
          <w:lang w:val="en-US" w:eastAsia="zh-CN" w:bidi="ar-SA"/>
        </w:rPr>
        <w:t>一键生成结构化验收报告，包含抽检样本明细、合格率统计、不合格项定位及可视化图表。全流程追溯：通过唯一的序号，可追溯任一螺栓的型号、位置、扭矩、操作员及验收时间，形成不可篡改的数据链条。</w:t>
      </w:r>
    </w:p>
    <w:p w14:paraId="07CCAB0D">
      <w:pPr>
        <w:pStyle w:val="8"/>
        <w:ind w:left="0" w:leftChars="0" w:firstLine="0" w:firstLine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4.2.2.3系统功能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14:paraId="707B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1CAC340">
            <w:pPr>
              <w:jc w:val="center"/>
              <w:rPr>
                <w:rFonts w:ascii="Arial" w:hAnsi="Arial" w:cs="Arial"/>
              </w:rPr>
            </w:pPr>
            <w:r>
              <w:rPr>
                <w:rFonts w:hint="eastAsia" w:ascii="Arial" w:hAnsi="Arial" w:cs="Arial"/>
              </w:rPr>
              <w:t>序号</w:t>
            </w:r>
          </w:p>
        </w:tc>
        <w:tc>
          <w:tcPr>
            <w:tcW w:w="2268" w:type="dxa"/>
            <w:vAlign w:val="center"/>
          </w:tcPr>
          <w:p w14:paraId="6AB14A8F">
            <w:pPr>
              <w:jc w:val="center"/>
              <w:rPr>
                <w:rFonts w:ascii="Arial" w:hAnsi="Arial" w:cs="Arial"/>
              </w:rPr>
            </w:pPr>
            <w:r>
              <w:rPr>
                <w:rFonts w:hint="eastAsia" w:ascii="Arial" w:hAnsi="Arial" w:cs="Arial"/>
              </w:rPr>
              <w:t>功能</w:t>
            </w:r>
          </w:p>
        </w:tc>
        <w:tc>
          <w:tcPr>
            <w:tcW w:w="5494" w:type="dxa"/>
            <w:vAlign w:val="center"/>
          </w:tcPr>
          <w:p w14:paraId="2E8647C3">
            <w:pPr>
              <w:jc w:val="center"/>
              <w:rPr>
                <w:rFonts w:ascii="Arial" w:hAnsi="Arial" w:cs="Arial"/>
              </w:rPr>
            </w:pPr>
            <w:r>
              <w:rPr>
                <w:rFonts w:hint="eastAsia" w:ascii="Arial" w:hAnsi="Arial" w:cs="Arial"/>
              </w:rPr>
              <w:t>描述</w:t>
            </w:r>
          </w:p>
        </w:tc>
      </w:tr>
      <w:tr w14:paraId="359BF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7C0F2BD">
            <w:pPr>
              <w:jc w:val="center"/>
              <w:rPr>
                <w:rFonts w:ascii="Arial" w:hAnsi="Arial" w:cs="Arial"/>
              </w:rPr>
            </w:pPr>
            <w:r>
              <w:rPr>
                <w:rFonts w:hint="eastAsia" w:ascii="Arial" w:hAnsi="Arial" w:cs="Arial"/>
              </w:rPr>
              <w:t>1</w:t>
            </w:r>
          </w:p>
        </w:tc>
        <w:tc>
          <w:tcPr>
            <w:tcW w:w="2268" w:type="dxa"/>
            <w:vAlign w:val="center"/>
          </w:tcPr>
          <w:p w14:paraId="202D2DBB">
            <w:pPr>
              <w:ind w:firstLine="210" w:firstLineChars="100"/>
              <w:rPr>
                <w:rFonts w:ascii="Arial" w:hAnsi="Arial" w:cs="Arial"/>
              </w:rPr>
            </w:pPr>
            <w:r>
              <w:rPr>
                <w:rFonts w:hint="eastAsia" w:ascii="Arial" w:hAnsi="Arial" w:cs="Arial"/>
              </w:rPr>
              <w:t>实时空间定位</w:t>
            </w:r>
          </w:p>
        </w:tc>
        <w:tc>
          <w:tcPr>
            <w:tcW w:w="5494" w:type="dxa"/>
          </w:tcPr>
          <w:p w14:paraId="00401616">
            <w:pPr>
              <w:rPr>
                <w:rFonts w:ascii="Arial" w:hAnsi="Arial" w:cs="Arial"/>
              </w:rPr>
            </w:pPr>
            <w:r>
              <w:rPr>
                <w:rFonts w:hint="eastAsia" w:ascii="Arial" w:hAnsi="Arial" w:cs="Arial"/>
              </w:rPr>
              <w:t>集成北斗/GPS定位模块，实时采集经纬度与高程信息，实现螺栓位置精准标注</w:t>
            </w:r>
          </w:p>
        </w:tc>
      </w:tr>
      <w:tr w14:paraId="62F25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3A8BCAF6">
            <w:pPr>
              <w:jc w:val="center"/>
              <w:rPr>
                <w:rFonts w:ascii="Arial" w:hAnsi="Arial" w:cs="Arial"/>
              </w:rPr>
            </w:pPr>
            <w:r>
              <w:rPr>
                <w:rFonts w:ascii="Arial" w:hAnsi="Arial" w:cs="Arial"/>
              </w:rPr>
              <w:t>2</w:t>
            </w:r>
          </w:p>
        </w:tc>
        <w:tc>
          <w:tcPr>
            <w:tcW w:w="2268" w:type="dxa"/>
            <w:vAlign w:val="center"/>
          </w:tcPr>
          <w:p w14:paraId="1FF607FA">
            <w:pPr>
              <w:ind w:firstLine="210" w:firstLineChars="100"/>
              <w:rPr>
                <w:rFonts w:ascii="Arial" w:hAnsi="Arial" w:cs="Arial"/>
              </w:rPr>
            </w:pPr>
            <w:r>
              <w:rPr>
                <w:rFonts w:hint="eastAsia" w:ascii="Arial" w:hAnsi="Arial" w:cs="Arial"/>
              </w:rPr>
              <w:t>数据无线传输</w:t>
            </w:r>
          </w:p>
        </w:tc>
        <w:tc>
          <w:tcPr>
            <w:tcW w:w="5494" w:type="dxa"/>
          </w:tcPr>
          <w:p w14:paraId="3C9CB5AC">
            <w:pPr>
              <w:rPr>
                <w:rFonts w:ascii="Arial" w:hAnsi="Arial" w:cs="Arial"/>
              </w:rPr>
            </w:pPr>
            <w:r>
              <w:rPr>
                <w:rFonts w:hint="eastAsia" w:ascii="Arial" w:hAnsi="Arial" w:cs="Arial"/>
              </w:rPr>
              <w:t>通过4G/5G与蓝牙模块，实现扭矩数据、位置信息等实时上传至云端平台</w:t>
            </w:r>
          </w:p>
        </w:tc>
      </w:tr>
      <w:tr w14:paraId="7F3AE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5CC1301">
            <w:pPr>
              <w:jc w:val="center"/>
              <w:rPr>
                <w:rFonts w:ascii="Arial" w:hAnsi="Arial" w:cs="Arial"/>
              </w:rPr>
            </w:pPr>
            <w:r>
              <w:rPr>
                <w:rFonts w:ascii="Arial" w:hAnsi="Arial" w:cs="Arial"/>
              </w:rPr>
              <w:t>3</w:t>
            </w:r>
          </w:p>
        </w:tc>
        <w:tc>
          <w:tcPr>
            <w:tcW w:w="2268" w:type="dxa"/>
            <w:vAlign w:val="center"/>
          </w:tcPr>
          <w:p w14:paraId="0101B71A">
            <w:pPr>
              <w:ind w:firstLine="210" w:firstLineChars="100"/>
              <w:rPr>
                <w:rFonts w:ascii="Arial" w:hAnsi="Arial" w:cs="Arial"/>
              </w:rPr>
            </w:pPr>
            <w:r>
              <w:rPr>
                <w:rFonts w:hint="eastAsia" w:ascii="Arial" w:hAnsi="Arial" w:cs="Arial"/>
              </w:rPr>
              <w:t>报告自动生成</w:t>
            </w:r>
          </w:p>
        </w:tc>
        <w:tc>
          <w:tcPr>
            <w:tcW w:w="5494" w:type="dxa"/>
          </w:tcPr>
          <w:p w14:paraId="39DA1A97">
            <w:pPr>
              <w:rPr>
                <w:rFonts w:ascii="Arial" w:hAnsi="Arial" w:cs="Arial"/>
              </w:rPr>
            </w:pPr>
            <w:r>
              <w:rPr>
                <w:rFonts w:hint="eastAsia" w:ascii="Arial" w:hAnsi="Arial" w:cs="Arial"/>
              </w:rPr>
              <w:t>一键生成包含抽检明细、合格率统计、不合格项定位及可视化图表的验收报告</w:t>
            </w:r>
          </w:p>
        </w:tc>
      </w:tr>
      <w:tr w14:paraId="1BB95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125248E8">
            <w:pPr>
              <w:jc w:val="center"/>
              <w:rPr>
                <w:rFonts w:ascii="Arial" w:hAnsi="Arial" w:cs="Arial"/>
              </w:rPr>
            </w:pPr>
            <w:r>
              <w:rPr>
                <w:rFonts w:hint="eastAsia" w:ascii="Arial" w:hAnsi="Arial" w:cs="Arial"/>
              </w:rPr>
              <w:t>4</w:t>
            </w:r>
          </w:p>
        </w:tc>
        <w:tc>
          <w:tcPr>
            <w:tcW w:w="2268" w:type="dxa"/>
            <w:vAlign w:val="center"/>
          </w:tcPr>
          <w:p w14:paraId="79C3AD8A">
            <w:pPr>
              <w:ind w:firstLine="210" w:firstLineChars="100"/>
              <w:rPr>
                <w:rFonts w:ascii="Arial" w:hAnsi="Arial" w:cs="Arial"/>
              </w:rPr>
            </w:pPr>
            <w:r>
              <w:rPr>
                <w:rFonts w:hint="eastAsia" w:ascii="Arial" w:hAnsi="Arial" w:cs="Arial"/>
              </w:rPr>
              <w:t>扭矩精准测量</w:t>
            </w:r>
          </w:p>
        </w:tc>
        <w:tc>
          <w:tcPr>
            <w:tcW w:w="5494" w:type="dxa"/>
          </w:tcPr>
          <w:p w14:paraId="62E58F5A">
            <w:pPr>
              <w:rPr>
                <w:rFonts w:ascii="Arial" w:hAnsi="Arial" w:cs="Arial"/>
              </w:rPr>
            </w:pPr>
            <w:r>
              <w:rPr>
                <w:rFonts w:hint="eastAsia" w:ascii="Arial" w:hAnsi="Arial" w:cs="Arial"/>
              </w:rPr>
              <w:t>基于应变片式扭矩传感器与高精度ADC芯片，实现扭矩值的高精度测量与数字化显示</w:t>
            </w:r>
          </w:p>
        </w:tc>
      </w:tr>
    </w:tbl>
    <w:p w14:paraId="2F944F71">
      <w:pPr>
        <w:rPr>
          <w:rFonts w:hint="eastAsia" w:ascii="宋体" w:hAnsi="宋体" w:cs="宋体"/>
          <w:sz w:val="24"/>
        </w:rPr>
      </w:pPr>
      <w:r>
        <w:rPr>
          <w:rFonts w:hint="eastAsia" w:ascii="宋体" w:hAnsi="宋体" w:cs="宋体"/>
          <w:sz w:val="24"/>
        </w:rPr>
        <w:t>4.2.2.4实施要求</w:t>
      </w:r>
    </w:p>
    <w:p w14:paraId="67B869C1">
      <w:pPr>
        <w:ind w:left="720" w:hanging="720" w:hangingChars="300"/>
        <w:rPr>
          <w:rFonts w:hint="eastAsia" w:ascii="宋体" w:hAnsi="宋体" w:cs="宋体"/>
          <w:sz w:val="24"/>
        </w:rPr>
      </w:pPr>
      <w:r>
        <w:rPr>
          <w:rFonts w:hint="eastAsia" w:ascii="宋体" w:hAnsi="宋体" w:cs="宋体"/>
          <w:sz w:val="24"/>
        </w:rPr>
        <w:t>（1）</w:t>
      </w:r>
      <w:r>
        <w:rPr>
          <w:rFonts w:ascii="宋体" w:hAnsi="宋体" w:cs="宋体"/>
          <w:sz w:val="24"/>
        </w:rPr>
        <w:t>提供完整的</w:t>
      </w:r>
      <w:r>
        <w:rPr>
          <w:rFonts w:hint="eastAsia" w:ascii="宋体" w:hAnsi="宋体" w:cs="宋体"/>
          <w:kern w:val="0"/>
          <w:sz w:val="24"/>
          <w:lang w:val="en-US" w:eastAsia="zh-CN"/>
        </w:rPr>
        <w:t>人工智能的</w:t>
      </w:r>
      <w:r>
        <w:rPr>
          <w:rFonts w:hint="eastAsia" w:ascii="宋体" w:hAnsi="宋体" w:cs="宋体"/>
          <w:kern w:val="0"/>
          <w:sz w:val="24"/>
        </w:rPr>
        <w:t>数字</w:t>
      </w:r>
      <w:r>
        <w:rPr>
          <w:rFonts w:hint="eastAsia" w:ascii="宋体" w:hAnsi="宋体" w:cs="宋体"/>
          <w:kern w:val="0"/>
          <w:sz w:val="24"/>
          <w:lang w:val="en-US" w:eastAsia="zh-CN"/>
        </w:rPr>
        <w:t>化</w:t>
      </w:r>
      <w:r>
        <w:rPr>
          <w:rFonts w:hint="eastAsia" w:ascii="宋体" w:hAnsi="宋体" w:cs="宋体"/>
          <w:kern w:val="0"/>
          <w:sz w:val="24"/>
        </w:rPr>
        <w:t>扭力扳手</w:t>
      </w:r>
      <w:r>
        <w:rPr>
          <w:rFonts w:ascii="宋体" w:hAnsi="宋体" w:cs="宋体"/>
          <w:sz w:val="24"/>
        </w:rPr>
        <w:t>设计方案、</w:t>
      </w:r>
      <w:r>
        <w:rPr>
          <w:rFonts w:hint="eastAsia" w:ascii="宋体" w:hAnsi="宋体" w:cs="宋体"/>
          <w:kern w:val="0"/>
          <w:sz w:val="24"/>
        </w:rPr>
        <w:t>数字</w:t>
      </w:r>
      <w:r>
        <w:rPr>
          <w:rFonts w:hint="eastAsia" w:ascii="宋体" w:hAnsi="宋体" w:cs="宋体"/>
          <w:kern w:val="0"/>
          <w:sz w:val="24"/>
          <w:lang w:val="en-US" w:eastAsia="zh-CN"/>
        </w:rPr>
        <w:t>化</w:t>
      </w:r>
      <w:r>
        <w:rPr>
          <w:rFonts w:hint="eastAsia" w:ascii="宋体" w:hAnsi="宋体" w:cs="宋体"/>
          <w:kern w:val="0"/>
          <w:sz w:val="24"/>
        </w:rPr>
        <w:t>扭力扳手</w:t>
      </w:r>
      <w:r>
        <w:rPr>
          <w:rFonts w:ascii="宋体" w:hAnsi="宋体" w:cs="宋体"/>
          <w:sz w:val="24"/>
        </w:rPr>
        <w:t>原型、</w:t>
      </w:r>
      <w:r>
        <w:rPr>
          <w:rFonts w:hint="eastAsia" w:ascii="宋体" w:hAnsi="宋体" w:cs="宋体"/>
          <w:sz w:val="24"/>
          <w:lang w:val="en-US" w:eastAsia="zh-CN"/>
        </w:rPr>
        <w:t>数字化</w:t>
      </w:r>
      <w:r>
        <w:rPr>
          <w:rFonts w:hint="eastAsia" w:ascii="宋体" w:hAnsi="宋体" w:cs="宋体"/>
          <w:sz w:val="24"/>
        </w:rPr>
        <w:t>扭力扳手</w:t>
      </w:r>
      <w:r>
        <w:rPr>
          <w:rFonts w:hint="eastAsia" w:ascii="宋体" w:hAnsi="宋体" w:cs="宋体"/>
          <w:sz w:val="24"/>
          <w:lang w:val="en-US" w:eastAsia="zh-CN"/>
        </w:rPr>
        <w:t>数据分析平台</w:t>
      </w:r>
      <w:r>
        <w:rPr>
          <w:rFonts w:ascii="宋体" w:hAnsi="宋体" w:cs="宋体"/>
          <w:sz w:val="24"/>
        </w:rPr>
        <w:t>实施方案与计划。</w:t>
      </w:r>
    </w:p>
    <w:p w14:paraId="28BE0ACC">
      <w:pPr>
        <w:rPr>
          <w:rFonts w:hint="eastAsia" w:ascii="宋体" w:hAnsi="宋体" w:cs="宋体"/>
          <w:sz w:val="24"/>
        </w:rPr>
      </w:pPr>
      <w:r>
        <w:rPr>
          <w:rFonts w:hint="eastAsia" w:ascii="宋体" w:hAnsi="宋体" w:cs="宋体"/>
          <w:sz w:val="24"/>
        </w:rPr>
        <w:t>（2）系统需要在6个月内完成开发。</w:t>
      </w:r>
    </w:p>
    <w:p w14:paraId="1DB10D5A">
      <w:pPr>
        <w:pStyle w:val="4"/>
        <w:ind w:firstLine="0" w:firstLineChars="0"/>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投标方需提前确认</w:t>
      </w:r>
      <w:r>
        <w:rPr>
          <w:rFonts w:hint="eastAsia" w:asciiTheme="minorEastAsia" w:hAnsiTheme="minorEastAsia" w:eastAsiaTheme="minorEastAsia" w:cstheme="minorEastAsia"/>
          <w:sz w:val="24"/>
          <w:lang w:val="en-US" w:eastAsia="zh-CN"/>
        </w:rPr>
        <w:t>铁</w:t>
      </w:r>
      <w:r>
        <w:rPr>
          <w:rFonts w:hint="eastAsia" w:asciiTheme="minorEastAsia" w:hAnsiTheme="minorEastAsia" w:eastAsiaTheme="minorEastAsia" w:cstheme="minorEastAsia"/>
          <w:sz w:val="24"/>
        </w:rPr>
        <w:t>塔、金具等关键部件的连接螺栓</w:t>
      </w:r>
      <w:r>
        <w:rPr>
          <w:rFonts w:hint="eastAsia" w:ascii="宋体" w:hAnsi="宋体" w:eastAsia="宋体" w:cs="宋体"/>
          <w:sz w:val="24"/>
          <w:szCs w:val="24"/>
        </w:rPr>
        <w:t>的</w:t>
      </w:r>
      <w:r>
        <w:rPr>
          <w:rFonts w:hint="eastAsia" w:ascii="宋体" w:hAnsi="宋体" w:eastAsia="宋体" w:cs="宋体"/>
          <w:sz w:val="24"/>
          <w:szCs w:val="24"/>
          <w:lang w:val="en-US" w:eastAsia="zh-CN"/>
        </w:rPr>
        <w:t>型号及扭力数值标准等</w:t>
      </w:r>
      <w:r>
        <w:rPr>
          <w:rFonts w:hint="eastAsia" w:ascii="宋体" w:hAnsi="宋体" w:eastAsia="宋体" w:cs="宋体"/>
          <w:sz w:val="24"/>
          <w:szCs w:val="24"/>
        </w:rPr>
        <w:t>要求</w:t>
      </w:r>
      <w:r>
        <w:rPr>
          <w:rFonts w:hint="eastAsia" w:ascii="宋体" w:hAnsi="宋体" w:eastAsia="宋体" w:cs="宋体"/>
          <w:sz w:val="24"/>
          <w:szCs w:val="24"/>
          <w:lang w:eastAsia="zh-CN"/>
        </w:rPr>
        <w:t>，</w:t>
      </w:r>
      <w:r>
        <w:rPr>
          <w:rFonts w:ascii="宋体" w:hAnsi="宋体" w:eastAsia="宋体" w:cs="宋体"/>
          <w:sz w:val="24"/>
          <w:szCs w:val="24"/>
        </w:rPr>
        <w:t>需明确硬件要求。</w:t>
      </w:r>
    </w:p>
    <w:p w14:paraId="2C59F5FC">
      <w:pPr>
        <w:pStyle w:val="8"/>
        <w:rPr>
          <w:rFonts w:hint="eastAsia" w:ascii="宋体" w:hAnsi="宋体" w:cs="宋体"/>
          <w:sz w:val="24"/>
        </w:rPr>
      </w:pPr>
      <w:r>
        <w:rPr>
          <w:rFonts w:hint="eastAsia" w:ascii="宋体" w:hAnsi="宋体" w:cs="宋体"/>
          <w:sz w:val="24"/>
        </w:rPr>
        <w:t>4.2.2.5技术服务要求</w:t>
      </w:r>
    </w:p>
    <w:p w14:paraId="123E988B">
      <w:pPr>
        <w:ind w:firstLine="480" w:firstLineChars="200"/>
        <w:rPr>
          <w:rFonts w:hint="eastAsia"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14:paraId="066ED7BA">
      <w:pPr>
        <w:rPr>
          <w:rFonts w:hint="eastAsia" w:ascii="宋体" w:hAnsi="宋体" w:cs="宋体"/>
          <w:sz w:val="24"/>
        </w:rPr>
      </w:pPr>
      <w:r>
        <w:rPr>
          <w:rFonts w:hint="eastAsia" w:ascii="宋体" w:hAnsi="宋体" w:cs="宋体"/>
          <w:sz w:val="24"/>
        </w:rPr>
        <w:t>（1）验收合格后提供1年免费维护。</w:t>
      </w:r>
    </w:p>
    <w:p w14:paraId="6556BC21">
      <w:pPr>
        <w:rPr>
          <w:rFonts w:hint="eastAsia" w:ascii="宋体" w:hAnsi="宋体" w:cs="宋体"/>
          <w:sz w:val="24"/>
        </w:rPr>
      </w:pPr>
      <w:r>
        <w:rPr>
          <w:rFonts w:hint="eastAsia" w:ascii="宋体" w:hAnsi="宋体" w:cs="宋体"/>
          <w:sz w:val="24"/>
        </w:rPr>
        <w:t>（2）中标方在故障发生2小时响应处置。</w:t>
      </w:r>
    </w:p>
    <w:p w14:paraId="4B7C3BB8">
      <w:pPr>
        <w:rPr>
          <w:rFonts w:hint="eastAsia" w:ascii="宋体" w:hAnsi="宋体" w:cs="宋体"/>
          <w:sz w:val="24"/>
        </w:rPr>
      </w:pPr>
      <w:r>
        <w:rPr>
          <w:rFonts w:hint="eastAsia" w:ascii="宋体" w:hAnsi="宋体" w:cs="宋体"/>
          <w:sz w:val="24"/>
        </w:rPr>
        <w:t>提供充分的人员培训。</w:t>
      </w:r>
    </w:p>
    <w:p w14:paraId="780BD3BD">
      <w:pPr>
        <w:pStyle w:val="8"/>
        <w:rPr>
          <w:rFonts w:hint="eastAsia" w:ascii="宋体" w:hAnsi="宋体" w:cs="宋体"/>
          <w:sz w:val="24"/>
        </w:rPr>
      </w:pPr>
      <w:r>
        <w:rPr>
          <w:rFonts w:hint="eastAsia" w:ascii="宋体" w:hAnsi="宋体" w:cs="宋体"/>
          <w:sz w:val="24"/>
        </w:rPr>
        <w:t>4.2.2.6系统交付项</w:t>
      </w:r>
    </w:p>
    <w:p w14:paraId="78C6E7F4">
      <w:pPr>
        <w:ind w:firstLine="480" w:firstLineChars="200"/>
        <w:rPr>
          <w:rFonts w:hint="eastAsia" w:ascii="宋体" w:hAnsi="宋体" w:cs="宋体"/>
          <w:sz w:val="24"/>
        </w:rPr>
      </w:pPr>
      <w:r>
        <w:rPr>
          <w:rFonts w:hint="eastAsia" w:ascii="宋体" w:hAnsi="宋体" w:cs="宋体"/>
          <w:sz w:val="24"/>
        </w:rPr>
        <w:t>投标方应在合同规定时间内，向招标方提供相应资料，包括：</w:t>
      </w:r>
    </w:p>
    <w:p w14:paraId="59AD0899">
      <w:pPr>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1</w:t>
      </w:r>
      <w:r>
        <w:rPr>
          <w:rFonts w:hint="eastAsia" w:ascii="宋体" w:hAnsi="宋体" w:cs="宋体"/>
          <w:color w:val="000000"/>
          <w:sz w:val="24"/>
        </w:rPr>
        <w:t>）</w:t>
      </w:r>
      <w:r>
        <w:rPr>
          <w:rFonts w:hint="eastAsia" w:ascii="宋体" w:hAnsi="宋体" w:cs="宋体"/>
          <w:color w:val="000000"/>
          <w:sz w:val="24"/>
          <w:lang w:val="en-US" w:eastAsia="zh-CN"/>
        </w:rPr>
        <w:t>基于人工智能的数字扭力扳手数据分析平台安装包</w:t>
      </w:r>
      <w:r>
        <w:rPr>
          <w:rFonts w:hint="eastAsia" w:ascii="宋体" w:hAnsi="宋体" w:cs="宋体"/>
          <w:color w:val="000000"/>
          <w:sz w:val="24"/>
        </w:rPr>
        <w:t>文件</w:t>
      </w:r>
    </w:p>
    <w:p w14:paraId="7BB0CEC5">
      <w:pPr>
        <w:rPr>
          <w:rFonts w:hint="default" w:ascii="宋体" w:hAnsi="宋体" w:cs="宋体"/>
          <w:color w:val="000000"/>
          <w:sz w:val="24"/>
          <w:lang w:val="en-US" w:eastAsia="zh-CN"/>
        </w:rPr>
      </w:pPr>
      <w:r>
        <w:rPr>
          <w:rFonts w:hint="eastAsia" w:ascii="宋体" w:hAnsi="宋体" w:cs="宋体"/>
          <w:color w:val="000000"/>
          <w:sz w:val="24"/>
          <w:lang w:val="en-US" w:eastAsia="zh-CN"/>
        </w:rPr>
        <w:t>（3）基于人工智能数字扭力扳手装置样机</w:t>
      </w:r>
      <w:r>
        <w:rPr>
          <w:rFonts w:hint="eastAsia" w:ascii="宋体" w:hAnsi="宋体" w:cs="宋体"/>
          <w:sz w:val="24"/>
        </w:rPr>
        <w:t>用户操作手册</w:t>
      </w:r>
    </w:p>
    <w:p w14:paraId="5E2FC454">
      <w:pPr>
        <w:rPr>
          <w:rFonts w:hint="eastAsia" w:ascii="宋体" w:hAnsi="宋体" w:cs="宋体"/>
          <w:color w:val="000000"/>
          <w:sz w:val="24"/>
        </w:rPr>
      </w:pPr>
      <w:r>
        <w:rPr>
          <w:rFonts w:hint="eastAsia" w:ascii="宋体" w:hAnsi="宋体" w:cs="宋体"/>
          <w:color w:val="000000"/>
          <w:sz w:val="24"/>
        </w:rPr>
        <w:t>4.3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1"/>
    <w:bookmarkEnd w:id="12"/>
    <w:bookmarkEnd w:id="13"/>
    <w:bookmarkEnd w:id="14"/>
    <w:bookmarkEnd w:id="15"/>
    <w:bookmarkEnd w:id="16"/>
    <w:bookmarkEnd w:id="17"/>
    <w:bookmarkEnd w:id="18"/>
    <w:bookmarkEnd w:id="19"/>
    <w:bookmarkEnd w:id="20"/>
    <w:bookmarkEnd w:id="21"/>
    <w:p w14:paraId="698BA6D3">
      <w:pPr>
        <w:rPr>
          <w:rFonts w:hint="eastAsia" w:ascii="宋体" w:hAnsi="宋体" w:cs="宋体"/>
          <w:sz w:val="24"/>
        </w:rPr>
      </w:pPr>
      <w:bookmarkStart w:id="28" w:name="_Toc20013"/>
      <w:r>
        <w:rPr>
          <w:rFonts w:hint="eastAsia" w:ascii="宋体" w:hAnsi="宋体" w:cs="宋体"/>
          <w:sz w:val="24"/>
        </w:rPr>
        <w:t>4.4 研究成果。</w:t>
      </w:r>
      <w:bookmarkEnd w:id="28"/>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29" w:name="_Toc309593280"/>
      <w:bookmarkStart w:id="30" w:name="_Toc309805604"/>
      <w:bookmarkStart w:id="31" w:name="_Toc309593209"/>
      <w:bookmarkStart w:id="32" w:name="_Toc531004215"/>
      <w:bookmarkStart w:id="33" w:name="_Toc531004269"/>
      <w:bookmarkStart w:id="34" w:name="_Toc312827040"/>
      <w:bookmarkStart w:id="35" w:name="_Toc441483969"/>
      <w:bookmarkStart w:id="36" w:name="_Toc18633"/>
    </w:p>
    <w:p w14:paraId="2D8BE477">
      <w:pPr>
        <w:pStyle w:val="6"/>
        <w:rPr>
          <w:rFonts w:hint="eastAsia" w:hAnsi="宋体"/>
          <w:sz w:val="24"/>
        </w:rPr>
      </w:pPr>
      <w:r>
        <w:rPr>
          <w:rFonts w:hint="eastAsia" w:hAnsi="宋体" w:cs="宋体"/>
          <w:sz w:val="24"/>
          <w:szCs w:val="24"/>
        </w:rPr>
        <w:t xml:space="preserve">4.5 </w:t>
      </w:r>
      <w:r>
        <w:rPr>
          <w:rFonts w:hint="eastAsia" w:ascii="Times New Roman" w:hAnsi="Times New Roman"/>
          <w:sz w:val="24"/>
          <w:szCs w:val="24"/>
        </w:rPr>
        <w:t>技术服务其它要求。</w:t>
      </w:r>
      <w:r>
        <w:rPr>
          <w:rFonts w:hint="eastAsia" w:hAnsi="宋体"/>
          <w:sz w:val="24"/>
        </w:rPr>
        <w:t>除上述工作量范围以外，投标方负责组织项目评审会议、中期评审、项目相关协调会或研讨会，并负责会务及会议费用。</w:t>
      </w:r>
    </w:p>
    <w:p w14:paraId="6AC86DB6">
      <w:pPr>
        <w:autoSpaceDN w:val="0"/>
        <w:rPr>
          <w:rFonts w:hint="eastAsia" w:ascii="宋体" w:hAnsi="宋体"/>
          <w:sz w:val="24"/>
          <w:szCs w:val="21"/>
        </w:rPr>
      </w:pPr>
      <w:r>
        <w:rPr>
          <w:rFonts w:hint="eastAsia" w:ascii="宋体" w:hAnsi="宋体" w:cs="宋体"/>
          <w:sz w:val="24"/>
        </w:rPr>
        <w:t xml:space="preserve">4.6 </w:t>
      </w:r>
      <w:r>
        <w:rPr>
          <w:rFonts w:hint="eastAsia" w:ascii="宋体" w:hAnsi="宋体"/>
          <w:sz w:val="24"/>
          <w:szCs w:val="21"/>
        </w:rPr>
        <w:t>为保证投标方有效进行技术服务工作，招标方提供与项目有关的技术资料，并协助投标方协调项目实施过程中所需解决的事项。</w:t>
      </w:r>
    </w:p>
    <w:p w14:paraId="2625E012">
      <w:pPr>
        <w:pStyle w:val="6"/>
        <w:rPr>
          <w:rFonts w:hint="eastAsia" w:hAnsi="宋体"/>
          <w:sz w:val="24"/>
        </w:rPr>
      </w:pPr>
      <w:r>
        <w:rPr>
          <w:rFonts w:hint="eastAsia" w:hAnsi="宋体" w:cs="宋体"/>
          <w:sz w:val="24"/>
          <w:szCs w:val="24"/>
        </w:rPr>
        <w:t>4.7双</w:t>
      </w:r>
      <w:r>
        <w:rPr>
          <w:rFonts w:hint="eastAsia" w:hAnsi="宋体"/>
          <w:sz w:val="24"/>
        </w:rPr>
        <w:t>方确定，在项目进行期内，双方均指定项目联系人。项目联系人承担以下责任：</w:t>
      </w:r>
    </w:p>
    <w:p w14:paraId="1611DD3F">
      <w:pPr>
        <w:pStyle w:val="6"/>
        <w:ind w:left="465"/>
        <w:rPr>
          <w:rFonts w:hint="eastAsia" w:hAnsi="宋体"/>
          <w:sz w:val="24"/>
        </w:rPr>
      </w:pPr>
      <w:r>
        <w:rPr>
          <w:rFonts w:hint="eastAsia" w:ascii="Times New Roman" w:hAnsi="Times New Roman"/>
          <w:sz w:val="24"/>
        </w:rPr>
        <w:t>（1）沟通项目所需资料的收集</w:t>
      </w:r>
      <w:r>
        <w:rPr>
          <w:rFonts w:hint="eastAsia" w:hAnsi="宋体"/>
          <w:sz w:val="24"/>
        </w:rPr>
        <w:t>。</w:t>
      </w:r>
    </w:p>
    <w:p w14:paraId="46617109">
      <w:pPr>
        <w:pStyle w:val="6"/>
        <w:ind w:firstLine="480" w:firstLineChars="200"/>
        <w:rPr>
          <w:rFonts w:hint="eastAsia" w:hAnsi="宋体"/>
          <w:sz w:val="24"/>
        </w:rPr>
      </w:pPr>
      <w:r>
        <w:rPr>
          <w:rFonts w:hint="eastAsia" w:ascii="Times New Roman" w:hAnsi="Times New Roman"/>
          <w:sz w:val="24"/>
        </w:rPr>
        <w:t>（2）沟通项目进度信息。</w:t>
      </w:r>
    </w:p>
    <w:p w14:paraId="233A341F">
      <w:pPr>
        <w:pStyle w:val="6"/>
        <w:ind w:left="465"/>
        <w:rPr>
          <w:rFonts w:hint="eastAsia" w:hAnsi="宋体"/>
          <w:sz w:val="24"/>
        </w:rPr>
      </w:pPr>
      <w:r>
        <w:rPr>
          <w:rFonts w:hint="eastAsia" w:ascii="Times New Roman" w:hAnsi="Times New Roman"/>
          <w:sz w:val="24"/>
        </w:rPr>
        <w:t>（3）协商解决项目执行过程中遇到的问题。</w:t>
      </w:r>
    </w:p>
    <w:p w14:paraId="0AEE588A">
      <w:pPr>
        <w:pStyle w:val="6"/>
        <w:ind w:firstLine="480" w:firstLineChars="200"/>
        <w:rPr>
          <w:rFonts w:hint="eastAsia"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74C76059">
      <w:pPr>
        <w:pStyle w:val="6"/>
        <w:rPr>
          <w:rFonts w:hint="eastAsia" w:hAnsi="宋体"/>
          <w:sz w:val="24"/>
        </w:rPr>
      </w:pPr>
      <w:r>
        <w:rPr>
          <w:rFonts w:hint="eastAsia" w:hAnsi="宋体" w:cs="宋体"/>
          <w:sz w:val="24"/>
          <w:szCs w:val="24"/>
        </w:rPr>
        <w:t>4.8双</w:t>
      </w:r>
      <w:r>
        <w:rPr>
          <w:rFonts w:hAnsi="宋体"/>
          <w:sz w:val="24"/>
        </w:rPr>
        <w:t>方确定</w:t>
      </w:r>
      <w:r>
        <w:rPr>
          <w:rFonts w:hint="eastAsia" w:hAnsi="宋体"/>
          <w:sz w:val="24"/>
        </w:rPr>
        <w:t>项目有关</w:t>
      </w:r>
      <w:r>
        <w:rPr>
          <w:rFonts w:hAnsi="宋体"/>
          <w:sz w:val="24"/>
        </w:rPr>
        <w:t>保密义务如下：</w:t>
      </w:r>
    </w:p>
    <w:p w14:paraId="1FC83BB5">
      <w:pPr>
        <w:pStyle w:val="6"/>
        <w:ind w:firstLine="240"/>
        <w:rPr>
          <w:rFonts w:hint="eastAsia" w:hAnsi="宋体"/>
          <w:sz w:val="24"/>
        </w:rPr>
      </w:pPr>
      <w:r>
        <w:rPr>
          <w:rFonts w:hAnsi="宋体"/>
          <w:sz w:val="24"/>
        </w:rPr>
        <w:t xml:space="preserve">    </w:t>
      </w:r>
      <w:r>
        <w:rPr>
          <w:rFonts w:hint="eastAsia" w:hAnsi="宋体"/>
          <w:sz w:val="24"/>
        </w:rPr>
        <w:t>招标方</w:t>
      </w:r>
      <w:r>
        <w:rPr>
          <w:rFonts w:hAnsi="宋体"/>
          <w:sz w:val="24"/>
        </w:rPr>
        <w:t>：</w:t>
      </w:r>
    </w:p>
    <w:p w14:paraId="5FA74E84">
      <w:pPr>
        <w:pStyle w:val="6"/>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307C0DE6">
      <w:pPr>
        <w:pStyle w:val="6"/>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222DF245">
      <w:pPr>
        <w:pStyle w:val="6"/>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57B40001">
      <w:pPr>
        <w:pStyle w:val="6"/>
        <w:ind w:firstLine="720" w:firstLineChars="300"/>
        <w:rPr>
          <w:rFonts w:hint="eastAsia"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2F711662">
      <w:pPr>
        <w:pStyle w:val="6"/>
        <w:ind w:firstLine="240"/>
        <w:rPr>
          <w:rFonts w:hint="eastAsia" w:hAnsi="宋体"/>
          <w:sz w:val="24"/>
        </w:rPr>
      </w:pPr>
      <w:r>
        <w:rPr>
          <w:rFonts w:hAnsi="宋体"/>
          <w:sz w:val="24"/>
        </w:rPr>
        <w:t xml:space="preserve">    </w:t>
      </w:r>
      <w:r>
        <w:rPr>
          <w:rFonts w:hint="eastAsia" w:hAnsi="宋体"/>
          <w:sz w:val="24"/>
        </w:rPr>
        <w:t>投标方</w:t>
      </w:r>
      <w:r>
        <w:rPr>
          <w:rFonts w:hAnsi="宋体"/>
          <w:sz w:val="24"/>
        </w:rPr>
        <w:t xml:space="preserve">：  </w:t>
      </w:r>
    </w:p>
    <w:p w14:paraId="20747649">
      <w:pPr>
        <w:pStyle w:val="6"/>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EEA8957">
      <w:pPr>
        <w:pStyle w:val="6"/>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76A398A2">
      <w:pPr>
        <w:pStyle w:val="6"/>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7D236A5F">
      <w:pPr>
        <w:pStyle w:val="6"/>
        <w:ind w:firstLine="720" w:firstLineChars="300"/>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2B4B187">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5.项目验收</w:t>
      </w:r>
      <w:bookmarkEnd w:id="29"/>
      <w:bookmarkEnd w:id="30"/>
      <w:bookmarkEnd w:id="31"/>
      <w:bookmarkEnd w:id="32"/>
      <w:bookmarkEnd w:id="33"/>
      <w:bookmarkEnd w:id="34"/>
      <w:bookmarkEnd w:id="35"/>
    </w:p>
    <w:p w14:paraId="790B5AFC">
      <w:pPr>
        <w:rPr>
          <w:rFonts w:hint="eastAsia" w:ascii="宋体" w:hAnsi="宋体" w:cs="宋体"/>
          <w:sz w:val="24"/>
        </w:rPr>
      </w:pPr>
      <w:r>
        <w:rPr>
          <w:rFonts w:hint="eastAsia" w:ascii="宋体" w:hAnsi="宋体" w:cs="宋体"/>
          <w:sz w:val="24"/>
        </w:rPr>
        <w:t>5.1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43AE78AC">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6 其他要求</w:t>
      </w:r>
      <w:bookmarkEnd w:id="36"/>
    </w:p>
    <w:p w14:paraId="17583388">
      <w:pPr>
        <w:rPr>
          <w:rFonts w:hint="eastAsia" w:ascii="宋体" w:hAnsi="宋体" w:cs="宋体"/>
          <w:sz w:val="24"/>
        </w:rPr>
      </w:pPr>
      <w:r>
        <w:rPr>
          <w:rFonts w:hint="eastAsia" w:ascii="宋体" w:hAnsi="宋体" w:cs="宋体"/>
          <w:sz w:val="24"/>
        </w:rPr>
        <w:t>6.1 进度控制以投标方向招标方提交的报告为考核依据，按期执行、推进相应工作，保障任务最终完成的时间节点。</w:t>
      </w:r>
    </w:p>
    <w:p w14:paraId="2DBDA21A">
      <w:pPr>
        <w:rPr>
          <w:rFonts w:hint="eastAsia" w:ascii="宋体" w:hAnsi="宋体" w:cs="宋体"/>
          <w:sz w:val="24"/>
        </w:rPr>
      </w:pPr>
      <w:r>
        <w:rPr>
          <w:rFonts w:hint="eastAsia" w:ascii="宋体" w:hAnsi="宋体" w:cs="宋体"/>
          <w:sz w:val="24"/>
        </w:rPr>
        <w:t>6.2 招标方有义务协助投标方开展相关沟通协调工作，但投标方须按照本技术规范书第二部分服务范围及要求的时间节点，完成各项工作。</w:t>
      </w:r>
    </w:p>
    <w:p w14:paraId="5F00940A">
      <w:pPr>
        <w:rPr>
          <w:rFonts w:hint="eastAsia" w:ascii="宋体" w:hAnsi="宋体" w:cs="宋体"/>
          <w:sz w:val="24"/>
        </w:rPr>
      </w:pPr>
      <w:r>
        <w:rPr>
          <w:rFonts w:hint="eastAsia" w:ascii="宋体" w:hAnsi="宋体" w:cs="宋体"/>
          <w:sz w:val="24"/>
        </w:rPr>
        <w:t>6.3 投标方应按照工作计划，明晰组织结构，明确责任人，成立专业团队，加紧开展工作。</w:t>
      </w:r>
    </w:p>
    <w:p w14:paraId="343C203F">
      <w:pPr>
        <w:rPr>
          <w:rFonts w:hint="eastAsia" w:ascii="宋体" w:hAnsi="宋体" w:cs="宋体"/>
          <w:sz w:val="24"/>
        </w:rPr>
      </w:pPr>
      <w:r>
        <w:rPr>
          <w:rFonts w:hint="eastAsia" w:ascii="宋体" w:hAnsi="宋体" w:cs="宋体"/>
          <w:sz w:val="24"/>
        </w:rPr>
        <w:t>6.4 工作过程中出现报告质量与完整性不足的情况，投标方应负责辅导更正。</w:t>
      </w:r>
    </w:p>
    <w:p w14:paraId="01ADD7D9">
      <w:pPr>
        <w:rPr>
          <w:rFonts w:hint="eastAsia" w:ascii="宋体" w:hAnsi="宋体" w:cs="宋体"/>
          <w:sz w:val="24"/>
        </w:rPr>
      </w:pPr>
      <w:r>
        <w:rPr>
          <w:rFonts w:hint="eastAsia" w:ascii="宋体" w:hAnsi="宋体" w:cs="宋体"/>
          <w:sz w:val="24"/>
        </w:rPr>
        <w:t>6.5 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PingFang-SC-Regular">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KSOF7FC4CF2A">
    <w:panose1 w:val="020B0604020202020204"/>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88EB81"/>
    <w:multiLevelType w:val="singleLevel"/>
    <w:tmpl w:val="BE88EB81"/>
    <w:lvl w:ilvl="0" w:tentative="0">
      <w:start w:val="1"/>
      <w:numFmt w:val="chineseCounting"/>
      <w:suff w:val="nothing"/>
      <w:lvlText w:val="%1、"/>
      <w:lvlJc w:val="left"/>
      <w:rPr>
        <w:rFonts w:hint="eastAsia"/>
      </w:rPr>
    </w:lvl>
  </w:abstractNum>
  <w:abstractNum w:abstractNumId="1">
    <w:nsid w:val="CF89C16B"/>
    <w:multiLevelType w:val="singleLevel"/>
    <w:tmpl w:val="CF89C16B"/>
    <w:lvl w:ilvl="0" w:tentative="0">
      <w:start w:val="1"/>
      <w:numFmt w:val="decimal"/>
      <w:suff w:val="nothing"/>
      <w:lvlText w:val="（%1）"/>
      <w:lvlJc w:val="left"/>
    </w:lvl>
  </w:abstractNum>
  <w:abstractNum w:abstractNumId="2">
    <w:nsid w:val="00000010"/>
    <w:multiLevelType w:val="multilevel"/>
    <w:tmpl w:val="00000010"/>
    <w:lvl w:ilvl="0" w:tentative="0">
      <w:start w:val="1"/>
      <w:numFmt w:val="decimal"/>
      <w:pStyle w:val="2"/>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abstractNum w:abstractNumId="3">
    <w:nsid w:val="762FFCCC"/>
    <w:multiLevelType w:val="singleLevel"/>
    <w:tmpl w:val="762FFCCC"/>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B5C76"/>
    <w:rsid w:val="00134895"/>
    <w:rsid w:val="00180D33"/>
    <w:rsid w:val="00291379"/>
    <w:rsid w:val="003A4DD8"/>
    <w:rsid w:val="004A72AF"/>
    <w:rsid w:val="00531528"/>
    <w:rsid w:val="00533971"/>
    <w:rsid w:val="00583545"/>
    <w:rsid w:val="0058678F"/>
    <w:rsid w:val="005C42BD"/>
    <w:rsid w:val="006D6C23"/>
    <w:rsid w:val="006F59F4"/>
    <w:rsid w:val="007318D0"/>
    <w:rsid w:val="00746122"/>
    <w:rsid w:val="007C6002"/>
    <w:rsid w:val="0081520A"/>
    <w:rsid w:val="00825484"/>
    <w:rsid w:val="009648F6"/>
    <w:rsid w:val="00975AE9"/>
    <w:rsid w:val="009D048B"/>
    <w:rsid w:val="00A5073F"/>
    <w:rsid w:val="00A9312B"/>
    <w:rsid w:val="00AA6538"/>
    <w:rsid w:val="00AA7138"/>
    <w:rsid w:val="00AE4439"/>
    <w:rsid w:val="00B5473C"/>
    <w:rsid w:val="00B548A2"/>
    <w:rsid w:val="00C50F57"/>
    <w:rsid w:val="00CA3628"/>
    <w:rsid w:val="00CC1C57"/>
    <w:rsid w:val="00D235DA"/>
    <w:rsid w:val="00D620BA"/>
    <w:rsid w:val="00D70460"/>
    <w:rsid w:val="00DD609C"/>
    <w:rsid w:val="00E4648D"/>
    <w:rsid w:val="00F11A8A"/>
    <w:rsid w:val="00F73F8D"/>
    <w:rsid w:val="00FA086C"/>
    <w:rsid w:val="01543C57"/>
    <w:rsid w:val="040F0075"/>
    <w:rsid w:val="04340829"/>
    <w:rsid w:val="06D27AF8"/>
    <w:rsid w:val="06F2484F"/>
    <w:rsid w:val="088A7F5F"/>
    <w:rsid w:val="08BC2462"/>
    <w:rsid w:val="09CC0FD8"/>
    <w:rsid w:val="0A210078"/>
    <w:rsid w:val="0C030754"/>
    <w:rsid w:val="0CA05D46"/>
    <w:rsid w:val="0F966A31"/>
    <w:rsid w:val="10550F6F"/>
    <w:rsid w:val="12BD66DE"/>
    <w:rsid w:val="13132954"/>
    <w:rsid w:val="149A59CD"/>
    <w:rsid w:val="163A1216"/>
    <w:rsid w:val="166F3EB8"/>
    <w:rsid w:val="191A5617"/>
    <w:rsid w:val="1B7A15F1"/>
    <w:rsid w:val="1F4C5B16"/>
    <w:rsid w:val="1F8A11CF"/>
    <w:rsid w:val="22431066"/>
    <w:rsid w:val="23D05B4F"/>
    <w:rsid w:val="27FA20BD"/>
    <w:rsid w:val="28677108"/>
    <w:rsid w:val="2BC76C50"/>
    <w:rsid w:val="2C4C628B"/>
    <w:rsid w:val="2D112F45"/>
    <w:rsid w:val="2DB575CA"/>
    <w:rsid w:val="2E9A689E"/>
    <w:rsid w:val="2F036DE8"/>
    <w:rsid w:val="2F8649A3"/>
    <w:rsid w:val="30936BC2"/>
    <w:rsid w:val="319B592F"/>
    <w:rsid w:val="31D450F3"/>
    <w:rsid w:val="33F27DDD"/>
    <w:rsid w:val="35577297"/>
    <w:rsid w:val="36515C79"/>
    <w:rsid w:val="373C54BB"/>
    <w:rsid w:val="37643739"/>
    <w:rsid w:val="37AC319E"/>
    <w:rsid w:val="37E33064"/>
    <w:rsid w:val="3B4F326E"/>
    <w:rsid w:val="3C0F5DF2"/>
    <w:rsid w:val="3E6B5B61"/>
    <w:rsid w:val="3EF75647"/>
    <w:rsid w:val="40C512FC"/>
    <w:rsid w:val="42817701"/>
    <w:rsid w:val="42C6746E"/>
    <w:rsid w:val="42EE5CD4"/>
    <w:rsid w:val="44E126D9"/>
    <w:rsid w:val="45D97826"/>
    <w:rsid w:val="45F20916"/>
    <w:rsid w:val="46DF0E9A"/>
    <w:rsid w:val="48736764"/>
    <w:rsid w:val="48D82303"/>
    <w:rsid w:val="4D3F13B6"/>
    <w:rsid w:val="4DFF75F2"/>
    <w:rsid w:val="52420D12"/>
    <w:rsid w:val="53A60BE2"/>
    <w:rsid w:val="56061A78"/>
    <w:rsid w:val="5643156F"/>
    <w:rsid w:val="57AF48B9"/>
    <w:rsid w:val="592823C4"/>
    <w:rsid w:val="5981212C"/>
    <w:rsid w:val="5B187842"/>
    <w:rsid w:val="5D615387"/>
    <w:rsid w:val="5FE64BF0"/>
    <w:rsid w:val="61C27952"/>
    <w:rsid w:val="62DB3950"/>
    <w:rsid w:val="637B25C6"/>
    <w:rsid w:val="63D72C4E"/>
    <w:rsid w:val="6470717E"/>
    <w:rsid w:val="66FE4F15"/>
    <w:rsid w:val="68C8466A"/>
    <w:rsid w:val="68F22857"/>
    <w:rsid w:val="69A41DA4"/>
    <w:rsid w:val="69BA736E"/>
    <w:rsid w:val="6A5A6906"/>
    <w:rsid w:val="6BCF0AA5"/>
    <w:rsid w:val="6BEF5D56"/>
    <w:rsid w:val="6E062826"/>
    <w:rsid w:val="6F664872"/>
    <w:rsid w:val="6F942155"/>
    <w:rsid w:val="704439AD"/>
    <w:rsid w:val="725B0573"/>
    <w:rsid w:val="74366DF1"/>
    <w:rsid w:val="74F35D39"/>
    <w:rsid w:val="75083064"/>
    <w:rsid w:val="75110011"/>
    <w:rsid w:val="79694470"/>
    <w:rsid w:val="7D5140B3"/>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3">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99"/>
    <w:pPr>
      <w:ind w:firstLine="880" w:firstLineChars="200"/>
    </w:pPr>
    <w:rPr>
      <w:rFonts w:ascii="仿宋_GB2312" w:hAnsi="仿宋_GB2312" w:eastAsia="仿宋_GB2312" w:cs="Arial"/>
      <w:sz w:val="32"/>
      <w:szCs w:val="20"/>
    </w:rPr>
  </w:style>
  <w:style w:type="paragraph" w:styleId="5">
    <w:name w:val="Body Text Indent"/>
    <w:basedOn w:val="1"/>
    <w:unhideWhenUsed/>
    <w:qFormat/>
    <w:uiPriority w:val="99"/>
    <w:pPr>
      <w:spacing w:after="120"/>
      <w:ind w:left="420" w:leftChars="200"/>
    </w:pPr>
  </w:style>
  <w:style w:type="paragraph" w:styleId="6">
    <w:name w:val="Plain Text"/>
    <w:basedOn w:val="1"/>
    <w:qFormat/>
    <w:uiPriority w:val="0"/>
    <w:rPr>
      <w:rFonts w:ascii="宋体" w:hAnsi="Courier New"/>
      <w:szCs w:val="21"/>
    </w:rPr>
  </w:style>
  <w:style w:type="paragraph" w:styleId="7">
    <w:name w:val="footer"/>
    <w:basedOn w:val="1"/>
    <w:qFormat/>
    <w:uiPriority w:val="99"/>
    <w:pPr>
      <w:tabs>
        <w:tab w:val="center" w:pos="4153"/>
        <w:tab w:val="right" w:pos="8306"/>
      </w:tabs>
      <w:snapToGrid w:val="0"/>
    </w:pPr>
    <w:rPr>
      <w:sz w:val="18"/>
      <w:szCs w:val="18"/>
    </w:rPr>
  </w:style>
  <w:style w:type="paragraph" w:styleId="8">
    <w:name w:val="toc 2"/>
    <w:basedOn w:val="1"/>
    <w:next w:val="1"/>
    <w:unhideWhenUsed/>
    <w:qFormat/>
    <w:uiPriority w:val="39"/>
    <w:pPr>
      <w:widowControl/>
      <w:spacing w:after="100" w:line="259" w:lineRule="auto"/>
      <w:ind w:left="220"/>
    </w:pPr>
    <w:rPr>
      <w:kern w:val="0"/>
      <w:sz w:val="22"/>
    </w:rPr>
  </w:style>
  <w:style w:type="paragraph" w:styleId="9">
    <w:name w:val="Normal (Web)"/>
    <w:basedOn w:val="1"/>
    <w:qFormat/>
    <w:uiPriority w:val="0"/>
    <w:pPr>
      <w:spacing w:beforeAutospacing="1" w:afterAutospacing="1"/>
    </w:pPr>
    <w:rPr>
      <w:kern w:val="0"/>
      <w:sz w:val="24"/>
    </w:rPr>
  </w:style>
  <w:style w:type="paragraph" w:styleId="10">
    <w:name w:val="Title"/>
    <w:basedOn w:val="1"/>
    <w:next w:val="1"/>
    <w:qFormat/>
    <w:uiPriority w:val="99"/>
    <w:pPr>
      <w:spacing w:before="240" w:after="60"/>
      <w:jc w:val="center"/>
      <w:outlineLvl w:val="0"/>
    </w:pPr>
    <w:rPr>
      <w:rFonts w:ascii="Arial" w:hAnsi="Arial"/>
      <w:b/>
      <w:bCs/>
      <w:sz w:val="32"/>
      <w:szCs w:val="32"/>
    </w:rPr>
  </w:style>
  <w:style w:type="paragraph" w:styleId="11">
    <w:name w:val="Body Text First Indent 2"/>
    <w:basedOn w:val="5"/>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4789</Words>
  <Characters>5099</Characters>
  <Lines>32</Lines>
  <Paragraphs>9</Paragraphs>
  <TotalTime>8</TotalTime>
  <ScaleCrop>false</ScaleCrop>
  <LinksUpToDate>false</LinksUpToDate>
  <CharactersWithSpaces>5165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韬哥</cp:lastModifiedBy>
  <dcterms:modified xsi:type="dcterms:W3CDTF">2026-06-17T13:43:00Z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224DF73AD5FC46EA98D1EDFB83436311_13</vt:lpwstr>
  </property>
  <property fmtid="{D5CDD505-2E9C-101B-9397-08002B2CF9AE}" pid="4" name="KSOTemplateDocerSaveRecord">
    <vt:lpwstr>eyJoZGlkIjoiMTBiZDA2MGQ3MjFhYmJiNzEwNjE0MzA4ZTAyYTIxMzQiLCJ1c2VySWQiOiI1MjY2MjI5OTAifQ==</vt:lpwstr>
  </property>
</Properties>
</file>