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eastAsia="黑体"/>
          <w:b/>
          <w:sz w:val="52"/>
        </w:rPr>
      </w:pPr>
      <w:bookmarkStart w:id="49" w:name="_GoBack"/>
      <w:r>
        <w:rPr>
          <w:rFonts w:hint="eastAsia" w:eastAsia="黑体"/>
          <w:b/>
          <w:sz w:val="52"/>
        </w:rPr>
        <w:t>防误动型压力释放阀固定装置</w:t>
      </w:r>
      <w:r>
        <w:rPr>
          <w:rFonts w:hint="eastAsia" w:eastAsia="黑体"/>
          <w:b/>
          <w:sz w:val="52"/>
          <w:lang w:val="en-US" w:eastAsia="zh-CN"/>
        </w:rPr>
        <w:t>研究与应用</w:t>
      </w:r>
      <w:r>
        <w:rPr>
          <w:rFonts w:eastAsia="黑体"/>
          <w:b/>
          <w:sz w:val="52"/>
        </w:rPr>
        <w:t>技术规范书</w:t>
      </w:r>
    </w:p>
    <w:bookmarkEnd w:id="49"/>
    <w:p>
      <w:pPr>
        <w:adjustRightInd w:val="0"/>
        <w:snapToGrid w:val="0"/>
        <w:rPr>
          <w:sz w:val="28"/>
          <w:szCs w:val="36"/>
        </w:rPr>
      </w:pPr>
    </w:p>
    <w:p>
      <w:pPr>
        <w:pStyle w:val="11"/>
      </w:pPr>
    </w:p>
    <w:p>
      <w:pPr>
        <w:adjustRightInd w:val="0"/>
        <w:snapToGrid w:val="0"/>
        <w:rPr>
          <w:sz w:val="28"/>
          <w:szCs w:val="36"/>
        </w:rPr>
      </w:pPr>
    </w:p>
    <w:p>
      <w:pPr>
        <w:pStyle w:val="11"/>
        <w:rPr>
          <w:sz w:val="28"/>
          <w:szCs w:val="36"/>
        </w:rPr>
      </w:pPr>
    </w:p>
    <w:p>
      <w:pPr>
        <w:pStyle w:val="11"/>
        <w:rPr>
          <w:sz w:val="28"/>
          <w:szCs w:val="36"/>
        </w:rPr>
      </w:pPr>
    </w:p>
    <w:p>
      <w:pPr>
        <w:pStyle w:val="11"/>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w:t>
      </w:r>
      <w:bookmarkStart w:id="0" w:name="OLE_LINK2"/>
      <w:r>
        <w:rPr>
          <w:rFonts w:hint="eastAsia"/>
          <w:color w:val="auto"/>
          <w:szCs w:val="21"/>
        </w:rPr>
        <w:t>防误动型压力释放阀固定装置</w:t>
      </w:r>
      <w:bookmarkEnd w:id="0"/>
      <w:r>
        <w:rPr>
          <w:rFonts w:hint="eastAsia"/>
          <w:color w:val="auto"/>
          <w:szCs w:val="21"/>
          <w:lang w:val="en-US" w:eastAsia="zh-CN"/>
        </w:rPr>
        <w:t>研究</w:t>
      </w:r>
      <w:r>
        <w:rPr>
          <w:rFonts w:hint="eastAsia"/>
          <w:color w:val="auto"/>
          <w:szCs w:val="21"/>
        </w:rPr>
        <w:t>与应用</w:t>
      </w:r>
      <w:r>
        <w:rPr>
          <w:rFonts w:hint="eastAsia" w:asciiTheme="minorEastAsia" w:hAnsiTheme="minorEastAsia" w:eastAsiaTheme="minorEastAsia" w:cstheme="minorEastAsia"/>
          <w:sz w:val="24"/>
        </w:rPr>
        <w:t>》研发、试制、现场试验、验收及交付全过程，明确工具设计、材料、结构、性能、试验、交付、售后全维度最低技术要求，投标方需提供完全满足本规范要求的成套工具及配套技术资料。</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pPr>
        <w:snapToGrid w:val="0"/>
        <w:spacing w:before="120"/>
        <w:rPr>
          <w:rFonts w:ascii="黑体" w:hAnsi="黑体" w:eastAsia="黑体" w:cs="黑体"/>
          <w:b/>
          <w:bCs/>
          <w:sz w:val="28"/>
          <w:szCs w:val="36"/>
        </w:rPr>
      </w:pPr>
      <w:bookmarkStart w:id="1" w:name="_Toc26376"/>
      <w:bookmarkStart w:id="2" w:name="_Toc155114607"/>
      <w:bookmarkStart w:id="3" w:name="_Toc241911995"/>
      <w:r>
        <w:rPr>
          <w:rFonts w:hint="eastAsia" w:ascii="黑体" w:hAnsi="黑体" w:eastAsia="黑体" w:cs="黑体"/>
          <w:b/>
          <w:bCs/>
          <w:sz w:val="28"/>
          <w:szCs w:val="36"/>
        </w:rPr>
        <w:t xml:space="preserve">2 </w:t>
      </w:r>
      <w:bookmarkEnd w:id="1"/>
      <w:bookmarkStart w:id="4" w:name="_Toc531004210"/>
      <w:bookmarkStart w:id="5" w:name="_Toc441483964"/>
      <w:bookmarkStart w:id="6" w:name="_Toc531004264"/>
      <w:r>
        <w:rPr>
          <w:rFonts w:hint="eastAsia" w:ascii="黑体" w:hAnsi="黑体" w:eastAsia="黑体" w:cs="黑体"/>
          <w:b/>
          <w:bCs/>
          <w:sz w:val="28"/>
          <w:szCs w:val="36"/>
        </w:rPr>
        <w:t>项目有关内容</w:t>
      </w:r>
      <w:bookmarkEnd w:id="4"/>
      <w:bookmarkEnd w:id="5"/>
      <w:bookmarkEnd w:id="6"/>
    </w:p>
    <w:p>
      <w:pPr>
        <w:rPr>
          <w:rFonts w:hint="eastAsia" w:asciiTheme="minorEastAsia" w:hAnsiTheme="minorEastAsia" w:eastAsiaTheme="minorEastAsia" w:cstheme="minorEastAsia"/>
          <w:sz w:val="24"/>
        </w:rPr>
      </w:pPr>
      <w:bookmarkStart w:id="7" w:name="_Toc312827019"/>
      <w:bookmarkStart w:id="8" w:name="_Toc309593188"/>
      <w:bookmarkStart w:id="9" w:name="_Toc309593259"/>
      <w:bookmarkStart w:id="10" w:name="_Toc309805583"/>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7"/>
      <w:bookmarkEnd w:id="8"/>
      <w:bookmarkEnd w:id="9"/>
      <w:bookmarkEnd w:id="10"/>
    </w:p>
    <w:p>
      <w:pPr>
        <w:rPr>
          <w:rFonts w:hint="eastAsia" w:asciiTheme="minorEastAsia" w:hAnsiTheme="minorEastAsia" w:eastAsiaTheme="minorEastAsia" w:cstheme="minorEastAsia"/>
          <w:sz w:val="24"/>
          <w:szCs w:val="24"/>
        </w:rPr>
      </w:pPr>
      <w:bookmarkStart w:id="11" w:name="OLE_LINK4"/>
      <w:r>
        <w:rPr>
          <w:rFonts w:hint="eastAsia"/>
          <w:color w:val="auto"/>
          <w:sz w:val="24"/>
          <w:szCs w:val="24"/>
        </w:rPr>
        <w:t>防误动型压力释放阀固定装置</w:t>
      </w:r>
      <w:bookmarkEnd w:id="11"/>
      <w:r>
        <w:rPr>
          <w:rFonts w:hint="eastAsia"/>
          <w:color w:val="auto"/>
          <w:sz w:val="24"/>
          <w:szCs w:val="24"/>
          <w:lang w:val="en-US" w:eastAsia="zh-CN"/>
        </w:rPr>
        <w:t>研究</w:t>
      </w:r>
      <w:r>
        <w:rPr>
          <w:rFonts w:hint="eastAsia"/>
          <w:color w:val="auto"/>
          <w:sz w:val="24"/>
          <w:szCs w:val="24"/>
        </w:rPr>
        <w:t>与应用</w:t>
      </w:r>
    </w:p>
    <w:p>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背景</w:t>
      </w:r>
    </w:p>
    <w:p>
      <w:pPr>
        <w:widowControl w:val="0"/>
        <w:numPr>
          <w:ilvl w:val="0"/>
          <w:numId w:val="0"/>
        </w:numPr>
        <w:spacing w:beforeAutospacing="0" w:afterAutospacing="0" w:line="360" w:lineRule="auto"/>
        <w:ind w:firstLine="480" w:firstLineChars="200"/>
        <w:jc w:val="both"/>
        <w:outlineLvl w:val="0"/>
        <w:rPr>
          <w:rFonts w:hint="eastAsia" w:ascii="宋体" w:hAnsi="宋体" w:eastAsia="宋体" w:cs="宋体"/>
          <w:sz w:val="24"/>
          <w:szCs w:val="24"/>
        </w:rPr>
      </w:pPr>
      <w:bookmarkStart w:id="12" w:name="OLE_LINK5"/>
      <w:r>
        <w:rPr>
          <w:rFonts w:hint="eastAsia" w:ascii="宋体" w:hAnsi="宋体" w:eastAsia="宋体" w:cs="宋体"/>
          <w:sz w:val="24"/>
          <w:szCs w:val="24"/>
          <w:lang w:val="en-US" w:eastAsia="zh-CN"/>
        </w:rPr>
        <w:t>根据公司年度检修重点设备及相关要求，</w:t>
      </w:r>
      <w:bookmarkStart w:id="13" w:name="OLE_LINK3"/>
      <w:r>
        <w:rPr>
          <w:rFonts w:hint="eastAsia" w:ascii="宋体" w:hAnsi="宋体" w:eastAsia="宋体" w:cs="宋体"/>
          <w:sz w:val="24"/>
          <w:szCs w:val="24"/>
          <w:lang w:val="en-US" w:eastAsia="zh-CN"/>
        </w:rPr>
        <w:t>为做好500kV传奇穿杆式套管风险管控，每年需开展一次传奇套管卷制管取油</w:t>
      </w:r>
      <w:r>
        <w:rPr>
          <w:rFonts w:hint="eastAsia" w:ascii="宋体" w:hAnsi="宋体" w:eastAsia="宋体" w:cs="宋体"/>
          <w:sz w:val="24"/>
          <w:szCs w:val="24"/>
        </w:rPr>
        <w:t>，用于色谱分析、耐压试验等，</w:t>
      </w:r>
      <w:r>
        <w:rPr>
          <w:rFonts w:hint="eastAsia" w:ascii="宋体" w:hAnsi="宋体" w:eastAsia="宋体" w:cs="宋体"/>
          <w:sz w:val="24"/>
          <w:szCs w:val="24"/>
          <w:lang w:val="en-US" w:eastAsia="zh-CN"/>
        </w:rPr>
        <w:t>来</w:t>
      </w:r>
      <w:r>
        <w:rPr>
          <w:rFonts w:hint="eastAsia" w:ascii="宋体" w:hAnsi="宋体" w:eastAsia="宋体" w:cs="宋体"/>
          <w:sz w:val="24"/>
          <w:szCs w:val="24"/>
        </w:rPr>
        <w:t>判断设备内部健康状态。目前，为确保油样能顺利从套管底部到达顶部取样阀，常采用向变压器油枕胶囊内充入干燥氮气的方法，利用气体压力将本体油压入套管升高座及套管内部。然而，该方法存在一个显著的安全风险与操作瓶颈：在充气加压过程中，变压器本体的压力释放阀（一种重要的非电量保护装置）可能因压力波动或操作不当而意外动作（误动）。一旦误动，将导致绝缘油喷溅、甚至引发虚假故障信号，造成人力、物力的浪费及潜在的安全隐患。目前现场缺乏一种专用、安全、便捷的工具，在作业期间对压力释放阀进行可靠的临时性固定，防止其误动。因此，研制一款专用防误动型压力释放阀固定装置，实现作业期间对压力释放阀的快速、可靠、无损固定，作业后便捷恢复，具有极强的现场必要性和实用性。</w:t>
      </w:r>
      <w:bookmarkEnd w:id="12"/>
    </w:p>
    <w:bookmarkEnd w:id="13"/>
    <w:p>
      <w:pPr>
        <w:rPr>
          <w:rFonts w:hint="eastAsia" w:asciiTheme="minorEastAsia" w:hAnsiTheme="minorEastAsia" w:eastAsiaTheme="minorEastAsia" w:cstheme="minorEastAsia"/>
          <w:sz w:val="24"/>
          <w:lang w:eastAsia="zh-CN"/>
        </w:rPr>
      </w:pPr>
      <w:bookmarkStart w:id="14" w:name="OLE_LINK1"/>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2"/>
    <w:bookmarkEnd w:id="3"/>
    <w:bookmarkEnd w:id="14"/>
    <w:p>
      <w:pPr>
        <w:widowControl w:val="0"/>
        <w:numPr>
          <w:ilvl w:val="0"/>
          <w:numId w:val="0"/>
        </w:numPr>
        <w:spacing w:beforeAutospacing="0" w:afterAutospacing="0" w:line="360" w:lineRule="auto"/>
        <w:ind w:firstLine="480" w:firstLineChars="200"/>
        <w:jc w:val="both"/>
        <w:outlineLvl w:val="0"/>
        <w:rPr>
          <w:rFonts w:hint="eastAsia" w:ascii="宋体" w:hAnsi="宋体" w:eastAsia="宋体" w:cs="宋体"/>
          <w:sz w:val="24"/>
          <w:szCs w:val="24"/>
        </w:rPr>
      </w:pPr>
      <w:bookmarkStart w:id="15" w:name="_Toc20556"/>
      <w:bookmarkStart w:id="16" w:name="_Toc39753342"/>
      <w:bookmarkStart w:id="17" w:name="_Toc384340980"/>
      <w:bookmarkStart w:id="18" w:name="_Toc39753999"/>
      <w:bookmarkStart w:id="19" w:name="_Toc22304900"/>
      <w:r>
        <w:rPr>
          <w:rFonts w:hint="eastAsia" w:ascii="宋体" w:hAnsi="宋体" w:eastAsia="宋体" w:cs="宋体"/>
          <w:sz w:val="24"/>
          <w:szCs w:val="24"/>
        </w:rPr>
        <w:t>本项目旨在研究、设计并制作一套适用于多种常见型号变压器压力释放阀的专用临时固定装置。在不损伤释放阀的前提下，对其动作机构施加可控的、均匀的机械约束，使其在预设的临时压力上限内无法动作。</w:t>
      </w:r>
      <w:r>
        <w:rPr>
          <w:rFonts w:hint="eastAsia" w:ascii="宋体" w:hAnsi="宋体" w:eastAsia="宋体" w:cs="宋体"/>
          <w:sz w:val="24"/>
          <w:szCs w:val="24"/>
          <w:lang w:val="en-US" w:eastAsia="zh-CN"/>
        </w:rPr>
        <w:t>具有</w:t>
      </w:r>
      <w:r>
        <w:rPr>
          <w:rFonts w:hint="eastAsia" w:ascii="宋体" w:hAnsi="宋体" w:eastAsia="宋体" w:cs="宋体"/>
          <w:sz w:val="24"/>
          <w:szCs w:val="24"/>
        </w:rPr>
        <w:t>足够的机械强度；适应不同型号的可调/适配设计；操作简便快捷（目标单人3分钟内完成安装或拆除）；具备防脱落、防松动结构。通过理论计算或简易模拟，验证关键部件在压力下的应力形变，确保其能承受高于充气作业压力但低于设备安全极限的机械载荷。</w:t>
      </w:r>
    </w:p>
    <w:p>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5"/>
      <w:bookmarkEnd w:id="16"/>
      <w:bookmarkEnd w:id="17"/>
      <w:bookmarkEnd w:id="18"/>
      <w:bookmarkEnd w:id="19"/>
      <w:r>
        <w:rPr>
          <w:rFonts w:hint="eastAsia" w:ascii="黑体" w:hAnsi="黑体" w:eastAsia="黑体" w:cs="黑体"/>
          <w:b/>
          <w:bCs/>
          <w:sz w:val="28"/>
          <w:szCs w:val="36"/>
        </w:rPr>
        <w:t>总体要求</w:t>
      </w:r>
    </w:p>
    <w:p>
      <w:pPr>
        <w:adjustRightInd w:val="0"/>
        <w:snapToGrid w:val="0"/>
        <w:rPr>
          <w:rFonts w:asciiTheme="minorEastAsia" w:hAnsiTheme="minorEastAsia" w:eastAsiaTheme="minorEastAsia" w:cstheme="minorEastAsia"/>
          <w:sz w:val="24"/>
        </w:rPr>
      </w:pPr>
      <w:bookmarkStart w:id="20" w:name="_Toc455543289"/>
      <w:bookmarkStart w:id="21" w:name="_Toc448828694"/>
      <w:bookmarkStart w:id="22" w:name="_Toc146182538"/>
      <w:bookmarkStart w:id="23" w:name="_Toc457986926"/>
      <w:bookmarkStart w:id="24" w:name="_Toc482581219"/>
      <w:bookmarkStart w:id="25" w:name="_Toc459534976"/>
      <w:bookmarkStart w:id="26" w:name="_Toc155114612"/>
      <w:bookmarkStart w:id="27" w:name="_Toc455373921"/>
      <w:bookmarkStart w:id="28" w:name="_Toc114253693"/>
      <w:bookmarkStart w:id="29" w:name="_Toc457979127"/>
      <w:bookmarkStart w:id="30" w:name="_Toc241912000"/>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cs="宋体"/>
          <w:sz w:val="24"/>
          <w:szCs w:val="24"/>
          <w:lang w:val="en-US" w:eastAsia="zh-CN"/>
        </w:rPr>
        <w:t>J</w:t>
      </w:r>
      <w:r>
        <w:rPr>
          <w:rFonts w:hint="eastAsia" w:ascii="宋体" w:hAnsi="宋体" w:eastAsia="宋体" w:cs="宋体"/>
          <w:sz w:val="24"/>
          <w:szCs w:val="24"/>
        </w:rPr>
        <w:t>B/T 7065-2015《变压器用压力释放阀》</w:t>
      </w:r>
    </w:p>
    <w:p>
      <w:pPr>
        <w:numPr>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Q/CSG 1206007‑2017 《电力设备检修试验规程》</w:t>
      </w:r>
    </w:p>
    <w:p>
      <w:pPr>
        <w:numPr>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DL/T 2879‑2025 《变电站电气设备非电气量保护技术监督导则》</w:t>
      </w:r>
    </w:p>
    <w:p>
      <w:pPr>
        <w:numPr>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DL/T 1476‑2015 《电力安全工器具配置与使用规范》</w:t>
      </w:r>
    </w:p>
    <w:p>
      <w:pPr>
        <w:numPr>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JB/T 8448.1‑2017 《变压器类产品用密封制品技术条件 第 1 部分：橡胶密封制品》</w:t>
      </w:r>
    </w:p>
    <w:p>
      <w:pPr>
        <w:numPr>
          <w:numId w:val="0"/>
        </w:numPr>
        <w:spacing w:before="120" w:after="120" w:line="288" w:lineRule="auto"/>
        <w:jc w:val="left"/>
        <w:rPr>
          <w:rFonts w:hint="eastAsia" w:ascii="宋体" w:hAnsi="宋体" w:cs="宋体"/>
          <w:sz w:val="24"/>
          <w:szCs w:val="24"/>
          <w:lang w:val="en-US" w:eastAsia="zh-CN"/>
        </w:rPr>
      </w:pPr>
      <w:r>
        <w:rPr>
          <w:rFonts w:hint="eastAsia" w:ascii="宋体" w:hAnsi="宋体" w:cs="宋体"/>
          <w:sz w:val="24"/>
          <w:szCs w:val="24"/>
          <w:lang w:val="en-US" w:eastAsia="zh-CN"/>
        </w:rPr>
        <w:t>GB/T 3098.6-2014《紧固件机械性能 不锈钢螺栓、螺钉和螺柱》</w:t>
      </w:r>
    </w:p>
    <w:p>
      <w:pPr>
        <w:numPr>
          <w:numId w:val="0"/>
        </w:numPr>
        <w:spacing w:before="120" w:after="120" w:line="288"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GB/T 3880.2-2012《铝及铝合金板、带材 第2部分：力学性能》</w:t>
      </w:r>
    </w:p>
    <w:p>
      <w:pPr>
        <w:numPr>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GB/T 1800.2‑2020 《产品几何技术规范 (GPS) 极限与配合》</w:t>
      </w:r>
    </w:p>
    <w:p>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Q/CSG 2153002《南方电网安全工器具管理细则》</w:t>
      </w:r>
    </w:p>
    <w:p>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pPr>
        <w:snapToGrid w:val="0"/>
        <w:spacing w:before="120"/>
        <w:rPr>
          <w:rFonts w:ascii="黑体" w:hAnsi="黑体" w:eastAsia="黑体" w:cs="黑体"/>
          <w:b/>
          <w:bCs/>
          <w:sz w:val="28"/>
          <w:szCs w:val="36"/>
        </w:rPr>
      </w:pPr>
      <w:bookmarkStart w:id="31" w:name="_Toc384340984"/>
      <w:bookmarkStart w:id="32" w:name="_Toc39753345"/>
      <w:bookmarkStart w:id="33" w:name="_Toc22304904"/>
      <w:bookmarkStart w:id="34" w:name="_Toc282993253"/>
      <w:bookmarkStart w:id="35" w:name="_Toc32408"/>
      <w:bookmarkStart w:id="36" w:name="_Toc39754002"/>
      <w:r>
        <w:rPr>
          <w:rFonts w:hint="eastAsia" w:ascii="黑体" w:hAnsi="黑体" w:eastAsia="黑体" w:cs="黑体"/>
          <w:b/>
          <w:bCs/>
          <w:sz w:val="28"/>
          <w:szCs w:val="36"/>
        </w:rPr>
        <w:t>4 技术要求</w:t>
      </w:r>
      <w:bookmarkEnd w:id="31"/>
      <w:bookmarkEnd w:id="32"/>
      <w:bookmarkEnd w:id="33"/>
      <w:bookmarkEnd w:id="34"/>
      <w:bookmarkEnd w:id="35"/>
      <w:bookmarkEnd w:id="36"/>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pPr>
              <w:spacing w:line="240" w:lineRule="auto"/>
              <w:jc w:val="center"/>
              <w:rPr>
                <w:rFonts w:ascii="宋体" w:hAnsi="宋体" w:cs="宋体"/>
                <w:b/>
                <w:bCs/>
                <w:szCs w:val="21"/>
              </w:rPr>
            </w:pPr>
            <w:r>
              <w:rPr>
                <w:rFonts w:hint="eastAsia" w:ascii="宋体" w:hAnsi="宋体" w:cs="宋体"/>
                <w:b/>
                <w:bCs/>
                <w:szCs w:val="21"/>
              </w:rPr>
              <w:t>时间要求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1</w:t>
            </w:r>
          </w:p>
        </w:tc>
        <w:tc>
          <w:tcPr>
            <w:tcW w:w="2985" w:type="dxa"/>
            <w:shd w:val="clear" w:color="auto" w:fill="auto"/>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防误动型压力释放阀固定装置</w:t>
            </w:r>
          </w:p>
        </w:tc>
        <w:tc>
          <w:tcPr>
            <w:tcW w:w="2363" w:type="dxa"/>
            <w:shd w:val="clear" w:color="auto" w:fill="auto"/>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完整成套工具 1 套</w:t>
            </w:r>
          </w:p>
        </w:tc>
        <w:tc>
          <w:tcPr>
            <w:tcW w:w="2357" w:type="dxa"/>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w:t>
            </w:r>
            <w:r>
              <w:rPr>
                <w:rFonts w:hint="eastAsia" w:ascii="宋体" w:hAnsi="宋体" w:eastAsia="宋体" w:cs="宋体"/>
                <w:sz w:val="21"/>
                <w:szCs w:val="21"/>
                <w:lang w:val="en-US" w:eastAsia="zh-CN"/>
              </w:rPr>
              <w:t>0</w:t>
            </w:r>
            <w:r>
              <w:rPr>
                <w:rFonts w:hint="eastAsia" w:ascii="宋体" w:hAnsi="宋体" w:eastAsia="宋体" w:cs="宋体"/>
                <w:sz w:val="21"/>
                <w:szCs w:val="21"/>
              </w:rPr>
              <w:t xml:space="preserve">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2985" w:type="dxa"/>
            <w:shd w:val="clear" w:color="auto" w:fill="auto"/>
            <w:vAlign w:val="top"/>
          </w:tcPr>
          <w:p>
            <w:pPr>
              <w:spacing w:before="120" w:after="120" w:line="288" w:lineRule="auto"/>
              <w:ind w:left="0" w:leftChars="0"/>
              <w:jc w:val="left"/>
              <w:rPr>
                <w:rFonts w:hint="eastAsia" w:ascii="宋体" w:hAnsi="宋体" w:eastAsia="宋体" w:cs="宋体"/>
                <w:sz w:val="21"/>
                <w:szCs w:val="21"/>
              </w:rPr>
            </w:pPr>
            <w:r>
              <w:rPr>
                <w:rFonts w:hint="eastAsia" w:ascii="宋体" w:hAnsi="宋体" w:eastAsia="宋体" w:cs="宋体"/>
                <w:sz w:val="21"/>
                <w:szCs w:val="21"/>
              </w:rPr>
              <w:t>配套技术成果申报：专利申报材料编制</w:t>
            </w:r>
          </w:p>
        </w:tc>
        <w:tc>
          <w:tcPr>
            <w:tcW w:w="2363" w:type="dxa"/>
            <w:shd w:val="clear" w:color="auto" w:fill="auto"/>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cs="宋体"/>
                <w:szCs w:val="21"/>
              </w:rPr>
              <w:t>专利1项（受理阶段）</w:t>
            </w:r>
          </w:p>
        </w:tc>
        <w:tc>
          <w:tcPr>
            <w:tcW w:w="2357" w:type="dxa"/>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3</w:t>
            </w:r>
          </w:p>
        </w:tc>
        <w:tc>
          <w:tcPr>
            <w:tcW w:w="2985" w:type="dxa"/>
            <w:shd w:val="clear" w:color="auto" w:fill="auto"/>
            <w:vAlign w:val="top"/>
          </w:tcPr>
          <w:p>
            <w:pPr>
              <w:spacing w:before="120" w:after="120" w:line="288" w:lineRule="auto"/>
              <w:ind w:left="0" w:leftChars="0"/>
              <w:jc w:val="left"/>
              <w:rPr>
                <w:rFonts w:hint="eastAsia" w:ascii="宋体" w:hAnsi="宋体" w:eastAsia="宋体" w:cs="宋体"/>
                <w:sz w:val="21"/>
                <w:szCs w:val="21"/>
              </w:rPr>
            </w:pPr>
            <w:r>
              <w:rPr>
                <w:rFonts w:hint="eastAsia" w:ascii="宋体" w:hAnsi="宋体" w:eastAsia="宋体" w:cs="宋体"/>
                <w:sz w:val="21"/>
                <w:szCs w:val="21"/>
              </w:rPr>
              <w:t>项目全流程验收</w:t>
            </w:r>
          </w:p>
        </w:tc>
        <w:tc>
          <w:tcPr>
            <w:tcW w:w="2363" w:type="dxa"/>
            <w:shd w:val="clear" w:color="auto" w:fill="auto"/>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cs="宋体"/>
              </w:rPr>
              <w:t>完成项目全部验收内容</w:t>
            </w:r>
          </w:p>
        </w:tc>
        <w:tc>
          <w:tcPr>
            <w:tcW w:w="2357" w:type="dxa"/>
            <w:vAlign w:val="top"/>
          </w:tcPr>
          <w:p>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12 月</w:t>
            </w:r>
          </w:p>
        </w:tc>
      </w:tr>
    </w:tbl>
    <w:p>
      <w:pPr>
        <w:spacing w:before="300" w:after="120" w:line="288" w:lineRule="auto"/>
        <w:ind w:left="0"/>
        <w:jc w:val="left"/>
        <w:outlineLvl w:val="2"/>
        <w:rPr>
          <w:rFonts w:hint="eastAsia" w:ascii="宋体" w:hAnsi="宋体" w:eastAsia="宋体" w:cs="宋体"/>
          <w:b w:val="0"/>
          <w:bCs/>
          <w:color w:val="auto"/>
          <w:sz w:val="24"/>
          <w:szCs w:val="24"/>
        </w:rPr>
      </w:pPr>
      <w:bookmarkStart w:id="37" w:name="heading_15"/>
      <w:r>
        <w:rPr>
          <w:rFonts w:hint="eastAsia" w:ascii="宋体" w:hAnsi="宋体" w:eastAsia="宋体" w:cs="宋体"/>
          <w:b w:val="0"/>
          <w:bCs/>
          <w:color w:val="auto"/>
          <w:sz w:val="24"/>
          <w:szCs w:val="24"/>
        </w:rPr>
        <w:t>4.2 工具整体设计通用要求</w:t>
      </w:r>
      <w:bookmarkEnd w:id="37"/>
    </w:p>
    <w:p>
      <w:pPr>
        <w:spacing w:before="260" w:after="120" w:line="288" w:lineRule="auto"/>
        <w:ind w:left="0"/>
        <w:jc w:val="left"/>
        <w:outlineLvl w:val="3"/>
        <w:rPr>
          <w:rFonts w:hint="eastAsia" w:ascii="宋体" w:hAnsi="宋体" w:eastAsia="宋体" w:cs="宋体"/>
          <w:b w:val="0"/>
          <w:bCs/>
          <w:color w:val="auto"/>
          <w:sz w:val="24"/>
          <w:szCs w:val="24"/>
        </w:rPr>
      </w:pPr>
      <w:bookmarkStart w:id="38" w:name="heading_16"/>
      <w:r>
        <w:rPr>
          <w:rFonts w:hint="eastAsia" w:ascii="宋体" w:hAnsi="宋体" w:eastAsia="宋体" w:cs="宋体"/>
          <w:b w:val="0"/>
          <w:bCs/>
          <w:color w:val="auto"/>
          <w:sz w:val="24"/>
          <w:szCs w:val="24"/>
        </w:rPr>
        <w:t>4.2.1 可靠性与稳定性</w:t>
      </w:r>
      <w:bookmarkEnd w:id="38"/>
    </w:p>
    <w:p>
      <w:pPr>
        <w:rPr>
          <w:rFonts w:hint="eastAsia" w:ascii="宋体" w:hAnsi="宋体" w:eastAsia="宋体" w:cs="宋体"/>
          <w:sz w:val="24"/>
        </w:rPr>
      </w:pPr>
      <w:r>
        <w:rPr>
          <w:rFonts w:hint="eastAsia" w:ascii="宋体" w:hAnsi="宋体" w:eastAsia="宋体" w:cs="宋体"/>
          <w:sz w:val="24"/>
          <w:lang w:val="en-US" w:eastAsia="zh-CN"/>
        </w:rPr>
        <w:t>1.装置瞬时压力冲击耐受：0--0.06MPa 脉冲压力反复冲击，不误限位卡死、不发生工装位移</w:t>
      </w:r>
      <w:r>
        <w:rPr>
          <w:rFonts w:hint="eastAsia" w:ascii="宋体" w:hAnsi="宋体" w:eastAsia="宋体" w:cs="宋体"/>
          <w:sz w:val="24"/>
        </w:rPr>
        <w:t>；</w:t>
      </w:r>
    </w:p>
    <w:p>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2.正常安装、限位作业全过程，不得划伤、压伤压力释放阀法兰、密封面</w:t>
      </w:r>
      <w:r>
        <w:rPr>
          <w:rFonts w:hint="eastAsia" w:ascii="宋体" w:hAnsi="宋体" w:cs="宋体"/>
          <w:b w:val="0"/>
          <w:bCs/>
          <w:color w:val="auto"/>
          <w:kern w:val="2"/>
          <w:sz w:val="24"/>
          <w:szCs w:val="24"/>
          <w:lang w:val="en-US" w:eastAsia="zh-CN" w:bidi="ar-SA"/>
        </w:rPr>
        <w:t>等。</w:t>
      </w:r>
    </w:p>
    <w:p>
      <w:pPr>
        <w:spacing w:before="260" w:after="120" w:line="288" w:lineRule="auto"/>
        <w:ind w:left="0"/>
        <w:jc w:val="left"/>
        <w:outlineLvl w:val="3"/>
        <w:rPr>
          <w:rFonts w:hint="eastAsia" w:ascii="宋体" w:hAnsi="宋体" w:eastAsia="宋体" w:cs="宋体"/>
          <w:b w:val="0"/>
          <w:bCs/>
          <w:color w:val="auto"/>
          <w:sz w:val="24"/>
          <w:szCs w:val="24"/>
        </w:rPr>
      </w:pPr>
      <w:bookmarkStart w:id="39" w:name="heading_17"/>
      <w:r>
        <w:rPr>
          <w:rFonts w:hint="eastAsia" w:ascii="宋体" w:hAnsi="宋体" w:eastAsia="宋体" w:cs="宋体"/>
          <w:b w:val="0"/>
          <w:bCs/>
          <w:color w:val="auto"/>
          <w:sz w:val="24"/>
          <w:szCs w:val="24"/>
        </w:rPr>
        <w:t>4.2.2 人机易用性</w:t>
      </w:r>
      <w:bookmarkEnd w:id="39"/>
    </w:p>
    <w:p>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rPr>
        <w:t>整体轻量化设计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单人可</w:t>
      </w:r>
      <w:r>
        <w:rPr>
          <w:rFonts w:hint="eastAsia" w:ascii="宋体" w:hAnsi="宋体" w:eastAsia="宋体" w:cs="宋体"/>
          <w:b w:val="0"/>
          <w:bCs/>
          <w:color w:val="auto"/>
          <w:sz w:val="24"/>
          <w:szCs w:val="24"/>
          <w:lang w:val="en-US" w:eastAsia="zh-CN"/>
        </w:rPr>
        <w:t>快速</w:t>
      </w:r>
      <w:r>
        <w:rPr>
          <w:rFonts w:hint="eastAsia" w:ascii="宋体" w:hAnsi="宋体" w:eastAsia="宋体" w:cs="宋体"/>
          <w:b w:val="0"/>
          <w:bCs/>
          <w:color w:val="auto"/>
          <w:sz w:val="24"/>
          <w:szCs w:val="24"/>
        </w:rPr>
        <w:t>完成</w:t>
      </w:r>
      <w:r>
        <w:rPr>
          <w:rFonts w:hint="eastAsia" w:ascii="宋体" w:hAnsi="宋体" w:cs="宋体"/>
          <w:b w:val="0"/>
          <w:bCs/>
          <w:color w:val="auto"/>
          <w:sz w:val="24"/>
          <w:szCs w:val="24"/>
          <w:lang w:val="en-US" w:eastAsia="zh-CN"/>
        </w:rPr>
        <w:t>安装</w:t>
      </w:r>
      <w:r>
        <w:rPr>
          <w:rFonts w:hint="eastAsia" w:ascii="宋体" w:hAnsi="宋体" w:eastAsia="宋体" w:cs="宋体"/>
          <w:b w:val="0"/>
          <w:bCs/>
          <w:color w:val="auto"/>
          <w:sz w:val="24"/>
          <w:szCs w:val="24"/>
        </w:rPr>
        <w:t>；</w:t>
      </w:r>
    </w:p>
    <w:p>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w:t>
      </w:r>
      <w:r>
        <w:rPr>
          <w:rFonts w:hint="eastAsia" w:ascii="宋体" w:hAnsi="宋体" w:cs="宋体"/>
          <w:b w:val="0"/>
          <w:bCs/>
          <w:color w:val="auto"/>
          <w:sz w:val="24"/>
          <w:szCs w:val="24"/>
          <w:lang w:val="en-US" w:eastAsia="zh-CN"/>
        </w:rPr>
        <w:t>装置应</w:t>
      </w:r>
      <w:r>
        <w:rPr>
          <w:rFonts w:hint="eastAsia" w:ascii="宋体" w:hAnsi="宋体" w:eastAsia="宋体" w:cs="宋体"/>
          <w:b w:val="0"/>
          <w:bCs/>
          <w:color w:val="auto"/>
          <w:sz w:val="24"/>
          <w:szCs w:val="24"/>
        </w:rPr>
        <w:t>无尖锐棱角，避免划伤作业人员。</w:t>
      </w:r>
    </w:p>
    <w:bookmarkEnd w:id="20"/>
    <w:bookmarkEnd w:id="21"/>
    <w:bookmarkEnd w:id="22"/>
    <w:bookmarkEnd w:id="23"/>
    <w:bookmarkEnd w:id="24"/>
    <w:bookmarkEnd w:id="25"/>
    <w:bookmarkEnd w:id="26"/>
    <w:bookmarkEnd w:id="27"/>
    <w:bookmarkEnd w:id="28"/>
    <w:bookmarkEnd w:id="29"/>
    <w:bookmarkEnd w:id="30"/>
    <w:p>
      <w:pPr>
        <w:rPr>
          <w:rFonts w:ascii="宋体" w:hAnsi="宋体" w:cs="宋体"/>
          <w:sz w:val="24"/>
        </w:rPr>
      </w:pPr>
      <w:bookmarkStart w:id="40"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40"/>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41" w:name="_Toc309593209"/>
      <w:bookmarkStart w:id="42" w:name="_Toc312827040"/>
      <w:bookmarkStart w:id="43" w:name="_Toc531004215"/>
      <w:bookmarkStart w:id="44" w:name="_Toc309805604"/>
      <w:bookmarkStart w:id="45" w:name="_Toc531004269"/>
      <w:bookmarkStart w:id="46" w:name="_Toc309593280"/>
      <w:bookmarkStart w:id="47" w:name="_Toc441483969"/>
      <w:bookmarkStart w:id="48" w:name="_Toc18633"/>
    </w:p>
    <w:p>
      <w:pPr>
        <w:pStyle w:val="7"/>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图纸设计、审核、主要原材料选用、重大技术变更等关键技术环节工作。投标方应在设备研发、制造主要技术节点通知招标方技术团队参与</w:t>
      </w:r>
      <w:r>
        <w:rPr>
          <w:rFonts w:hint="eastAsia" w:hAnsi="宋体"/>
          <w:sz w:val="24"/>
        </w:rPr>
        <w:t>。</w:t>
      </w:r>
    </w:p>
    <w:p>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pPr>
        <w:pStyle w:val="7"/>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pPr>
        <w:pStyle w:val="7"/>
        <w:rPr>
          <w:rFonts w:hAnsi="宋体"/>
          <w:sz w:val="24"/>
        </w:rPr>
      </w:pPr>
      <w:r>
        <w:rPr>
          <w:rFonts w:hint="eastAsia" w:ascii="Times New Roman" w:hAnsi="Times New Roman"/>
          <w:sz w:val="24"/>
        </w:rPr>
        <w:t>（1）沟通项目所需资料的收集</w:t>
      </w:r>
      <w:r>
        <w:rPr>
          <w:rFonts w:hint="eastAsia" w:hAnsi="宋体"/>
          <w:sz w:val="24"/>
        </w:rPr>
        <w:t>。</w:t>
      </w:r>
    </w:p>
    <w:p>
      <w:pPr>
        <w:pStyle w:val="7"/>
        <w:rPr>
          <w:rFonts w:hAnsi="宋体"/>
          <w:sz w:val="24"/>
        </w:rPr>
      </w:pPr>
      <w:r>
        <w:rPr>
          <w:rFonts w:hint="eastAsia" w:ascii="Times New Roman" w:hAnsi="Times New Roman"/>
          <w:sz w:val="24"/>
        </w:rPr>
        <w:t>（2）沟通项目进度信息。</w:t>
      </w:r>
    </w:p>
    <w:p>
      <w:pPr>
        <w:pStyle w:val="7"/>
        <w:rPr>
          <w:rFonts w:hAnsi="宋体"/>
          <w:sz w:val="24"/>
        </w:rPr>
      </w:pPr>
      <w:r>
        <w:rPr>
          <w:rFonts w:hint="eastAsia" w:ascii="Times New Roman" w:hAnsi="Times New Roman"/>
          <w:sz w:val="24"/>
        </w:rPr>
        <w:t>（3）协商解决项目执行过程中遇到的问题。</w:t>
      </w:r>
    </w:p>
    <w:p>
      <w:pPr>
        <w:pStyle w:val="7"/>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pPr>
        <w:pStyle w:val="7"/>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pPr>
        <w:pStyle w:val="7"/>
        <w:ind w:firstLine="240"/>
        <w:rPr>
          <w:rFonts w:hAnsi="宋体"/>
          <w:sz w:val="24"/>
        </w:rPr>
      </w:pPr>
      <w:r>
        <w:rPr>
          <w:rFonts w:hAnsi="宋体"/>
          <w:sz w:val="24"/>
        </w:rPr>
        <w:t xml:space="preserve">    </w:t>
      </w:r>
      <w:r>
        <w:rPr>
          <w:rFonts w:hint="eastAsia" w:hAnsi="宋体"/>
          <w:sz w:val="24"/>
        </w:rPr>
        <w:t>招标方</w:t>
      </w:r>
      <w:r>
        <w:rPr>
          <w:rFonts w:hAnsi="宋体"/>
          <w:sz w:val="24"/>
        </w:rPr>
        <w:t>：</w:t>
      </w:r>
    </w:p>
    <w:p>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7"/>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pPr>
        <w:pStyle w:val="7"/>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7"/>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pPr>
        <w:spacing w:line="360" w:lineRule="auto"/>
        <w:ind w:left="6" w:leftChars="3" w:firstLine="480" w:firstLineChars="200"/>
        <w:rPr>
          <w:sz w:val="24"/>
        </w:rPr>
      </w:pPr>
      <w:r>
        <w:rPr>
          <w:rFonts w:hint="eastAsia"/>
          <w:sz w:val="24"/>
        </w:rPr>
        <w:t>投标方</w:t>
      </w:r>
      <w:r>
        <w:rPr>
          <w:sz w:val="24"/>
        </w:rPr>
        <w:t>技术文件应包括：</w:t>
      </w:r>
    </w:p>
    <w:p>
      <w:pPr>
        <w:spacing w:line="360" w:lineRule="auto"/>
        <w:ind w:left="6" w:leftChars="3" w:firstLine="480" w:firstLineChars="200"/>
        <w:rPr>
          <w:sz w:val="24"/>
        </w:rPr>
      </w:pPr>
      <w:r>
        <w:rPr>
          <w:sz w:val="24"/>
        </w:rPr>
        <w:t>（1）</w:t>
      </w:r>
      <w:r>
        <w:rPr>
          <w:rFonts w:ascii="宋体" w:hAnsi="宋体" w:cs="宋体"/>
          <w:sz w:val="24"/>
        </w:rPr>
        <w:t>提供完整的系统设计方案及实施方案与计划</w:t>
      </w:r>
      <w:r>
        <w:rPr>
          <w:rFonts w:hint="eastAsia" w:ascii="宋体" w:hAnsi="宋体" w:cs="宋体"/>
          <w:sz w:val="24"/>
          <w:lang w:eastAsia="zh-CN"/>
        </w:rPr>
        <w:t>；</w:t>
      </w:r>
    </w:p>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6</w:t>
      </w:r>
      <w:r>
        <w:rPr>
          <w:rFonts w:hint="eastAsia" w:ascii="黑体" w:hAnsi="黑体" w:eastAsia="黑体" w:cs="黑体"/>
          <w:b/>
          <w:bCs/>
          <w:sz w:val="28"/>
          <w:szCs w:val="36"/>
        </w:rPr>
        <w:t>.项目验收</w:t>
      </w:r>
      <w:bookmarkEnd w:id="41"/>
      <w:bookmarkEnd w:id="42"/>
      <w:bookmarkEnd w:id="43"/>
      <w:bookmarkEnd w:id="44"/>
      <w:bookmarkEnd w:id="45"/>
      <w:bookmarkEnd w:id="46"/>
      <w:bookmarkEnd w:id="47"/>
    </w:p>
    <w:p>
      <w:pPr>
        <w:rPr>
          <w:rFonts w:ascii="宋体" w:hAnsi="宋体" w:cs="宋体"/>
          <w:sz w:val="24"/>
        </w:rPr>
      </w:pPr>
      <w:r>
        <w:rPr>
          <w:rFonts w:hint="eastAsia" w:ascii="宋体" w:hAnsi="宋体" w:cs="宋体"/>
          <w:sz w:val="24"/>
          <w:lang w:val="en-US" w:eastAsia="zh-CN"/>
        </w:rPr>
        <w:t>6</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其他要求</w:t>
      </w:r>
      <w:bookmarkEnd w:id="48"/>
    </w:p>
    <w:p>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方正小标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BA94C9D"/>
    <w:rsid w:val="0C030754"/>
    <w:rsid w:val="0CA05D46"/>
    <w:rsid w:val="0F966A31"/>
    <w:rsid w:val="10550F6F"/>
    <w:rsid w:val="128F30ED"/>
    <w:rsid w:val="12BD66DE"/>
    <w:rsid w:val="13132954"/>
    <w:rsid w:val="163A1216"/>
    <w:rsid w:val="166F3EB8"/>
    <w:rsid w:val="191A5617"/>
    <w:rsid w:val="1A0A5C1B"/>
    <w:rsid w:val="1BD511FB"/>
    <w:rsid w:val="1F6703E9"/>
    <w:rsid w:val="1F8A11CF"/>
    <w:rsid w:val="20F20322"/>
    <w:rsid w:val="22001714"/>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3E1100"/>
    <w:rsid w:val="40C512FC"/>
    <w:rsid w:val="428F0505"/>
    <w:rsid w:val="42C6746E"/>
    <w:rsid w:val="42EE5CD4"/>
    <w:rsid w:val="45D97826"/>
    <w:rsid w:val="45F20916"/>
    <w:rsid w:val="46927C50"/>
    <w:rsid w:val="48736764"/>
    <w:rsid w:val="48D82303"/>
    <w:rsid w:val="4D3F13B6"/>
    <w:rsid w:val="4DFF75F2"/>
    <w:rsid w:val="52420D12"/>
    <w:rsid w:val="56061A78"/>
    <w:rsid w:val="5643156F"/>
    <w:rsid w:val="57AF48B9"/>
    <w:rsid w:val="592823C4"/>
    <w:rsid w:val="592C035C"/>
    <w:rsid w:val="5981212C"/>
    <w:rsid w:val="5A691DAF"/>
    <w:rsid w:val="5B187842"/>
    <w:rsid w:val="5D615387"/>
    <w:rsid w:val="5F803635"/>
    <w:rsid w:val="61C27952"/>
    <w:rsid w:val="6212562E"/>
    <w:rsid w:val="62DB3950"/>
    <w:rsid w:val="62F53AC8"/>
    <w:rsid w:val="637B25C6"/>
    <w:rsid w:val="63D72C4E"/>
    <w:rsid w:val="661505CC"/>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6F24593"/>
    <w:rsid w:val="77C54214"/>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99"/>
    <w:pPr>
      <w:spacing w:before="240" w:after="60"/>
      <w:jc w:val="center"/>
      <w:outlineLvl w:val="0"/>
    </w:pPr>
    <w:rPr>
      <w:rFonts w:ascii="Arial" w:hAnsi="Arial"/>
      <w:b/>
      <w:bCs/>
      <w:sz w:val="32"/>
      <w:szCs w:val="32"/>
    </w:rPr>
  </w:style>
  <w:style w:type="paragraph" w:styleId="6">
    <w:name w:val="Body Text Indent"/>
    <w:basedOn w:val="1"/>
    <w:unhideWhenUsed/>
    <w:qFormat/>
    <w:uiPriority w:val="99"/>
    <w:pPr>
      <w:spacing w:after="120"/>
      <w:ind w:left="420" w:leftChars="200"/>
    </w:pPr>
  </w:style>
  <w:style w:type="paragraph" w:styleId="7">
    <w:name w:val="Plain Text"/>
    <w:basedOn w:val="1"/>
    <w:qFormat/>
    <w:uiPriority w:val="0"/>
    <w:rPr>
      <w:rFonts w:ascii="宋体" w:hAnsi="Courier New"/>
      <w:szCs w:val="21"/>
    </w:rPr>
  </w:style>
  <w:style w:type="paragraph" w:styleId="8">
    <w:name w:val="footer"/>
    <w:basedOn w:val="1"/>
    <w:qFormat/>
    <w:uiPriority w:val="99"/>
    <w:pPr>
      <w:tabs>
        <w:tab w:val="center" w:pos="4153"/>
        <w:tab w:val="right" w:pos="8306"/>
      </w:tabs>
      <w:snapToGrid w:val="0"/>
    </w:pPr>
    <w:rPr>
      <w:sz w:val="18"/>
      <w:szCs w:val="18"/>
    </w:rPr>
  </w:style>
  <w:style w:type="paragraph" w:styleId="9">
    <w:name w:val="toc 2"/>
    <w:basedOn w:val="1"/>
    <w:next w:val="1"/>
    <w:unhideWhenUsed/>
    <w:qFormat/>
    <w:uiPriority w:val="39"/>
    <w:pPr>
      <w:widowControl/>
      <w:spacing w:after="100" w:line="259" w:lineRule="auto"/>
      <w:ind w:left="220"/>
    </w:pPr>
    <w:rPr>
      <w:kern w:val="0"/>
      <w:sz w:val="22"/>
    </w:rPr>
  </w:style>
  <w:style w:type="paragraph" w:styleId="10">
    <w:name w:val="Normal (Web)"/>
    <w:basedOn w:val="1"/>
    <w:qFormat/>
    <w:uiPriority w:val="0"/>
    <w:pPr>
      <w:spacing w:beforeAutospacing="1" w:afterAutospacing="1"/>
    </w:pPr>
    <w:rPr>
      <w:kern w:val="0"/>
      <w:sz w:val="24"/>
    </w:rPr>
  </w:style>
  <w:style w:type="paragraph" w:styleId="11">
    <w:name w:val="Body Text First Indent 2"/>
    <w:basedOn w:val="6"/>
    <w:unhideWhenUsed/>
    <w:qFormat/>
    <w:uiPriority w:val="99"/>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3094</Words>
  <Characters>3258</Characters>
  <Lines>122</Lines>
  <Paragraphs>127</Paragraphs>
  <TotalTime>6</TotalTime>
  <ScaleCrop>false</ScaleCrop>
  <LinksUpToDate>false</LinksUpToDate>
  <CharactersWithSpaces>3347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F8A07356770643BFBCB62897ACA052E8</cp:lastModifiedBy>
  <dcterms:modified xsi:type="dcterms:W3CDTF">2026-07-20T15:49:56Z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05A2F410E5C64E4CA6DEF031E9A318B8</vt:lpwstr>
  </property>
  <property fmtid="{D5CDD505-2E9C-101B-9397-08002B2CF9AE}" pid="4" name="KSOTemplateDocerSaveRecord">
    <vt:lpwstr>eyJoZGlkIjoiMmZjNWUwM2E5NjM0YWZjMzUwZmFkZjg2MDhkYzM3MDIiLCJ1c2VySWQiOiIyNDc2OTQ2ODYifQ==</vt:lpwstr>
  </property>
</Properties>
</file>