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  <w:t>海南蓄能发电有限公司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560" w:lineRule="atLeast"/>
        <w:jc w:val="center"/>
        <w:textAlignment w:val="auto"/>
        <w:rPr>
          <w:rFonts w:hint="eastAsia" w:ascii="Times New Roman" w:hAnsi="Times New Roman" w:cs="Times New Roman"/>
          <w:b/>
          <w:color w:val="000000"/>
          <w:position w:val="16"/>
          <w:sz w:val="56"/>
          <w:szCs w:val="7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  <w:lang w:val="en-US" w:eastAsia="zh-CN"/>
        </w:rPr>
        <w:t>海蓄公司琼中电厂2026年监控系统配合220kV线路保护程序升级开展现场技术服务项目</w:t>
      </w: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bCs/>
          <w:color w:val="000000"/>
          <w:position w:val="16"/>
          <w:sz w:val="56"/>
          <w:szCs w:val="72"/>
          <w:lang w:val="en-US" w:eastAsia="zh-CN"/>
        </w:rPr>
      </w:pPr>
      <w:r>
        <w:rPr>
          <w:rFonts w:hint="eastAsia" w:ascii="Times New Roman" w:hAnsi="Times New Roman" w:cs="Times New Roman"/>
          <w:b/>
          <w:color w:val="000000"/>
          <w:position w:val="16"/>
          <w:sz w:val="56"/>
          <w:szCs w:val="72"/>
          <w:lang w:val="en-US" w:eastAsia="zh-CN"/>
        </w:rPr>
        <w:t>技术规范书</w:t>
      </w: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ind w:firstLine="3614" w:firstLineChars="1000"/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both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pStyle w:val="23"/>
        <w:keepLines w:val="0"/>
        <w:pageBreakBefore w:val="0"/>
        <w:tabs>
          <w:tab w:val="left" w:pos="284"/>
        </w:tabs>
        <w:topLinePunct w:val="0"/>
        <w:bidi w:val="0"/>
        <w:spacing w:before="0" w:beforeAutospacing="0" w:after="0" w:afterAutospacing="0" w:line="240" w:lineRule="auto"/>
        <w:ind w:left="0" w:leftChars="0" w:right="0"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二〇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lang w:val="en-US" w:eastAsia="zh-CN"/>
        </w:rPr>
        <w:t>二</w:t>
      </w:r>
      <w:r>
        <w:rPr>
          <w:rFonts w:hint="eastAsia" w:ascii="Times New Roman" w:cs="Times New Roman"/>
          <w:b/>
          <w:color w:val="000000"/>
          <w:position w:val="16"/>
          <w:sz w:val="36"/>
          <w:lang w:val="en-US" w:eastAsia="zh-CN"/>
        </w:rPr>
        <w:t>六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年</w:t>
      </w:r>
      <w:r>
        <w:rPr>
          <w:rFonts w:hint="eastAsia" w:ascii="Times New Roman" w:cs="Times New Roman"/>
          <w:b/>
          <w:color w:val="000000"/>
          <w:position w:val="16"/>
          <w:sz w:val="36"/>
          <w:lang w:val="en-US" w:eastAsia="zh-CN"/>
        </w:rPr>
        <w:t>七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月</w:t>
      </w:r>
    </w:p>
    <w:p>
      <w:pPr>
        <w:jc w:val="left"/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一、</w:t>
      </w:r>
      <w:r>
        <w:rPr>
          <w:rFonts w:hint="eastAsia" w:ascii="Times New Roman" w:hAnsi="Times New Roman" w:cs="Times New Roman"/>
          <w:b/>
          <w:sz w:val="28"/>
          <w:szCs w:val="24"/>
          <w:lang w:val="en-US" w:eastAsia="zh-CN"/>
        </w:rPr>
        <w:t>技术要求</w:t>
      </w:r>
    </w:p>
    <w:p>
      <w:pPr>
        <w:spacing w:line="500" w:lineRule="atLeast"/>
        <w:ind w:firstLine="480" w:firstLineChars="200"/>
        <w:rPr>
          <w:rFonts w:hint="eastAsia" w:eastAsia="宋体"/>
          <w:sz w:val="24"/>
          <w:lang w:eastAsia="zh-CN"/>
        </w:rPr>
      </w:pPr>
      <w:r>
        <w:rPr>
          <w:sz w:val="24"/>
        </w:rPr>
        <w:t>除另有说明外，</w:t>
      </w:r>
      <w:r>
        <w:rPr>
          <w:rFonts w:hint="eastAsia"/>
          <w:sz w:val="24"/>
          <w:lang w:val="en-US" w:eastAsia="zh-CN"/>
        </w:rPr>
        <w:t>乙方在提供技术服务时，应遵循以下标准</w:t>
      </w:r>
      <w:r>
        <w:rPr>
          <w:sz w:val="24"/>
        </w:rPr>
        <w:t>。当各标准不一致时，应按较高标准的条款或按双方商定的标准执行</w:t>
      </w:r>
      <w:r>
        <w:rPr>
          <w:rFonts w:hint="eastAsia"/>
          <w:sz w:val="24"/>
          <w:lang w:eastAsia="zh-CN"/>
        </w:rPr>
        <w:t>。</w:t>
      </w:r>
    </w:p>
    <w:p>
      <w:pPr>
        <w:spacing w:line="500" w:lineRule="atLeast"/>
        <w:ind w:firstLine="480" w:firstLineChars="200"/>
        <w:rPr>
          <w:rFonts w:hint="eastAsia"/>
          <w:sz w:val="24"/>
          <w:lang w:eastAsia="zh-CN"/>
        </w:rPr>
      </w:pPr>
      <w:r>
        <w:rPr>
          <w:rFonts w:hint="eastAsia"/>
          <w:sz w:val="24"/>
          <w:lang w:eastAsia="zh-CN"/>
        </w:rPr>
        <w:t>《</w:t>
      </w:r>
      <w:r>
        <w:rPr>
          <w:rFonts w:hint="eastAsia"/>
          <w:sz w:val="24"/>
          <w:lang w:val="en-US" w:eastAsia="zh-CN"/>
        </w:rPr>
        <w:t>中华人民共和国计算机信息系统安全保护条例</w:t>
      </w:r>
      <w:r>
        <w:rPr>
          <w:rFonts w:hint="eastAsia"/>
          <w:sz w:val="24"/>
          <w:lang w:eastAsia="zh-CN"/>
        </w:rPr>
        <w:t>》</w:t>
      </w:r>
    </w:p>
    <w:p>
      <w:pPr>
        <w:spacing w:line="500" w:lineRule="atLeast"/>
        <w:ind w:firstLine="480" w:firstLineChars="200"/>
        <w:rPr>
          <w:rFonts w:hint="eastAsia"/>
          <w:sz w:val="24"/>
          <w:lang w:eastAsia="zh-CN"/>
        </w:rPr>
      </w:pPr>
      <w:r>
        <w:rPr>
          <w:rFonts w:hint="eastAsia"/>
          <w:sz w:val="24"/>
          <w:lang w:eastAsia="zh-CN"/>
        </w:rPr>
        <w:t>《</w:t>
      </w:r>
      <w:r>
        <w:rPr>
          <w:rFonts w:hint="eastAsia"/>
          <w:sz w:val="24"/>
          <w:lang w:val="en-US" w:eastAsia="zh-CN"/>
        </w:rPr>
        <w:t>电力工业中涉及的国家秘密及具体范围的规定</w:t>
      </w:r>
      <w:r>
        <w:rPr>
          <w:rFonts w:hint="eastAsia"/>
          <w:sz w:val="24"/>
          <w:lang w:eastAsia="zh-CN"/>
        </w:rPr>
        <w:t>》</w:t>
      </w:r>
    </w:p>
    <w:p>
      <w:pPr>
        <w:spacing w:line="500" w:lineRule="atLeast"/>
        <w:ind w:firstLine="480" w:firstLineChars="20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电监会5号令《电力二次系统安全防护规定》</w:t>
      </w:r>
    </w:p>
    <w:p>
      <w:pPr>
        <w:spacing w:line="500" w:lineRule="atLeast"/>
        <w:ind w:firstLine="480" w:firstLineChars="20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GB 17859-1《计算机信息系统安全保护等级划分准则》</w:t>
      </w:r>
    </w:p>
    <w:p>
      <w:pPr>
        <w:spacing w:line="500" w:lineRule="atLeast"/>
        <w:ind w:firstLine="480" w:firstLineChars="20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GBT 22239-2019 《信息安全技术网络安全等级保护基本要求》</w:t>
      </w:r>
    </w:p>
    <w:p>
      <w:pPr>
        <w:spacing w:line="500" w:lineRule="atLeast"/>
        <w:ind w:firstLine="480" w:firstLineChars="200"/>
        <w:rPr>
          <w:rFonts w:hint="eastAsia"/>
          <w:sz w:val="24"/>
          <w:lang w:eastAsia="zh-CN"/>
        </w:rPr>
      </w:pPr>
      <w:r>
        <w:rPr>
          <w:rFonts w:hint="eastAsia"/>
          <w:sz w:val="24"/>
        </w:rPr>
        <w:t>GBT</w:t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</w:rPr>
        <w:t>25070-2019</w:t>
      </w:r>
      <w:r>
        <w:rPr>
          <w:rFonts w:hint="eastAsia"/>
          <w:sz w:val="24"/>
          <w:lang w:eastAsia="zh-CN"/>
        </w:rPr>
        <w:t>《</w:t>
      </w:r>
      <w:r>
        <w:rPr>
          <w:rFonts w:hint="eastAsia"/>
          <w:sz w:val="24"/>
        </w:rPr>
        <w:t>信息安全技术网络安全等级保护安全设计技术要求</w:t>
      </w:r>
      <w:r>
        <w:rPr>
          <w:rFonts w:hint="eastAsia"/>
          <w:sz w:val="24"/>
          <w:lang w:eastAsia="zh-CN"/>
        </w:rPr>
        <w:t>》</w:t>
      </w:r>
    </w:p>
    <w:p>
      <w:pPr>
        <w:spacing w:line="500" w:lineRule="atLeast"/>
        <w:ind w:firstLine="480" w:firstLineChars="20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《全国电力二次系统安全防护总体方案》</w:t>
      </w:r>
    </w:p>
    <w:p>
      <w:pPr>
        <w:spacing w:line="500" w:lineRule="atLeast"/>
        <w:ind w:firstLine="480" w:firstLineChars="20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《南方电网电力二次系统安全防护技术实施规范》</w:t>
      </w:r>
    </w:p>
    <w:p>
      <w:pPr>
        <w:spacing w:line="500" w:lineRule="atLeast"/>
        <w:ind w:firstLine="480" w:firstLineChars="20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GB50174-93《电子计算机机房设计规范》</w:t>
      </w:r>
    </w:p>
    <w:p>
      <w:pPr>
        <w:spacing w:line="500" w:lineRule="atLeast"/>
        <w:ind w:firstLine="480" w:firstLineChars="20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《中华人民共和国保守秘密法》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《中华人民共和国计算机信息系统安全防护条例》</w:t>
      </w:r>
    </w:p>
    <w:p>
      <w:pPr>
        <w:numPr>
          <w:ilvl w:val="0"/>
          <w:numId w:val="4"/>
        </w:numPr>
        <w:spacing w:line="360" w:lineRule="auto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质量保证要求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乙方应根据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海南琼中抽水蓄能电站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最新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的继电保护配置信息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，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开展站内的计算机监控系统的配置更新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，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确保计算机监控系统对</w:t>
      </w:r>
      <w:r>
        <w:rPr>
          <w:rFonts w:hint="eastAsia" w:ascii="Times New Roman" w:hAnsi="Times New Roman" w:eastAsia="宋体" w:cs="Times New Roman"/>
          <w:kern w:val="0"/>
          <w:sz w:val="24"/>
          <w:lang w:val="en-US" w:eastAsia="zh-CN"/>
        </w:rPr>
        <w:t>站内继电保护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装置的监控功能正确完备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。</w:t>
      </w:r>
    </w:p>
    <w:p>
      <w:pPr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项目内容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3.1项目概况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海南琼中抽水蓄能电站（以下简称“海蓄电站”）位于海南省琼中县黎母山镇。海蓄电站地下厂房3台13.8kV发电电动机-变压器组，采用单元接线，分别经3回220kV高压电缆接入开关站GIS设备。海蓄电站开关站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220kV侧采用双母线接线，经220kV蓄琼甲线、220kV蓄琼乙线、220kV蓄成Ⅰ线、220kV蓄成Ⅱ线接入海南电网220kV电压等级系统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t>海蓄电站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开关站设有计算机监控系统，其中机组LCU的监控对象包括有机组和主变压器继电保护装置，开关站LCU的监控对象包括有线路保护、母线保护、安全自动装置等设备。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t>海蓄电站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计划将220kV蓄琼甲、乙线主二保护PRS-753NA2-N的CPU软件版本V1.10升级至目标版本V1.20，需同步更新开关站LCU与线路保护的通讯配置，更新监控系统数据库并并同步至上位机服务器，完成现场对点测试等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。</w:t>
      </w:r>
    </w:p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3.2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eastAsia="zh-CN"/>
        </w:rPr>
        <w:t>项目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内容</w:t>
      </w:r>
    </w:p>
    <w:tbl>
      <w:tblPr>
        <w:tblStyle w:val="13"/>
        <w:tblW w:w="85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1830"/>
        <w:gridCol w:w="1230"/>
        <w:gridCol w:w="473"/>
        <w:gridCol w:w="495"/>
        <w:gridCol w:w="40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4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40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4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计算机监控系统现场技术服务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现场技术服务</w:t>
            </w:r>
          </w:p>
        </w:tc>
        <w:tc>
          <w:tcPr>
            <w:tcW w:w="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0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计算机监控系统</w:t>
            </w: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现场技术服务包括：</w:t>
            </w: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>更新开关站LCU与线路保护的通讯配置，更新监控系统数据库并同步至上位机服务器，完成现场对点测试等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lang w:val="en-US" w:eastAsia="zh-CN"/>
              </w:rPr>
              <w:t>。</w:t>
            </w:r>
          </w:p>
        </w:tc>
      </w:tr>
    </w:tbl>
    <w:p>
      <w:pPr>
        <w:spacing w:line="500" w:lineRule="exact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3.3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服务内容说明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1、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海南琼中抽水蓄能电站的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计算机监控系统，配合220kV蓄琼甲、乙线主二保护PRS-753NA2-N的程序版本升级工作，同步更新开关站LCU与线路保护的通讯配置，更新监控系统数据库并并同步至上位机服务器，完成现场对点测试等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 w:cs="Times New Roman"/>
          <w:kern w:val="0"/>
          <w:sz w:val="24"/>
          <w:lang w:val="en-US" w:eastAsia="zh-CN"/>
        </w:rPr>
        <w:t>乙方提供为期1年的质量保证，在质保期内运行过程中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如不满足质量保证要求</w:t>
      </w:r>
      <w:r>
        <w:rPr>
          <w:rFonts w:hint="eastAsia" w:ascii="Times New Roman" w:hAnsi="Times New Roman" w:eastAsia="宋体" w:cs="Times New Roman"/>
          <w:kern w:val="0"/>
          <w:sz w:val="24"/>
          <w:lang w:val="en-US" w:eastAsia="zh-CN"/>
        </w:rPr>
        <w:t>，乙方应及时提供技术服务完成功能修复。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3、乙方必须指派合格的、有经验的技术人员到现场，实施</w:t>
      </w:r>
      <w:bookmarkStart w:id="0" w:name="_GoBack"/>
      <w:bookmarkEnd w:id="0"/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调试和现场试验等工作。乙方的现场工程师应对现场技术服务工作的正确性负责。</w:t>
      </w:r>
    </w:p>
    <w:p>
      <w:pPr>
        <w:widowControl/>
        <w:spacing w:line="360" w:lineRule="auto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四、</w:t>
      </w: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项目支付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spacing w:line="500" w:lineRule="exact"/>
        <w:ind w:firstLine="480" w:firstLineChars="200"/>
        <w:textAlignment w:val="baseline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现场技术服务工作全部完成后，</w:t>
      </w:r>
      <w:r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  <w:t>乙方提交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现场技术服务报告书和服务质量承诺书，经甲方验收并出具验收合格的书面意见后，</w:t>
      </w:r>
      <w:r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  <w:t>乙方提供增值税专用发票，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甲方在</w:t>
      </w:r>
      <w:r>
        <w:rPr>
          <w:rFonts w:ascii="宋体" w:hAnsi="宋体" w:eastAsia="宋体" w:cs="宋体"/>
          <w:sz w:val="24"/>
          <w:szCs w:val="24"/>
        </w:rPr>
        <w:t>满足付款条件后60日内完成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支付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。</w:t>
      </w:r>
    </w:p>
    <w:p>
      <w:pPr>
        <w:spacing w:line="360" w:lineRule="auto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  <w:t>、其他要求</w:t>
      </w:r>
    </w:p>
    <w:p>
      <w:pPr>
        <w:spacing w:line="500" w:lineRule="exact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无</w:t>
      </w:r>
    </w:p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yFontName">
    <w:altName w:val="XcGJ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font">
    <w:altName w:val="XcGJ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xeiconfont">
    <w:altName w:val="XcGJ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XcGJSymbol"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BE08DA"/>
    <w:multiLevelType w:val="multilevel"/>
    <w:tmpl w:val="22BE08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992"/>
      </w:pPr>
      <w:rPr>
        <w:rFonts w:hint="eastAsia" w:ascii="黑体" w:hAnsi="黑体" w:eastAsia="黑体"/>
        <w:b w:val="0"/>
        <w:color w:val="auto"/>
      </w:rPr>
    </w:lvl>
    <w:lvl w:ilvl="2" w:tentative="0">
      <w:start w:val="1"/>
      <w:numFmt w:val="decimal"/>
      <w:suff w:val="space"/>
      <w:lvlText w:val="%1.%2.%3"/>
      <w:lvlJc w:val="left"/>
      <w:pPr>
        <w:ind w:left="851" w:hanging="851"/>
      </w:pPr>
      <w:rPr>
        <w:rFonts w:hint="eastAsia" w:ascii="黑体" w:hAnsi="黑体" w:eastAsia="黑体"/>
        <w:b w:val="0"/>
        <w:color w:val="auto"/>
      </w:rPr>
    </w:lvl>
    <w:lvl w:ilvl="3" w:tentative="0">
      <w:start w:val="1"/>
      <w:numFmt w:val="decimal"/>
      <w:pStyle w:val="29"/>
      <w:suff w:val="space"/>
      <w:lvlText w:val="%1.%2.%3.%4"/>
      <w:lvlJc w:val="left"/>
      <w:pPr>
        <w:ind w:left="1984" w:hanging="1984"/>
      </w:pPr>
      <w:rPr>
        <w:rFonts w:hint="eastAsia" w:eastAsia="宋体" w:asciiTheme="minorEastAsia" w:hAnsiTheme="minorEastAsia"/>
        <w:color w:val="auto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5E8FCFBB"/>
    <w:multiLevelType w:val="multilevel"/>
    <w:tmpl w:val="5E8FCFBB"/>
    <w:lvl w:ilvl="0" w:tentative="0">
      <w:start w:val="1"/>
      <w:numFmt w:val="decimal"/>
      <w:pStyle w:val="26"/>
      <w:lvlText w:val="%1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1" w:tentative="0">
      <w:start w:val="1"/>
      <w:numFmt w:val="decimal"/>
      <w:pStyle w:val="25"/>
      <w:lvlText w:val="%1.%2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</w:rPr>
    </w:lvl>
    <w:lvl w:ilvl="2" w:tentative="0">
      <w:start w:val="1"/>
      <w:numFmt w:val="decimal"/>
      <w:pStyle w:val="24"/>
      <w:suff w:val="space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3" w:tentative="0">
      <w:start w:val="1"/>
      <w:numFmt w:val="decimal"/>
      <w:lvlText w:val="%1.%2.%3.%4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6754FDA5"/>
    <w:multiLevelType w:val="singleLevel"/>
    <w:tmpl w:val="6754FDA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6933334"/>
    <w:multiLevelType w:val="multilevel"/>
    <w:tmpl w:val="76933334"/>
    <w:lvl w:ilvl="0" w:tentative="0">
      <w:start w:val="1"/>
      <w:numFmt w:val="upperLetter"/>
      <w:pStyle w:val="30"/>
      <w:suff w:val="nothing"/>
      <w:lvlText w:val="附  录  %1 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1"/>
        </w:tabs>
        <w:ind w:left="438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97"/>
        </w:tabs>
        <w:ind w:left="5097" w:hanging="170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00000000"/>
    <w:rsid w:val="011145B6"/>
    <w:rsid w:val="02105673"/>
    <w:rsid w:val="02A46BB1"/>
    <w:rsid w:val="037A40C6"/>
    <w:rsid w:val="03DC68B4"/>
    <w:rsid w:val="04AF0093"/>
    <w:rsid w:val="05085485"/>
    <w:rsid w:val="054D3B3F"/>
    <w:rsid w:val="05CA273A"/>
    <w:rsid w:val="06856633"/>
    <w:rsid w:val="073C31C4"/>
    <w:rsid w:val="0AE05343"/>
    <w:rsid w:val="0E837DED"/>
    <w:rsid w:val="0E8A02B9"/>
    <w:rsid w:val="105E23FD"/>
    <w:rsid w:val="11572E8D"/>
    <w:rsid w:val="1290604A"/>
    <w:rsid w:val="133832E8"/>
    <w:rsid w:val="14EF0366"/>
    <w:rsid w:val="16D76A65"/>
    <w:rsid w:val="17CD20C5"/>
    <w:rsid w:val="18D4004A"/>
    <w:rsid w:val="1BF96815"/>
    <w:rsid w:val="1CBA3A01"/>
    <w:rsid w:val="1E2E49FA"/>
    <w:rsid w:val="1E564F90"/>
    <w:rsid w:val="1E745A2C"/>
    <w:rsid w:val="1F3518C1"/>
    <w:rsid w:val="1F445FB7"/>
    <w:rsid w:val="20AA2164"/>
    <w:rsid w:val="215F79F8"/>
    <w:rsid w:val="217556F5"/>
    <w:rsid w:val="2223653E"/>
    <w:rsid w:val="22B06E96"/>
    <w:rsid w:val="233660B1"/>
    <w:rsid w:val="237F09E4"/>
    <w:rsid w:val="23876F54"/>
    <w:rsid w:val="246C1FEE"/>
    <w:rsid w:val="24892425"/>
    <w:rsid w:val="24F42ED8"/>
    <w:rsid w:val="268A1F04"/>
    <w:rsid w:val="26937E0C"/>
    <w:rsid w:val="26A947C0"/>
    <w:rsid w:val="26B64AE2"/>
    <w:rsid w:val="2B4A5EB5"/>
    <w:rsid w:val="2B762831"/>
    <w:rsid w:val="2C706946"/>
    <w:rsid w:val="2C87397F"/>
    <w:rsid w:val="2D894E77"/>
    <w:rsid w:val="2F354F9E"/>
    <w:rsid w:val="2F450C11"/>
    <w:rsid w:val="2FC949E6"/>
    <w:rsid w:val="33736984"/>
    <w:rsid w:val="348A4CBF"/>
    <w:rsid w:val="34D128B0"/>
    <w:rsid w:val="34D7584D"/>
    <w:rsid w:val="39BF40A5"/>
    <w:rsid w:val="39D5466D"/>
    <w:rsid w:val="39D97BC0"/>
    <w:rsid w:val="3A4B6BF0"/>
    <w:rsid w:val="3A617939"/>
    <w:rsid w:val="3CA04220"/>
    <w:rsid w:val="3E804094"/>
    <w:rsid w:val="412C0E2D"/>
    <w:rsid w:val="43BA773D"/>
    <w:rsid w:val="4779211A"/>
    <w:rsid w:val="48B02898"/>
    <w:rsid w:val="496C16BA"/>
    <w:rsid w:val="4B12476D"/>
    <w:rsid w:val="4B3E7B46"/>
    <w:rsid w:val="4B663FE5"/>
    <w:rsid w:val="4C2D252F"/>
    <w:rsid w:val="4C5D5FF1"/>
    <w:rsid w:val="4E9E4ABB"/>
    <w:rsid w:val="4FC830DB"/>
    <w:rsid w:val="4FD12729"/>
    <w:rsid w:val="502C723E"/>
    <w:rsid w:val="505025CD"/>
    <w:rsid w:val="51A26E98"/>
    <w:rsid w:val="51D54702"/>
    <w:rsid w:val="53195188"/>
    <w:rsid w:val="532A3347"/>
    <w:rsid w:val="544B268E"/>
    <w:rsid w:val="54972393"/>
    <w:rsid w:val="54F72A83"/>
    <w:rsid w:val="55B97975"/>
    <w:rsid w:val="568B3962"/>
    <w:rsid w:val="5A3E4C8E"/>
    <w:rsid w:val="5A8B3529"/>
    <w:rsid w:val="5AD324CE"/>
    <w:rsid w:val="5B615373"/>
    <w:rsid w:val="5EDA62E9"/>
    <w:rsid w:val="600D27E1"/>
    <w:rsid w:val="60C72C73"/>
    <w:rsid w:val="624C462A"/>
    <w:rsid w:val="62DA0294"/>
    <w:rsid w:val="632877B1"/>
    <w:rsid w:val="63605BFD"/>
    <w:rsid w:val="651741B8"/>
    <w:rsid w:val="66590BF3"/>
    <w:rsid w:val="66C75126"/>
    <w:rsid w:val="684D6073"/>
    <w:rsid w:val="69894F6A"/>
    <w:rsid w:val="69D71CCC"/>
    <w:rsid w:val="6AE54E58"/>
    <w:rsid w:val="6B502BB4"/>
    <w:rsid w:val="6B6D18B2"/>
    <w:rsid w:val="6B8061C7"/>
    <w:rsid w:val="6B9D6FB6"/>
    <w:rsid w:val="6BB55A52"/>
    <w:rsid w:val="6D084078"/>
    <w:rsid w:val="6E3803A5"/>
    <w:rsid w:val="6E595BB4"/>
    <w:rsid w:val="6ECB392F"/>
    <w:rsid w:val="6EFC78C2"/>
    <w:rsid w:val="70E2391E"/>
    <w:rsid w:val="72904664"/>
    <w:rsid w:val="74C16CDF"/>
    <w:rsid w:val="758A5266"/>
    <w:rsid w:val="75D13DB6"/>
    <w:rsid w:val="77F12301"/>
    <w:rsid w:val="789C7825"/>
    <w:rsid w:val="794E03FE"/>
    <w:rsid w:val="7C121B6B"/>
    <w:rsid w:val="7C6A0A85"/>
    <w:rsid w:val="7D221505"/>
    <w:rsid w:val="7DB859C6"/>
    <w:rsid w:val="7EC16401"/>
    <w:rsid w:val="7F81283B"/>
    <w:rsid w:val="7FC46FC0"/>
    <w:rsid w:val="7FCA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0" w:afterAutospacing="0" w:line="560" w:lineRule="exact"/>
      <w:ind w:firstLine="0" w:firstLineChars="0"/>
      <w:jc w:val="left"/>
      <w:outlineLvl w:val="0"/>
    </w:pPr>
    <w:rPr>
      <w:rFonts w:hint="eastAsia" w:eastAsia="黑体" w:cs="宋体"/>
      <w:bCs/>
      <w:kern w:val="44"/>
      <w:szCs w:val="48"/>
      <w:lang w:bidi="ar"/>
    </w:rPr>
  </w:style>
  <w:style w:type="paragraph" w:styleId="5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Lines="0" w:afterLines="0"/>
      <w:ind w:firstLine="0" w:firstLineChars="0"/>
      <w:jc w:val="left"/>
      <w:outlineLvl w:val="1"/>
    </w:pPr>
    <w:rPr>
      <w:rFonts w:ascii="Times New Roman" w:hAnsi="Times New Roman" w:eastAsia="宋体" w:cs="Times New Roman"/>
      <w:b/>
      <w:bCs/>
      <w:szCs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2"/>
    </w:pPr>
    <w:rPr>
      <w:b/>
      <w:sz w:val="30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4"/>
    </w:pPr>
    <w:rPr>
      <w:b/>
      <w:sz w:val="2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Arial" w:hAnsi="Arial" w:eastAsia="宋体" w:cstheme="minorBidi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9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10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  <w:bCs/>
    </w:rPr>
  </w:style>
  <w:style w:type="character" w:styleId="16">
    <w:name w:val="FollowedHyperlink"/>
    <w:basedOn w:val="14"/>
    <w:uiPriority w:val="0"/>
    <w:rPr>
      <w:color w:val="000000"/>
      <w:u w:val="none"/>
    </w:rPr>
  </w:style>
  <w:style w:type="character" w:styleId="17">
    <w:name w:val="HTML Definition"/>
    <w:basedOn w:val="14"/>
    <w:uiPriority w:val="0"/>
    <w:rPr>
      <w:i/>
      <w:iCs/>
    </w:rPr>
  </w:style>
  <w:style w:type="character" w:styleId="18">
    <w:name w:val="Hyperlink"/>
    <w:basedOn w:val="14"/>
    <w:uiPriority w:val="0"/>
    <w:rPr>
      <w:color w:val="000000"/>
      <w:u w:val="none"/>
    </w:rPr>
  </w:style>
  <w:style w:type="character" w:styleId="19">
    <w:name w:val="HTML Code"/>
    <w:basedOn w:val="14"/>
    <w:uiPriority w:val="0"/>
    <w:rPr>
      <w:rFonts w:hint="default" w:ascii="Consolas" w:hAnsi="Consolas" w:eastAsia="Consolas" w:cs="Consolas"/>
      <w:sz w:val="21"/>
      <w:szCs w:val="21"/>
    </w:rPr>
  </w:style>
  <w:style w:type="character" w:styleId="20">
    <w:name w:val="HTML Keyboard"/>
    <w:basedOn w:val="14"/>
    <w:uiPriority w:val="0"/>
    <w:rPr>
      <w:rFonts w:hint="default" w:ascii="Consolas" w:hAnsi="Consolas" w:eastAsia="Consolas" w:cs="Consolas"/>
      <w:sz w:val="21"/>
      <w:szCs w:val="21"/>
    </w:rPr>
  </w:style>
  <w:style w:type="character" w:styleId="21">
    <w:name w:val="HTML Sample"/>
    <w:basedOn w:val="14"/>
    <w:uiPriority w:val="0"/>
    <w:rPr>
      <w:rFonts w:ascii="Consolas" w:hAnsi="Consolas" w:eastAsia="Consolas" w:cs="Consolas"/>
      <w:sz w:val="21"/>
      <w:szCs w:val="21"/>
    </w:rPr>
  </w:style>
  <w:style w:type="character" w:customStyle="1" w:styleId="22">
    <w:name w:val="标题 2 Char"/>
    <w:link w:val="5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paragraph" w:customStyle="1" w:styleId="23">
    <w:name w:val="段"/>
    <w:qFormat/>
    <w:uiPriority w:val="0"/>
    <w:pPr>
      <w:autoSpaceDE w:val="0"/>
      <w:autoSpaceDN w:val="0"/>
      <w:spacing w:before="240" w:after="60"/>
      <w:ind w:firstLine="420" w:firstLineChars="200"/>
      <w:jc w:val="both"/>
    </w:pPr>
    <w:rPr>
      <w:rFonts w:ascii="宋体" w:hAnsi="Times New Roman" w:eastAsia="宋体" w:cs="黑体"/>
      <w:kern w:val="2"/>
      <w:sz w:val="21"/>
      <w:szCs w:val="22"/>
      <w:lang w:val="en-US" w:eastAsia="zh-CN" w:bidi="ar-SA"/>
    </w:rPr>
  </w:style>
  <w:style w:type="paragraph" w:customStyle="1" w:styleId="24">
    <w:name w:val="作业标题3"/>
    <w:basedOn w:val="25"/>
    <w:next w:val="27"/>
    <w:qFormat/>
    <w:uiPriority w:val="0"/>
    <w:pPr>
      <w:numPr>
        <w:ilvl w:val="2"/>
        <w:numId w:val="1"/>
      </w:numPr>
      <w:tabs>
        <w:tab w:val="left" w:pos="420"/>
      </w:tabs>
      <w:spacing w:line="360" w:lineRule="auto"/>
      <w:ind w:left="0" w:firstLine="0"/>
    </w:pPr>
    <w:rPr>
      <w:rFonts w:eastAsia="宋体"/>
    </w:rPr>
  </w:style>
  <w:style w:type="paragraph" w:customStyle="1" w:styleId="25">
    <w:name w:val="作业标题2"/>
    <w:basedOn w:val="26"/>
    <w:next w:val="27"/>
    <w:qFormat/>
    <w:uiPriority w:val="0"/>
    <w:pPr>
      <w:numPr>
        <w:ilvl w:val="1"/>
        <w:numId w:val="1"/>
      </w:numPr>
      <w:tabs>
        <w:tab w:val="left" w:pos="0"/>
      </w:tabs>
      <w:ind w:left="0" w:firstLine="0"/>
      <w:jc w:val="left"/>
    </w:pPr>
  </w:style>
  <w:style w:type="paragraph" w:customStyle="1" w:styleId="26">
    <w:name w:val="作业标题1"/>
    <w:basedOn w:val="4"/>
    <w:next w:val="27"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/>
    </w:rPr>
  </w:style>
  <w:style w:type="paragraph" w:customStyle="1" w:styleId="27">
    <w:name w:val="作业正文"/>
    <w:qFormat/>
    <w:uiPriority w:val="0"/>
    <w:pPr>
      <w:autoSpaceDE w:val="0"/>
      <w:autoSpaceDN w:val="0"/>
      <w:ind w:firstLine="200" w:firstLineChars="200"/>
      <w:jc w:val="both"/>
    </w:pPr>
    <w:rPr>
      <w:rFonts w:ascii="宋体" w:hAnsi="宋体" w:eastAsia="宋体" w:cs="Times New Roman"/>
      <w:sz w:val="21"/>
      <w:lang w:val="en-US" w:eastAsia="zh-CN" w:bidi="ar-SA"/>
    </w:rPr>
  </w:style>
  <w:style w:type="paragraph" w:customStyle="1" w:styleId="28">
    <w:name w:val="格式4"/>
    <w:basedOn w:val="29"/>
    <w:qFormat/>
    <w:uiPriority w:val="0"/>
    <w:pPr>
      <w:tabs>
        <w:tab w:val="left" w:pos="567"/>
        <w:tab w:val="left" w:pos="709"/>
        <w:tab w:val="left" w:pos="993"/>
        <w:tab w:val="left" w:pos="6405"/>
      </w:tabs>
    </w:pPr>
  </w:style>
  <w:style w:type="paragraph" w:customStyle="1" w:styleId="29">
    <w:name w:val="样式5"/>
    <w:basedOn w:val="30"/>
    <w:qFormat/>
    <w:uiPriority w:val="0"/>
    <w:pPr>
      <w:keepNext/>
      <w:numPr>
        <w:ilvl w:val="3"/>
        <w:numId w:val="2"/>
      </w:numPr>
      <w:tabs>
        <w:tab w:val="left" w:pos="567"/>
        <w:tab w:val="left" w:pos="709"/>
        <w:tab w:val="left" w:pos="993"/>
        <w:tab w:val="left" w:pos="6405"/>
      </w:tabs>
      <w:spacing w:before="0" w:after="0"/>
      <w:jc w:val="both"/>
      <w:outlineLvl w:val="9"/>
    </w:pPr>
    <w:rPr>
      <w:rFonts w:asciiTheme="minorEastAsia" w:hAnsiTheme="minorEastAsia"/>
    </w:rPr>
  </w:style>
  <w:style w:type="paragraph" w:customStyle="1" w:styleId="30">
    <w:name w:val="附录标识"/>
    <w:basedOn w:val="31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31">
    <w:name w:val="前言、引言标题"/>
    <w:next w:val="1"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character" w:customStyle="1" w:styleId="32">
    <w:name w:val="font51"/>
    <w:basedOn w:val="14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33">
    <w:name w:val="font11"/>
    <w:basedOn w:val="1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4">
    <w:name w:val="ant-radio+*"/>
    <w:basedOn w:val="14"/>
    <w:uiPriority w:val="0"/>
    <w:rPr>
      <w:bdr w:val="none" w:color="auto" w:sz="0" w:space="0"/>
    </w:rPr>
  </w:style>
  <w:style w:type="character" w:customStyle="1" w:styleId="35">
    <w:name w:val="ant-tree-iconele"/>
    <w:basedOn w:val="14"/>
    <w:uiPriority w:val="0"/>
  </w:style>
  <w:style w:type="character" w:customStyle="1" w:styleId="36">
    <w:name w:val="ant-transfer-list-search-action"/>
    <w:basedOn w:val="14"/>
    <w:uiPriority w:val="0"/>
  </w:style>
  <w:style w:type="character" w:customStyle="1" w:styleId="37">
    <w:name w:val="ant-select-tree-switcher"/>
    <w:basedOn w:val="14"/>
    <w:uiPriority w:val="0"/>
    <w:rPr>
      <w:bdr w:val="none" w:color="auto" w:sz="0" w:space="0"/>
    </w:rPr>
  </w:style>
  <w:style w:type="character" w:customStyle="1" w:styleId="38">
    <w:name w:val="ant-tree-switcher2"/>
    <w:basedOn w:val="14"/>
    <w:uiPriority w:val="0"/>
    <w:rPr>
      <w:bdr w:val="none" w:color="auto" w:sz="0" w:space="0"/>
    </w:rPr>
  </w:style>
  <w:style w:type="character" w:customStyle="1" w:styleId="39">
    <w:name w:val="ant-select-tree-iconele2"/>
    <w:basedOn w:val="14"/>
    <w:uiPriority w:val="0"/>
    <w:rPr>
      <w:bdr w:val="none" w:color="auto" w:sz="0" w:space="0"/>
    </w:rPr>
  </w:style>
  <w:style w:type="character" w:customStyle="1" w:styleId="40">
    <w:name w:val="ant-select-tree-checkbox2"/>
    <w:basedOn w:val="14"/>
    <w:uiPriority w:val="0"/>
  </w:style>
  <w:style w:type="character" w:customStyle="1" w:styleId="41">
    <w:name w:val="ant-tree-checkbox2"/>
    <w:basedOn w:val="14"/>
    <w:uiPriority w:val="0"/>
    <w:rPr>
      <w:bdr w:val="none" w:color="auto" w:sz="0" w:space="0"/>
    </w:rPr>
  </w:style>
  <w:style w:type="character" w:customStyle="1" w:styleId="42">
    <w:name w:val="ant-tree-checkbox"/>
    <w:basedOn w:val="14"/>
    <w:uiPriority w:val="0"/>
    <w:rPr>
      <w:bdr w:val="none" w:color="auto" w:sz="0" w:space="0"/>
    </w:rPr>
  </w:style>
  <w:style w:type="character" w:customStyle="1" w:styleId="43">
    <w:name w:val="ant-tree-iconele1"/>
    <w:basedOn w:val="14"/>
    <w:uiPriority w:val="0"/>
    <w:rPr>
      <w:bdr w:val="none" w:color="auto" w:sz="0" w:space="0"/>
    </w:rPr>
  </w:style>
  <w:style w:type="character" w:customStyle="1" w:styleId="44">
    <w:name w:val="ant-select-tree-iconele"/>
    <w:basedOn w:val="14"/>
    <w:uiPriority w:val="0"/>
    <w:rPr>
      <w:bdr w:val="none" w:color="auto" w:sz="0" w:space="0"/>
    </w:rPr>
  </w:style>
  <w:style w:type="character" w:customStyle="1" w:styleId="45">
    <w:name w:val="ant-descriptions-item-content8"/>
    <w:basedOn w:val="1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1858</Words>
  <Characters>2187</Characters>
  <Lines>0</Lines>
  <Paragraphs>0</Paragraphs>
  <TotalTime>1</TotalTime>
  <ScaleCrop>false</ScaleCrop>
  <LinksUpToDate>false</LinksUpToDate>
  <CharactersWithSpaces>2213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2022-04-22T16:00:00Z</dcterms:created>
  <dc:creator>梅文星</dc:creator>
  <cp:lastModifiedBy>MWX</cp:lastModifiedBy>
  <dcterms:modified xsi:type="dcterms:W3CDTF">2026-07-07T12:12:18Z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7051AEB6AFA64B8C9840AF1CE0F6ED85</vt:lpwstr>
  </property>
</Properties>
</file>