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56" w:beforeLines="50" w:after="156" w:afterLines="50" w:line="560" w:lineRule="atLeast"/>
        <w:jc w:val="center"/>
        <w:rPr>
          <w:rFonts w:hint="default" w:ascii="Times New Roman" w:hAnsi="Times New Roman" w:eastAsia="宋体" w:cs="Times New Roman"/>
          <w:b/>
          <w:color w:val="000000"/>
          <w:position w:val="16"/>
          <w:sz w:val="56"/>
          <w:szCs w:val="72"/>
        </w:rPr>
      </w:pPr>
    </w:p>
    <w:p>
      <w:pPr>
        <w:widowControl/>
        <w:spacing w:before="156" w:beforeLines="50" w:after="156" w:afterLines="50" w:line="560" w:lineRule="atLeast"/>
        <w:jc w:val="center"/>
        <w:rPr>
          <w:rFonts w:hint="default" w:ascii="Times New Roman" w:hAnsi="Times New Roman" w:eastAsia="宋体" w:cs="Times New Roman"/>
          <w:b/>
          <w:color w:val="000000"/>
          <w:position w:val="16"/>
          <w:sz w:val="56"/>
          <w:szCs w:val="72"/>
        </w:rPr>
      </w:pPr>
    </w:p>
    <w:p>
      <w:pPr>
        <w:widowControl/>
        <w:spacing w:before="156" w:beforeLines="50" w:after="156" w:afterLines="50" w:line="560" w:lineRule="atLeast"/>
        <w:jc w:val="center"/>
        <w:rPr>
          <w:rFonts w:hint="default" w:ascii="Times New Roman" w:hAnsi="Times New Roman" w:eastAsia="宋体" w:cs="Times New Roman"/>
          <w:b/>
          <w:color w:val="000000"/>
          <w:position w:val="16"/>
          <w:sz w:val="56"/>
          <w:szCs w:val="72"/>
        </w:rPr>
      </w:pPr>
      <w:r>
        <w:rPr>
          <w:rFonts w:hint="default" w:ascii="Times New Roman" w:hAnsi="Times New Roman" w:eastAsia="宋体" w:cs="Times New Roman"/>
          <w:b/>
          <w:color w:val="000000"/>
          <w:position w:val="16"/>
          <w:sz w:val="56"/>
          <w:szCs w:val="72"/>
        </w:rPr>
        <w:t>海南蓄能发电有限公司</w:t>
      </w:r>
    </w:p>
    <w:p>
      <w:pPr>
        <w:keepNext w:val="0"/>
        <w:keepLines w:val="0"/>
        <w:pageBreakBefore w:val="0"/>
        <w:widowControl/>
        <w:kinsoku/>
        <w:wordWrap w:val="0"/>
        <w:overflowPunct/>
        <w:topLinePunct w:val="0"/>
        <w:autoSpaceDE/>
        <w:autoSpaceDN/>
        <w:bidi w:val="0"/>
        <w:adjustRightInd/>
        <w:snapToGrid/>
        <w:spacing w:before="156" w:beforeLines="50" w:after="156" w:afterLines="50" w:line="560" w:lineRule="atLeast"/>
        <w:jc w:val="center"/>
        <w:textAlignment w:val="auto"/>
        <w:rPr>
          <w:rFonts w:hint="eastAsia" w:ascii="Times New Roman" w:hAnsi="Times New Roman" w:cs="Times New Roman"/>
          <w:b/>
          <w:color w:val="000000"/>
          <w:position w:val="16"/>
          <w:sz w:val="56"/>
          <w:szCs w:val="72"/>
          <w:lang w:val="en-US" w:eastAsia="zh-CN"/>
        </w:rPr>
      </w:pPr>
      <w:r>
        <w:rPr>
          <w:rFonts w:hint="default" w:ascii="Times New Roman" w:hAnsi="Times New Roman" w:eastAsia="宋体" w:cs="Times New Roman"/>
          <w:b/>
          <w:color w:val="000000"/>
          <w:position w:val="16"/>
          <w:sz w:val="56"/>
          <w:szCs w:val="72"/>
          <w:lang w:val="en-US" w:eastAsia="zh-CN"/>
        </w:rPr>
        <w:t>海蓄公司琼中电厂2026年保信子站配合220kV线路保护程序升级开展现场技术服务项目</w:t>
      </w:r>
    </w:p>
    <w:p>
      <w:pPr>
        <w:widowControl/>
        <w:spacing w:before="156" w:beforeLines="50" w:after="156" w:afterLines="50" w:line="560" w:lineRule="atLeast"/>
        <w:jc w:val="center"/>
        <w:rPr>
          <w:rFonts w:hint="default" w:ascii="Times New Roman" w:hAnsi="Times New Roman" w:eastAsia="宋体" w:cs="Times New Roman"/>
          <w:b/>
          <w:bCs/>
          <w:color w:val="000000"/>
          <w:position w:val="16"/>
          <w:sz w:val="56"/>
          <w:szCs w:val="72"/>
          <w:lang w:val="en-US" w:eastAsia="zh-CN"/>
        </w:rPr>
      </w:pPr>
      <w:r>
        <w:rPr>
          <w:rFonts w:hint="eastAsia" w:ascii="Times New Roman" w:hAnsi="Times New Roman" w:cs="Times New Roman"/>
          <w:b/>
          <w:color w:val="000000"/>
          <w:position w:val="16"/>
          <w:sz w:val="56"/>
          <w:szCs w:val="72"/>
          <w:lang w:val="en-US" w:eastAsia="zh-CN"/>
        </w:rPr>
        <w:t>技术规范书</w:t>
      </w:r>
    </w:p>
    <w:p>
      <w:pPr>
        <w:widowControl/>
        <w:spacing w:before="156" w:beforeLines="50" w:after="156" w:afterLines="50" w:line="560" w:lineRule="atLeast"/>
        <w:jc w:val="center"/>
        <w:rPr>
          <w:rFonts w:hint="default" w:ascii="Times New Roman" w:hAnsi="Times New Roman" w:eastAsia="宋体" w:cs="Times New Roman"/>
          <w:b/>
          <w:color w:val="000000"/>
          <w:position w:val="16"/>
          <w:sz w:val="56"/>
          <w:szCs w:val="72"/>
        </w:rPr>
      </w:pPr>
    </w:p>
    <w:p>
      <w:pPr>
        <w:ind w:firstLine="3614" w:firstLineChars="1000"/>
        <w:rPr>
          <w:rFonts w:hint="default" w:ascii="Times New Roman" w:hAnsi="Times New Roman" w:eastAsia="宋体" w:cs="Times New Roman"/>
          <w:b/>
          <w:color w:val="000000"/>
          <w:position w:val="16"/>
          <w:sz w:val="36"/>
          <w:szCs w:val="44"/>
        </w:rPr>
      </w:pPr>
    </w:p>
    <w:p>
      <w:pPr>
        <w:snapToGrid w:val="0"/>
        <w:jc w:val="center"/>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snapToGrid w:val="0"/>
        <w:jc w:val="both"/>
        <w:rPr>
          <w:rFonts w:hint="default" w:ascii="Times New Roman" w:hAnsi="Times New Roman" w:eastAsia="宋体" w:cs="Times New Roman"/>
          <w:sz w:val="48"/>
          <w:szCs w:val="48"/>
        </w:rPr>
      </w:pPr>
    </w:p>
    <w:p>
      <w:pPr>
        <w:snapToGrid w:val="0"/>
        <w:jc w:val="center"/>
        <w:rPr>
          <w:rFonts w:hint="default" w:ascii="Times New Roman" w:hAnsi="Times New Roman" w:eastAsia="宋体" w:cs="Times New Roman"/>
          <w:sz w:val="48"/>
          <w:szCs w:val="48"/>
        </w:rPr>
      </w:pPr>
    </w:p>
    <w:p>
      <w:pPr>
        <w:pStyle w:val="16"/>
        <w:keepLines w:val="0"/>
        <w:pageBreakBefore w:val="0"/>
        <w:tabs>
          <w:tab w:val="left" w:pos="284"/>
        </w:tabs>
        <w:topLinePunct w:val="0"/>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bCs/>
          <w:color w:val="auto"/>
          <w:sz w:val="21"/>
          <w:szCs w:val="21"/>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b/>
          <w:color w:val="000000"/>
          <w:position w:val="16"/>
          <w:sz w:val="36"/>
        </w:rPr>
        <w:t>二〇</w:t>
      </w:r>
      <w:r>
        <w:rPr>
          <w:rFonts w:hint="default" w:ascii="Times New Roman" w:hAnsi="Times New Roman" w:eastAsia="宋体" w:cs="Times New Roman"/>
          <w:b/>
          <w:color w:val="000000"/>
          <w:position w:val="16"/>
          <w:sz w:val="36"/>
          <w:lang w:val="en-US" w:eastAsia="zh-CN"/>
        </w:rPr>
        <w:t>二</w:t>
      </w:r>
      <w:r>
        <w:rPr>
          <w:rFonts w:hint="eastAsia" w:ascii="Times New Roman" w:cs="Times New Roman"/>
          <w:b/>
          <w:color w:val="000000"/>
          <w:position w:val="16"/>
          <w:sz w:val="36"/>
          <w:lang w:val="en-US" w:eastAsia="zh-CN"/>
        </w:rPr>
        <w:t>六</w:t>
      </w:r>
      <w:r>
        <w:rPr>
          <w:rFonts w:hint="default" w:ascii="Times New Roman" w:hAnsi="Times New Roman" w:eastAsia="宋体" w:cs="Times New Roman"/>
          <w:b/>
          <w:color w:val="000000"/>
          <w:position w:val="16"/>
          <w:sz w:val="36"/>
        </w:rPr>
        <w:t>年</w:t>
      </w:r>
      <w:r>
        <w:rPr>
          <w:rFonts w:hint="eastAsia" w:ascii="Times New Roman" w:cs="Times New Roman"/>
          <w:b/>
          <w:color w:val="000000"/>
          <w:position w:val="16"/>
          <w:sz w:val="36"/>
          <w:lang w:val="en-US" w:eastAsia="zh-CN"/>
        </w:rPr>
        <w:t>七</w:t>
      </w:r>
      <w:r>
        <w:rPr>
          <w:rFonts w:hint="default" w:ascii="Times New Roman" w:hAnsi="Times New Roman" w:eastAsia="宋体" w:cs="Times New Roman"/>
          <w:b/>
          <w:color w:val="000000"/>
          <w:position w:val="16"/>
          <w:sz w:val="36"/>
        </w:rPr>
        <w:t>月</w:t>
      </w:r>
    </w:p>
    <w:p>
      <w:pPr>
        <w:jc w:val="left"/>
        <w:rPr>
          <w:rFonts w:hint="default" w:ascii="Times New Roman" w:hAnsi="Times New Roman" w:eastAsia="宋体" w:cs="Times New Roman"/>
          <w:b/>
          <w:sz w:val="28"/>
          <w:szCs w:val="24"/>
          <w:lang w:val="en-US" w:eastAsia="zh-CN"/>
        </w:rPr>
      </w:pPr>
      <w:r>
        <w:rPr>
          <w:rFonts w:hint="default" w:ascii="Times New Roman" w:hAnsi="Times New Roman" w:eastAsia="宋体" w:cs="Times New Roman"/>
          <w:b/>
          <w:sz w:val="28"/>
          <w:szCs w:val="24"/>
        </w:rPr>
        <w:t>一、</w:t>
      </w:r>
      <w:r>
        <w:rPr>
          <w:rFonts w:hint="eastAsia" w:ascii="Times New Roman" w:hAnsi="Times New Roman" w:cs="Times New Roman"/>
          <w:b/>
          <w:sz w:val="28"/>
          <w:szCs w:val="24"/>
          <w:lang w:val="en-US" w:eastAsia="zh-CN"/>
        </w:rPr>
        <w:t>技术要求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kern w:val="0"/>
          <w:sz w:val="24"/>
          <w:lang w:val="en-US" w:eastAsia="zh-CN"/>
        </w:rPr>
      </w:pPr>
      <w:r>
        <w:rPr>
          <w:rFonts w:hint="default" w:ascii="Times New Roman" w:hAnsi="Times New Roman" w:eastAsia="宋体" w:cs="Times New Roman"/>
          <w:kern w:val="0"/>
          <w:sz w:val="24"/>
          <w:lang w:val="en-US" w:eastAsia="zh-CN"/>
        </w:rPr>
        <w:t>GB/T 14285</w:t>
      </w:r>
      <w:r>
        <w:rPr>
          <w:rFonts w:hint="eastAsia" w:ascii="Times New Roman" w:hAnsi="Times New Roman" w:cs="Times New Roman"/>
          <w:kern w:val="0"/>
          <w:sz w:val="24"/>
          <w:lang w:val="en-US" w:eastAsia="zh-CN"/>
        </w:rPr>
        <w:t>-</w:t>
      </w:r>
      <w:r>
        <w:rPr>
          <w:rFonts w:hint="default" w:ascii="Times New Roman" w:hAnsi="Times New Roman" w:eastAsia="宋体" w:cs="Times New Roman"/>
          <w:kern w:val="0"/>
          <w:sz w:val="24"/>
          <w:lang w:val="en-US" w:eastAsia="zh-CN"/>
        </w:rPr>
        <w:t>2023 继电保护和安全自动装置技术规程</w:t>
      </w:r>
    </w:p>
    <w:p>
      <w:pPr>
        <w:numPr>
          <w:ilvl w:val="0"/>
          <w:numId w:val="4"/>
        </w:numPr>
        <w:spacing w:line="360" w:lineRule="auto"/>
        <w:rPr>
          <w:rFonts w:hint="default" w:ascii="Times New Roman" w:hAnsi="Times New Roman" w:eastAsia="宋体" w:cs="Times New Roman"/>
          <w:b/>
          <w:sz w:val="28"/>
          <w:szCs w:val="24"/>
        </w:rPr>
      </w:pPr>
      <w:r>
        <w:rPr>
          <w:rFonts w:hint="default" w:ascii="Times New Roman" w:hAnsi="Times New Roman" w:eastAsia="宋体" w:cs="Times New Roman"/>
          <w:b/>
          <w:sz w:val="28"/>
          <w:szCs w:val="24"/>
        </w:rPr>
        <w:t>质量保证要求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kern w:val="0"/>
          <w:sz w:val="24"/>
          <w:lang w:val="en-US" w:eastAsia="zh-CN"/>
        </w:rPr>
      </w:pPr>
      <w:r>
        <w:rPr>
          <w:rFonts w:hint="default" w:ascii="Times New Roman" w:hAnsi="Times New Roman" w:eastAsia="宋体" w:cs="Times New Roman"/>
          <w:kern w:val="0"/>
          <w:sz w:val="24"/>
          <w:lang w:val="en-US" w:eastAsia="zh-CN"/>
        </w:rPr>
        <w:t>乙方应根据</w:t>
      </w:r>
      <w:r>
        <w:rPr>
          <w:rFonts w:hint="eastAsia" w:ascii="Times New Roman" w:hAnsi="Times New Roman" w:cs="Times New Roman"/>
          <w:kern w:val="0"/>
          <w:sz w:val="24"/>
          <w:lang w:val="en-US" w:eastAsia="zh-CN"/>
        </w:rPr>
        <w:t>海南琼中抽水蓄能电站</w:t>
      </w:r>
      <w:r>
        <w:rPr>
          <w:rFonts w:hint="default" w:ascii="Times New Roman" w:hAnsi="Times New Roman" w:eastAsia="宋体" w:cs="Times New Roman"/>
          <w:kern w:val="0"/>
          <w:sz w:val="24"/>
          <w:lang w:val="en-US" w:eastAsia="zh-CN"/>
        </w:rPr>
        <w:t>最新</w:t>
      </w:r>
      <w:r>
        <w:rPr>
          <w:rFonts w:hint="eastAsia" w:ascii="Times New Roman" w:hAnsi="Times New Roman" w:cs="Times New Roman"/>
          <w:kern w:val="0"/>
          <w:sz w:val="24"/>
          <w:lang w:val="en-US" w:eastAsia="zh-CN"/>
        </w:rPr>
        <w:t>的继电保护配置信息</w:t>
      </w:r>
      <w:r>
        <w:rPr>
          <w:rFonts w:hint="default" w:ascii="Times New Roman" w:hAnsi="Times New Roman" w:eastAsia="宋体" w:cs="Times New Roman"/>
          <w:kern w:val="0"/>
          <w:sz w:val="24"/>
          <w:lang w:val="en-US" w:eastAsia="zh-CN"/>
        </w:rPr>
        <w:t>，</w:t>
      </w:r>
      <w:r>
        <w:rPr>
          <w:rFonts w:hint="eastAsia" w:ascii="Times New Roman" w:hAnsi="Times New Roman" w:cs="Times New Roman"/>
          <w:kern w:val="0"/>
          <w:sz w:val="24"/>
          <w:lang w:val="en-US" w:eastAsia="zh-CN"/>
        </w:rPr>
        <w:t>开展站内的2台</w:t>
      </w:r>
      <w:r>
        <w:rPr>
          <w:rFonts w:hint="eastAsia" w:ascii="Times New Roman" w:hAnsi="Times New Roman" w:eastAsia="宋体" w:cs="Times New Roman"/>
          <w:kern w:val="0"/>
          <w:sz w:val="24"/>
          <w:lang w:val="en-US" w:eastAsia="zh-CN"/>
        </w:rPr>
        <w:t>保护信息管理装置PCS-9798A</w:t>
      </w:r>
      <w:r>
        <w:rPr>
          <w:rFonts w:hint="eastAsia" w:ascii="Times New Roman" w:hAnsi="Times New Roman" w:cs="Times New Roman"/>
          <w:kern w:val="0"/>
          <w:sz w:val="24"/>
          <w:lang w:val="en-US" w:eastAsia="zh-CN"/>
        </w:rPr>
        <w:t>的配置更新</w:t>
      </w:r>
      <w:r>
        <w:rPr>
          <w:rFonts w:hint="default" w:ascii="Times New Roman" w:hAnsi="Times New Roman" w:eastAsia="宋体" w:cs="Times New Roman"/>
          <w:kern w:val="0"/>
          <w:sz w:val="24"/>
          <w:lang w:val="en-US" w:eastAsia="zh-CN"/>
        </w:rPr>
        <w:t>，</w:t>
      </w:r>
      <w:r>
        <w:rPr>
          <w:rFonts w:hint="eastAsia" w:ascii="Times New Roman" w:hAnsi="Times New Roman" w:cs="Times New Roman"/>
          <w:kern w:val="0"/>
          <w:sz w:val="24"/>
          <w:lang w:val="en-US" w:eastAsia="zh-CN"/>
        </w:rPr>
        <w:t>确保保信子站</w:t>
      </w:r>
      <w:r>
        <w:rPr>
          <w:rFonts w:hint="eastAsia" w:ascii="Times New Roman" w:hAnsi="Times New Roman" w:eastAsia="宋体" w:cs="Times New Roman"/>
          <w:kern w:val="0"/>
          <w:sz w:val="24"/>
          <w:lang w:val="en-US" w:eastAsia="zh-CN"/>
        </w:rPr>
        <w:t>正确可靠召唤站内继电保护信息、故障录波</w:t>
      </w:r>
      <w:r>
        <w:rPr>
          <w:rFonts w:hint="eastAsia" w:ascii="Times New Roman" w:hAnsi="Times New Roman" w:cs="Times New Roman"/>
          <w:kern w:val="0"/>
          <w:sz w:val="24"/>
          <w:lang w:val="en-US" w:eastAsia="zh-CN"/>
        </w:rPr>
        <w:t>，并能</w:t>
      </w:r>
      <w:r>
        <w:rPr>
          <w:rFonts w:hint="eastAsia" w:ascii="Times New Roman" w:hAnsi="Times New Roman" w:eastAsia="宋体" w:cs="Times New Roman"/>
          <w:kern w:val="0"/>
          <w:sz w:val="24"/>
          <w:lang w:val="en-US" w:eastAsia="zh-CN"/>
        </w:rPr>
        <w:t>可靠上送保护信息至海南中调的二次运维平台和储能公司的保信主站</w:t>
      </w:r>
      <w:r>
        <w:rPr>
          <w:rFonts w:hint="eastAsia" w:ascii="Times New Roman" w:hAnsi="Times New Roman" w:cs="Times New Roman"/>
          <w:kern w:val="0"/>
          <w:sz w:val="24"/>
          <w:lang w:val="en-US" w:eastAsia="zh-CN"/>
        </w:rPr>
        <w:t>平台</w:t>
      </w:r>
      <w:r>
        <w:rPr>
          <w:rFonts w:hint="default" w:ascii="Times New Roman" w:hAnsi="Times New Roman" w:eastAsia="宋体" w:cs="Times New Roman"/>
          <w:kern w:val="0"/>
          <w:sz w:val="24"/>
          <w:lang w:val="en-US" w:eastAsia="zh-CN"/>
        </w:rPr>
        <w:t>。</w:t>
      </w:r>
    </w:p>
    <w:p>
      <w:pPr>
        <w:numPr>
          <w:ilvl w:val="0"/>
          <w:numId w:val="4"/>
        </w:numPr>
        <w:spacing w:line="360" w:lineRule="auto"/>
        <w:ind w:left="0" w:leftChars="0" w:firstLine="0" w:firstLineChars="0"/>
        <w:rPr>
          <w:rFonts w:hint="default" w:ascii="Times New Roman" w:hAnsi="Times New Roman" w:eastAsia="宋体" w:cs="Times New Roman"/>
          <w:b/>
          <w:sz w:val="28"/>
          <w:szCs w:val="24"/>
        </w:rPr>
      </w:pPr>
      <w:r>
        <w:rPr>
          <w:rFonts w:hint="default" w:ascii="Times New Roman" w:hAnsi="Times New Roman" w:eastAsia="宋体" w:cs="Times New Roman"/>
          <w:b/>
          <w:sz w:val="28"/>
          <w:szCs w:val="24"/>
          <w:lang w:val="en-US" w:eastAsia="zh-CN"/>
        </w:rPr>
        <w:t>项目内容</w:t>
      </w:r>
      <w:r>
        <w:rPr>
          <w:rFonts w:hint="default" w:ascii="Times New Roman" w:hAnsi="Times New Roman" w:eastAsia="宋体" w:cs="Times New Roman"/>
          <w:b/>
          <w:sz w:val="28"/>
          <w:szCs w:val="24"/>
        </w:rPr>
        <w:t>要求</w:t>
      </w:r>
    </w:p>
    <w:p>
      <w:pPr>
        <w:widowControl/>
        <w:numPr>
          <w:ilvl w:val="0"/>
          <w:numId w:val="0"/>
        </w:numPr>
        <w:spacing w:line="360" w:lineRule="auto"/>
        <w:jc w:val="left"/>
        <w:rPr>
          <w:rFonts w:hint="default" w:ascii="Times New Roman" w:hAnsi="Times New Roman" w:eastAsia="宋体" w:cs="Times New Roman"/>
          <w:b/>
          <w:color w:val="auto"/>
          <w:sz w:val="24"/>
          <w:szCs w:val="24"/>
          <w:lang w:val="en-US" w:eastAsia="zh-CN"/>
        </w:rPr>
      </w:pPr>
      <w:r>
        <w:rPr>
          <w:rFonts w:hint="default" w:ascii="Times New Roman" w:hAnsi="Times New Roman" w:eastAsia="宋体" w:cs="Times New Roman"/>
          <w:b/>
          <w:color w:val="auto"/>
          <w:sz w:val="24"/>
          <w:szCs w:val="24"/>
          <w:lang w:val="en-US" w:eastAsia="zh-CN"/>
        </w:rPr>
        <w:t>3.1项目概况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cs="Times New Roman"/>
          <w:kern w:val="0"/>
          <w:sz w:val="24"/>
          <w:lang w:val="en-US" w:eastAsia="zh-CN"/>
        </w:rPr>
      </w:pPr>
      <w:r>
        <w:rPr>
          <w:rFonts w:hint="eastAsia" w:ascii="Times New Roman" w:hAnsi="Times New Roman" w:cs="Times New Roman"/>
          <w:kern w:val="0"/>
          <w:sz w:val="24"/>
          <w:lang w:val="en-US" w:eastAsia="zh-CN"/>
        </w:rPr>
        <w:t>海南琼中抽水蓄能电站（以下简称“海蓄电站”）位于海南省琼中县黎母山镇。海蓄电站地下厂房3台13.8kV发电电动机-变压器组，采用单元接线，分别经3回220kV高压电缆接入开关站GIS设备。海蓄电站开关站</w:t>
      </w:r>
      <w:r>
        <w:rPr>
          <w:rFonts w:hint="default" w:ascii="Times New Roman" w:hAnsi="Times New Roman" w:eastAsia="宋体" w:cs="Times New Roman"/>
          <w:kern w:val="0"/>
          <w:sz w:val="24"/>
          <w:lang w:val="en-US" w:eastAsia="zh-CN"/>
        </w:rPr>
        <w:t>220kV侧采用双母线接线，经220kV蓄琼甲线、220kV蓄琼乙线、220kV蓄成Ⅰ线、220kV蓄成Ⅱ线接入海南电网220kV电压等级系统</w:t>
      </w:r>
      <w:r>
        <w:rPr>
          <w:rFonts w:hint="eastAsia" w:ascii="Times New Roman" w:hAnsi="Times New Roman" w:cs="Times New Roman"/>
          <w:kern w:val="0"/>
          <w:sz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cs="Times New Roman"/>
          <w:kern w:val="0"/>
          <w:sz w:val="24"/>
          <w:lang w:val="en-US" w:eastAsia="zh-CN"/>
        </w:rPr>
      </w:pPr>
      <w:r>
        <w:rPr>
          <w:rFonts w:hint="default" w:ascii="Times New Roman" w:hAnsi="Times New Roman" w:cs="Times New Roman"/>
          <w:kern w:val="0"/>
          <w:sz w:val="24"/>
          <w:lang w:val="en-US" w:eastAsia="zh-CN"/>
        </w:rPr>
        <w:t>海蓄电站</w:t>
      </w:r>
      <w:r>
        <w:rPr>
          <w:rFonts w:hint="eastAsia" w:ascii="Times New Roman" w:hAnsi="Times New Roman" w:cs="Times New Roman"/>
          <w:kern w:val="0"/>
          <w:sz w:val="24"/>
          <w:lang w:val="en-US" w:eastAsia="zh-CN"/>
        </w:rPr>
        <w:t>开关站设有2台保护管理机（型号：PCS-9798A）和1台工控机（型号：中科腾跃T4288，RedHat 7.3），组成保信子站系统。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kern w:val="0"/>
          <w:sz w:val="24"/>
          <w:lang w:val="en-US" w:eastAsia="zh-CN"/>
        </w:rPr>
      </w:pPr>
      <w:r>
        <w:rPr>
          <w:rFonts w:hint="default" w:ascii="Times New Roman" w:hAnsi="Times New Roman" w:cs="Times New Roman"/>
          <w:kern w:val="0"/>
          <w:sz w:val="24"/>
          <w:lang w:val="en-US" w:eastAsia="zh-CN"/>
        </w:rPr>
        <w:t>海蓄电站</w:t>
      </w:r>
      <w:r>
        <w:rPr>
          <w:rFonts w:hint="eastAsia" w:ascii="Times New Roman" w:hAnsi="Times New Roman" w:cs="Times New Roman"/>
          <w:kern w:val="0"/>
          <w:sz w:val="24"/>
          <w:lang w:val="en-US" w:eastAsia="zh-CN"/>
        </w:rPr>
        <w:t>计划将220kV蓄琼甲、乙线主二保护PRS-753NA2-N的CPU软件版本V1.10升级至</w:t>
      </w:r>
      <w:r>
        <w:rPr>
          <w:rFonts w:hint="eastAsia" w:ascii="Times New Roman" w:hAnsi="Times New Roman" w:cs="Times New Roman"/>
          <w:kern w:val="0"/>
          <w:sz w:val="24"/>
          <w:lang w:val="en-US" w:eastAsia="zh-CN"/>
        </w:rPr>
        <w:t>目标版本V1.20</w:t>
      </w:r>
      <w:r>
        <w:rPr>
          <w:rFonts w:hint="eastAsia" w:ascii="Times New Roman" w:hAnsi="Times New Roman" w:cs="Times New Roman"/>
          <w:kern w:val="0"/>
          <w:sz w:val="24"/>
          <w:lang w:val="en-US" w:eastAsia="zh-CN"/>
        </w:rPr>
        <w:t>，需同步更新保信子站的配置，并</w:t>
      </w:r>
      <w:r>
        <w:rPr>
          <w:rFonts w:hint="eastAsia" w:ascii="Times New Roman" w:hAnsi="Times New Roman" w:eastAsia="宋体" w:cs="Times New Roman"/>
          <w:kern w:val="0"/>
          <w:sz w:val="24"/>
          <w:lang w:val="en-US" w:eastAsia="zh-CN"/>
        </w:rPr>
        <w:t>上送至海南中调的二次运维平台和储能公司的保信主站</w:t>
      </w:r>
      <w:r>
        <w:rPr>
          <w:rFonts w:hint="eastAsia" w:ascii="Times New Roman" w:hAnsi="Times New Roman" w:cs="Times New Roman"/>
          <w:kern w:val="0"/>
          <w:sz w:val="24"/>
          <w:lang w:val="en-US" w:eastAsia="zh-CN"/>
        </w:rPr>
        <w:t>平台</w:t>
      </w:r>
      <w:r>
        <w:rPr>
          <w:rFonts w:hint="default" w:ascii="Times New Roman" w:hAnsi="Times New Roman" w:eastAsia="宋体" w:cs="Times New Roman"/>
          <w:kern w:val="0"/>
          <w:sz w:val="24"/>
          <w:lang w:val="en-US" w:eastAsia="zh-CN"/>
        </w:rPr>
        <w:t>。</w:t>
      </w:r>
    </w:p>
    <w:p>
      <w:pPr>
        <w:widowControl/>
        <w:numPr>
          <w:ilvl w:val="0"/>
          <w:numId w:val="0"/>
        </w:numPr>
        <w:spacing w:line="360" w:lineRule="auto"/>
        <w:ind w:leftChars="0"/>
        <w:jc w:val="left"/>
        <w:rPr>
          <w:rFonts w:hint="default" w:ascii="Times New Roman" w:hAnsi="Times New Roman" w:eastAsia="宋体" w:cs="Times New Roman"/>
          <w:kern w:val="0"/>
          <w:sz w:val="24"/>
          <w:lang w:val="en-US" w:eastAsia="zh-CN"/>
        </w:rPr>
      </w:pPr>
      <w:r>
        <w:rPr>
          <w:rFonts w:hint="default" w:ascii="Times New Roman" w:hAnsi="Times New Roman" w:eastAsia="宋体" w:cs="Times New Roman"/>
          <w:b/>
          <w:color w:val="auto"/>
          <w:sz w:val="24"/>
          <w:szCs w:val="24"/>
          <w:lang w:val="en-US" w:eastAsia="zh-CN"/>
        </w:rPr>
        <w:t xml:space="preserve">3.2 </w:t>
      </w:r>
      <w:r>
        <w:rPr>
          <w:rFonts w:hint="default" w:ascii="Times New Roman" w:hAnsi="Times New Roman" w:eastAsia="宋体" w:cs="Times New Roman"/>
          <w:b/>
          <w:color w:val="auto"/>
          <w:sz w:val="24"/>
          <w:szCs w:val="24"/>
          <w:lang w:eastAsia="zh-CN"/>
        </w:rPr>
        <w:t>项目</w:t>
      </w:r>
      <w:r>
        <w:rPr>
          <w:rFonts w:hint="default" w:ascii="Times New Roman" w:hAnsi="Times New Roman" w:eastAsia="宋体" w:cs="Times New Roman"/>
          <w:b/>
          <w:color w:val="auto"/>
          <w:sz w:val="24"/>
          <w:szCs w:val="24"/>
          <w:lang w:val="en-US" w:eastAsia="zh-CN"/>
        </w:rPr>
        <w:t>内容</w:t>
      </w:r>
    </w:p>
    <w:tbl>
      <w:tblPr>
        <w:tblStyle w:val="13"/>
        <w:tblW w:w="85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
        <w:gridCol w:w="1830"/>
        <w:gridCol w:w="1230"/>
        <w:gridCol w:w="473"/>
        <w:gridCol w:w="495"/>
        <w:gridCol w:w="4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470"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baseline"/>
              <w:rPr>
                <w:rFonts w:hint="default" w:cs="Times New Roman"/>
                <w:color w:val="000000"/>
                <w:sz w:val="24"/>
                <w:szCs w:val="24"/>
                <w:lang w:val="en-US" w:eastAsia="zh-CN"/>
              </w:rPr>
            </w:pPr>
            <w:r>
              <w:rPr>
                <w:rFonts w:hint="default" w:cs="Times New Roman"/>
                <w:color w:val="000000"/>
                <w:sz w:val="24"/>
                <w:szCs w:val="24"/>
                <w:lang w:val="en-US" w:eastAsia="zh-CN"/>
              </w:rPr>
              <w:t>序号</w:t>
            </w:r>
          </w:p>
        </w:tc>
        <w:tc>
          <w:tcPr>
            <w:tcW w:w="1830"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baseline"/>
              <w:rPr>
                <w:rFonts w:hint="default" w:cs="Times New Roman"/>
                <w:color w:val="000000"/>
                <w:sz w:val="24"/>
                <w:szCs w:val="24"/>
                <w:lang w:val="en-US" w:eastAsia="zh-CN"/>
              </w:rPr>
            </w:pPr>
            <w:r>
              <w:rPr>
                <w:rFonts w:hint="eastAsia" w:cs="Times New Roman"/>
                <w:color w:val="000000"/>
                <w:sz w:val="24"/>
                <w:szCs w:val="24"/>
                <w:lang w:val="en-US" w:eastAsia="zh-CN"/>
              </w:rPr>
              <w:t>名称</w:t>
            </w:r>
          </w:p>
        </w:tc>
        <w:tc>
          <w:tcPr>
            <w:tcW w:w="1230"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baseline"/>
              <w:rPr>
                <w:rFonts w:hint="default" w:cs="Times New Roman"/>
                <w:color w:val="000000"/>
                <w:sz w:val="24"/>
                <w:szCs w:val="24"/>
                <w:lang w:val="en-US" w:eastAsia="zh-CN"/>
              </w:rPr>
            </w:pPr>
            <w:r>
              <w:rPr>
                <w:rFonts w:hint="eastAsia" w:cs="Times New Roman"/>
                <w:color w:val="000000"/>
                <w:sz w:val="24"/>
                <w:szCs w:val="24"/>
                <w:lang w:val="en-US" w:eastAsia="zh-CN"/>
              </w:rPr>
              <w:t>规格型号</w:t>
            </w:r>
          </w:p>
        </w:tc>
        <w:tc>
          <w:tcPr>
            <w:tcW w:w="47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baseline"/>
              <w:rPr>
                <w:rFonts w:hint="default" w:cs="Times New Roman"/>
                <w:color w:val="000000"/>
                <w:sz w:val="24"/>
                <w:szCs w:val="24"/>
                <w:lang w:val="en-US" w:eastAsia="zh-CN"/>
              </w:rPr>
            </w:pPr>
            <w:r>
              <w:rPr>
                <w:rFonts w:hint="eastAsia" w:cs="Times New Roman"/>
                <w:color w:val="000000"/>
                <w:sz w:val="24"/>
                <w:szCs w:val="24"/>
                <w:lang w:val="en-US" w:eastAsia="zh-CN"/>
              </w:rPr>
              <w:t>单位</w:t>
            </w:r>
          </w:p>
        </w:tc>
        <w:tc>
          <w:tcPr>
            <w:tcW w:w="495"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baseline"/>
              <w:rPr>
                <w:rFonts w:hint="default" w:cs="Times New Roman"/>
                <w:color w:val="000000"/>
                <w:sz w:val="24"/>
                <w:szCs w:val="24"/>
                <w:lang w:val="en-US" w:eastAsia="zh-CN"/>
              </w:rPr>
            </w:pPr>
            <w:r>
              <w:rPr>
                <w:rFonts w:hint="eastAsia" w:cs="Times New Roman"/>
                <w:color w:val="000000"/>
                <w:sz w:val="24"/>
                <w:szCs w:val="24"/>
                <w:lang w:val="en-US" w:eastAsia="zh-CN"/>
              </w:rPr>
              <w:t>数量</w:t>
            </w:r>
          </w:p>
        </w:tc>
        <w:tc>
          <w:tcPr>
            <w:tcW w:w="4076"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baseline"/>
              <w:rPr>
                <w:rFonts w:hint="default" w:cs="Times New Roman"/>
                <w:color w:val="000000"/>
                <w:sz w:val="24"/>
                <w:szCs w:val="24"/>
                <w:lang w:val="en-US" w:eastAsia="zh-CN"/>
              </w:rPr>
            </w:pPr>
            <w:r>
              <w:rPr>
                <w:rFonts w:hint="default" w:cs="Times New Roman"/>
                <w:color w:val="000000"/>
                <w:sz w:val="24"/>
                <w:szCs w:val="24"/>
                <w:lang w:val="en-US" w:eastAsia="zh-CN"/>
              </w:rPr>
              <w:t>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470"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baseline"/>
              <w:rPr>
                <w:rFonts w:hint="default" w:cs="Times New Roman"/>
                <w:color w:val="000000"/>
                <w:sz w:val="24"/>
                <w:szCs w:val="24"/>
                <w:lang w:val="en-US" w:eastAsia="zh-CN"/>
              </w:rPr>
            </w:pPr>
            <w:r>
              <w:rPr>
                <w:rFonts w:hint="default" w:cs="Times New Roman"/>
                <w:color w:val="000000"/>
                <w:sz w:val="24"/>
                <w:szCs w:val="24"/>
                <w:lang w:val="en-US" w:eastAsia="zh-CN"/>
              </w:rPr>
              <w:t>1</w:t>
            </w:r>
          </w:p>
        </w:tc>
        <w:tc>
          <w:tcPr>
            <w:tcW w:w="1830"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baseline"/>
              <w:rPr>
                <w:rFonts w:hint="default" w:cs="Times New Roman"/>
                <w:color w:val="000000"/>
                <w:sz w:val="24"/>
                <w:szCs w:val="24"/>
                <w:lang w:val="en-US" w:eastAsia="zh-CN"/>
              </w:rPr>
            </w:pPr>
            <w:r>
              <w:rPr>
                <w:rFonts w:hint="eastAsia" w:cs="Times New Roman"/>
                <w:color w:val="000000"/>
                <w:sz w:val="24"/>
                <w:szCs w:val="24"/>
                <w:lang w:val="en-US" w:eastAsia="zh-CN"/>
              </w:rPr>
              <w:t>保护信息管理装置PCS-9798A现场技术服务</w:t>
            </w:r>
          </w:p>
        </w:tc>
        <w:tc>
          <w:tcPr>
            <w:tcW w:w="1230"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baseline"/>
              <w:rPr>
                <w:rFonts w:hint="default" w:cs="Times New Roman"/>
                <w:color w:val="000000"/>
                <w:sz w:val="24"/>
                <w:szCs w:val="24"/>
                <w:lang w:val="en-US" w:eastAsia="zh-CN"/>
              </w:rPr>
            </w:pPr>
            <w:r>
              <w:rPr>
                <w:rFonts w:hint="eastAsia" w:cs="Times New Roman"/>
                <w:color w:val="000000"/>
                <w:sz w:val="24"/>
                <w:szCs w:val="24"/>
                <w:lang w:val="en-US" w:eastAsia="zh-CN"/>
              </w:rPr>
              <w:t>现场调试技术服务</w:t>
            </w:r>
          </w:p>
        </w:tc>
        <w:tc>
          <w:tcPr>
            <w:tcW w:w="473"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baseline"/>
              <w:rPr>
                <w:rFonts w:hint="default" w:cs="Times New Roman"/>
                <w:color w:val="000000"/>
                <w:sz w:val="24"/>
                <w:szCs w:val="24"/>
                <w:lang w:val="en-US" w:eastAsia="zh-CN"/>
              </w:rPr>
            </w:pPr>
            <w:r>
              <w:rPr>
                <w:rFonts w:hint="eastAsia" w:cs="Times New Roman"/>
                <w:color w:val="000000"/>
                <w:sz w:val="24"/>
                <w:szCs w:val="24"/>
                <w:lang w:val="en-US" w:eastAsia="zh-CN"/>
              </w:rPr>
              <w:t>项</w:t>
            </w:r>
          </w:p>
        </w:tc>
        <w:tc>
          <w:tcPr>
            <w:tcW w:w="495"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baseline"/>
              <w:rPr>
                <w:rFonts w:hint="default" w:cs="Times New Roman"/>
                <w:color w:val="000000"/>
                <w:sz w:val="24"/>
                <w:szCs w:val="24"/>
                <w:lang w:val="en-US" w:eastAsia="zh-CN"/>
              </w:rPr>
            </w:pPr>
            <w:r>
              <w:rPr>
                <w:rFonts w:hint="eastAsia" w:cs="Times New Roman"/>
                <w:color w:val="000000"/>
                <w:sz w:val="24"/>
                <w:szCs w:val="24"/>
                <w:lang w:val="en-US" w:eastAsia="zh-CN"/>
              </w:rPr>
              <w:t>1</w:t>
            </w:r>
          </w:p>
        </w:tc>
        <w:tc>
          <w:tcPr>
            <w:tcW w:w="4076"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baseline"/>
              <w:rPr>
                <w:rFonts w:hint="default" w:cs="Times New Roman"/>
                <w:color w:val="000000"/>
                <w:sz w:val="24"/>
                <w:szCs w:val="24"/>
                <w:lang w:val="en-US" w:eastAsia="zh-CN"/>
              </w:rPr>
            </w:pPr>
            <w:r>
              <w:rPr>
                <w:rFonts w:hint="eastAsia" w:cs="Times New Roman"/>
                <w:color w:val="000000"/>
                <w:sz w:val="24"/>
                <w:szCs w:val="24"/>
                <w:lang w:val="en-US" w:eastAsia="zh-CN"/>
              </w:rPr>
              <w:t>2台</w:t>
            </w:r>
            <w:r>
              <w:rPr>
                <w:rFonts w:hint="eastAsia" w:ascii="Times New Roman" w:hAnsi="Times New Roman" w:cs="Times New Roman"/>
                <w:kern w:val="0"/>
                <w:sz w:val="24"/>
                <w:lang w:val="en-US" w:eastAsia="zh-CN"/>
              </w:rPr>
              <w:t>保护管理机PCS-9798A配合220kV线路保护程序升级开展现场技术服务，更新保信子站配置</w:t>
            </w:r>
            <w:r>
              <w:rPr>
                <w:rFonts w:hint="default" w:ascii="Times New Roman" w:hAnsi="Times New Roman" w:eastAsia="宋体" w:cs="Times New Roman"/>
                <w:kern w:val="0"/>
                <w:sz w:val="24"/>
                <w:lang w:val="en-US" w:eastAsia="zh-CN"/>
              </w:rPr>
              <w:t>，</w:t>
            </w:r>
            <w:r>
              <w:rPr>
                <w:rFonts w:hint="eastAsia" w:ascii="Times New Roman" w:hAnsi="Times New Roman" w:cs="Times New Roman"/>
                <w:kern w:val="0"/>
                <w:sz w:val="24"/>
                <w:lang w:val="en-US" w:eastAsia="zh-CN"/>
              </w:rPr>
              <w:t>确保保信子站</w:t>
            </w:r>
            <w:r>
              <w:rPr>
                <w:rFonts w:hint="eastAsia" w:ascii="Times New Roman" w:hAnsi="Times New Roman" w:eastAsia="宋体" w:cs="Times New Roman"/>
                <w:kern w:val="0"/>
                <w:sz w:val="24"/>
                <w:lang w:val="en-US" w:eastAsia="zh-CN"/>
              </w:rPr>
              <w:t>正确可靠召唤站内继电保护信息、故障录波</w:t>
            </w:r>
            <w:r>
              <w:rPr>
                <w:rFonts w:hint="eastAsia" w:ascii="Times New Roman" w:hAnsi="Times New Roman" w:cs="Times New Roman"/>
                <w:kern w:val="0"/>
                <w:sz w:val="24"/>
                <w:lang w:val="en-US" w:eastAsia="zh-CN"/>
              </w:rPr>
              <w:t>，并能</w:t>
            </w:r>
            <w:r>
              <w:rPr>
                <w:rFonts w:hint="eastAsia" w:ascii="Times New Roman" w:hAnsi="Times New Roman" w:eastAsia="宋体" w:cs="Times New Roman"/>
                <w:kern w:val="0"/>
                <w:sz w:val="24"/>
                <w:lang w:val="en-US" w:eastAsia="zh-CN"/>
              </w:rPr>
              <w:t>可靠上送保护信息至海南中调的二次运维平台和储能公司的保信主站</w:t>
            </w:r>
            <w:r>
              <w:rPr>
                <w:rFonts w:hint="eastAsia" w:ascii="Times New Roman" w:hAnsi="Times New Roman" w:cs="Times New Roman"/>
                <w:kern w:val="0"/>
                <w:sz w:val="24"/>
                <w:lang w:val="en-US" w:eastAsia="zh-CN"/>
              </w:rPr>
              <w:t>平台</w:t>
            </w:r>
            <w:r>
              <w:rPr>
                <w:rFonts w:hint="default" w:ascii="Times New Roman" w:hAnsi="Times New Roman" w:eastAsia="宋体" w:cs="Times New Roman"/>
                <w:kern w:val="0"/>
                <w:sz w:val="24"/>
                <w:lang w:val="en-US" w:eastAsia="zh-CN"/>
              </w:rPr>
              <w:t>。</w:t>
            </w:r>
          </w:p>
        </w:tc>
      </w:tr>
    </w:tbl>
    <w:p>
      <w:pPr>
        <w:spacing w:line="500" w:lineRule="exact"/>
        <w:textAlignment w:val="baseline"/>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b/>
          <w:color w:val="auto"/>
          <w:sz w:val="24"/>
          <w:szCs w:val="24"/>
          <w:lang w:val="en-US" w:eastAsia="zh-CN"/>
        </w:rPr>
        <w:t xml:space="preserve">3.3 </w:t>
      </w:r>
      <w:r>
        <w:rPr>
          <w:rFonts w:hint="default" w:ascii="Times New Roman" w:hAnsi="Times New Roman" w:eastAsia="宋体" w:cs="Times New Roman"/>
          <w:b/>
          <w:color w:val="auto"/>
          <w:sz w:val="24"/>
          <w:szCs w:val="24"/>
          <w:lang w:val="en-US" w:eastAsia="zh-CN"/>
        </w:rPr>
        <w:t>服务内容说明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w:t>
      </w:r>
      <w:r>
        <w:rPr>
          <w:rFonts w:hint="eastAsia" w:ascii="Times New Roman" w:hAnsi="Times New Roman" w:cs="Times New Roman"/>
          <w:kern w:val="0"/>
          <w:sz w:val="24"/>
          <w:lang w:val="en-US" w:eastAsia="zh-CN"/>
        </w:rPr>
        <w:t>2台保护信息管理装置（型号：PCS-9798A）的配置更新和调试服务：对保信子站的配置进行更新，完成对站内继电保护信息、故障录波等可靠正确召唤，并完成与海南中调的二次运维平台的接入调试，完成与储能公司的保信主站的调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kern w:val="0"/>
          <w:sz w:val="24"/>
          <w:lang w:val="en-US" w:eastAsia="zh-CN"/>
        </w:rPr>
      </w:pPr>
      <w:r>
        <w:rPr>
          <w:rFonts w:hint="eastAsia" w:ascii="Times New Roman" w:hAnsi="Times New Roman" w:cs="Times New Roman"/>
          <w:kern w:val="0"/>
          <w:sz w:val="24"/>
          <w:szCs w:val="24"/>
          <w:lang w:val="en-US" w:eastAsia="zh-CN"/>
        </w:rPr>
        <w:t>2</w:t>
      </w:r>
      <w:r>
        <w:rPr>
          <w:rFonts w:hint="default" w:ascii="Times New Roman" w:hAnsi="Times New Roman" w:eastAsia="宋体" w:cs="Times New Roman"/>
          <w:kern w:val="0"/>
          <w:sz w:val="24"/>
          <w:szCs w:val="24"/>
          <w:lang w:val="en-US" w:eastAsia="zh-CN"/>
        </w:rPr>
        <w:t>、</w:t>
      </w:r>
      <w:r>
        <w:rPr>
          <w:rFonts w:hint="eastAsia" w:ascii="Times New Roman" w:hAnsi="Times New Roman" w:eastAsia="宋体" w:cs="Times New Roman"/>
          <w:kern w:val="0"/>
          <w:sz w:val="24"/>
          <w:lang w:val="en-US" w:eastAsia="zh-CN"/>
        </w:rPr>
        <w:t>乙方提供为期1年的质量保证，在质保期内运行过程中</w:t>
      </w:r>
      <w:r>
        <w:rPr>
          <w:rFonts w:hint="eastAsia" w:ascii="Times New Roman" w:hAnsi="Times New Roman" w:cs="Times New Roman"/>
          <w:kern w:val="0"/>
          <w:sz w:val="24"/>
          <w:lang w:val="en-US" w:eastAsia="zh-CN"/>
        </w:rPr>
        <w:t>如不满足质量保证要求</w:t>
      </w:r>
      <w:r>
        <w:rPr>
          <w:rFonts w:hint="eastAsia" w:ascii="Times New Roman" w:hAnsi="Times New Roman" w:eastAsia="宋体" w:cs="Times New Roman"/>
          <w:kern w:val="0"/>
          <w:sz w:val="24"/>
          <w:lang w:val="en-US" w:eastAsia="zh-CN"/>
        </w:rPr>
        <w:t>，乙方应及时提供技术服务完成功能修复。</w:t>
      </w:r>
    </w:p>
    <w:p>
      <w:pPr>
        <w:widowControl/>
        <w:spacing w:line="360" w:lineRule="auto"/>
        <w:rPr>
          <w:rFonts w:hint="default" w:ascii="Times New Roman" w:hAnsi="Times New Roman" w:eastAsia="宋体" w:cs="Times New Roman"/>
          <w:b/>
          <w:sz w:val="28"/>
          <w:szCs w:val="24"/>
        </w:rPr>
      </w:pPr>
      <w:r>
        <w:rPr>
          <w:rFonts w:hint="default" w:ascii="Times New Roman" w:hAnsi="Times New Roman" w:eastAsia="宋体" w:cs="Times New Roman"/>
          <w:b/>
          <w:sz w:val="28"/>
          <w:szCs w:val="24"/>
        </w:rPr>
        <w:t>四、</w:t>
      </w:r>
      <w:r>
        <w:rPr>
          <w:rFonts w:hint="default" w:ascii="Times New Roman" w:hAnsi="Times New Roman" w:eastAsia="宋体" w:cs="Times New Roman"/>
          <w:b/>
          <w:sz w:val="28"/>
          <w:szCs w:val="24"/>
          <w:lang w:val="en-US" w:eastAsia="zh-CN"/>
        </w:rPr>
        <w:t>项目支付</w:t>
      </w:r>
      <w:r>
        <w:rPr>
          <w:rFonts w:hint="default" w:ascii="Times New Roman" w:hAnsi="Times New Roman" w:eastAsia="宋体" w:cs="Times New Roman"/>
          <w:b/>
          <w:sz w:val="28"/>
          <w:szCs w:val="24"/>
        </w:rPr>
        <w:t>要求</w:t>
      </w:r>
    </w:p>
    <w:p>
      <w:pPr>
        <w:spacing w:line="500" w:lineRule="exact"/>
        <w:ind w:firstLine="480" w:firstLineChars="200"/>
        <w:textAlignment w:val="baseline"/>
        <w:rPr>
          <w:rFonts w:hint="default" w:ascii="Times New Roman" w:hAnsi="Times New Roman" w:eastAsia="宋体" w:cs="Times New Roman"/>
          <w:b/>
          <w:bCs w:val="0"/>
          <w:color w:val="auto"/>
          <w:sz w:val="28"/>
          <w:szCs w:val="24"/>
          <w:lang w:val="en-US" w:eastAsia="zh-CN"/>
        </w:rPr>
      </w:pPr>
      <w:r>
        <w:rPr>
          <w:rFonts w:hint="eastAsia" w:ascii="Times New Roman" w:hAnsi="Times New Roman" w:cs="Times New Roman"/>
          <w:kern w:val="0"/>
          <w:sz w:val="24"/>
          <w:szCs w:val="24"/>
          <w:lang w:val="en-US" w:eastAsia="zh-CN"/>
        </w:rPr>
        <w:t>现场技术服务工作全部完成后，</w:t>
      </w:r>
      <w:r>
        <w:rPr>
          <w:rFonts w:hint="default" w:ascii="Times New Roman" w:hAnsi="Times New Roman" w:cs="Times New Roman"/>
          <w:kern w:val="0"/>
          <w:sz w:val="24"/>
          <w:szCs w:val="24"/>
          <w:lang w:val="en-US" w:eastAsia="zh-CN"/>
        </w:rPr>
        <w:t>乙方提交</w:t>
      </w:r>
      <w:r>
        <w:rPr>
          <w:rFonts w:hint="eastAsia" w:ascii="Times New Roman" w:hAnsi="Times New Roman" w:cs="Times New Roman"/>
          <w:kern w:val="0"/>
          <w:sz w:val="24"/>
          <w:szCs w:val="24"/>
          <w:lang w:val="en-US" w:eastAsia="zh-CN"/>
        </w:rPr>
        <w:t>现场技术服务报告书和服务质量承诺书，经甲方验收并出具验收合格的书面意见后，</w:t>
      </w:r>
      <w:r>
        <w:rPr>
          <w:rFonts w:hint="default" w:ascii="Times New Roman" w:hAnsi="Times New Roman" w:cs="Times New Roman"/>
          <w:kern w:val="0"/>
          <w:sz w:val="24"/>
          <w:szCs w:val="24"/>
          <w:lang w:val="en-US" w:eastAsia="zh-CN"/>
        </w:rPr>
        <w:t>乙方提供增值税专用发票，</w:t>
      </w:r>
      <w:r>
        <w:rPr>
          <w:rFonts w:hint="default" w:ascii="Times New Roman" w:hAnsi="Times New Roman" w:eastAsia="宋体" w:cs="Times New Roman"/>
          <w:kern w:val="0"/>
          <w:sz w:val="24"/>
          <w:lang w:val="en-US" w:eastAsia="zh-CN"/>
        </w:rPr>
        <w:t>甲方在</w:t>
      </w:r>
      <w:r>
        <w:rPr>
          <w:rFonts w:ascii="宋体" w:hAnsi="宋体" w:eastAsia="宋体" w:cs="宋体"/>
          <w:sz w:val="24"/>
          <w:szCs w:val="24"/>
        </w:rPr>
        <w:t>满足付款条件后60日内完成</w:t>
      </w:r>
      <w:r>
        <w:rPr>
          <w:rFonts w:hint="eastAsia" w:ascii="宋体" w:hAnsi="宋体" w:eastAsia="宋体" w:cs="宋体"/>
          <w:sz w:val="24"/>
          <w:szCs w:val="24"/>
          <w:lang w:val="en-US" w:eastAsia="zh-CN"/>
        </w:rPr>
        <w:t>支付</w:t>
      </w:r>
      <w:r>
        <w:rPr>
          <w:rFonts w:hint="default" w:ascii="Times New Roman" w:hAnsi="Times New Roman" w:eastAsia="宋体" w:cs="Times New Roman"/>
          <w:kern w:val="0"/>
          <w:sz w:val="24"/>
          <w:lang w:val="en-US" w:eastAsia="zh-CN"/>
        </w:rPr>
        <w:t>。</w:t>
      </w:r>
    </w:p>
    <w:p>
      <w:pPr>
        <w:spacing w:line="360" w:lineRule="auto"/>
        <w:rPr>
          <w:rFonts w:hint="default" w:ascii="Times New Roman" w:hAnsi="Times New Roman" w:eastAsia="宋体" w:cs="Times New Roman"/>
          <w:b/>
          <w:bCs w:val="0"/>
          <w:color w:val="auto"/>
          <w:sz w:val="28"/>
          <w:szCs w:val="24"/>
        </w:rPr>
      </w:pPr>
      <w:r>
        <w:rPr>
          <w:rFonts w:hint="default" w:ascii="Times New Roman" w:hAnsi="Times New Roman" w:eastAsia="宋体" w:cs="Times New Roman"/>
          <w:b/>
          <w:bCs w:val="0"/>
          <w:color w:val="auto"/>
          <w:sz w:val="28"/>
          <w:szCs w:val="24"/>
          <w:lang w:val="en-US" w:eastAsia="zh-CN"/>
        </w:rPr>
        <w:t>五</w:t>
      </w:r>
      <w:r>
        <w:rPr>
          <w:rFonts w:hint="default" w:ascii="Times New Roman" w:hAnsi="Times New Roman" w:eastAsia="宋体" w:cs="Times New Roman"/>
          <w:b/>
          <w:bCs w:val="0"/>
          <w:color w:val="auto"/>
          <w:sz w:val="28"/>
          <w:szCs w:val="24"/>
        </w:rPr>
        <w:t>、其他要求</w:t>
      </w:r>
      <w:bookmarkStart w:id="0" w:name="_GoBack"/>
      <w:bookmarkEnd w:id="0"/>
    </w:p>
    <w:p>
      <w:pPr>
        <w:spacing w:line="500" w:lineRule="exact"/>
        <w:ind w:firstLine="480" w:firstLineChars="200"/>
        <w:textAlignment w:val="baseline"/>
        <w:rPr>
          <w:rFonts w:hint="default" w:ascii="Times New Roman" w:hAnsi="Times New Roman" w:eastAsia="宋体" w:cs="Times New Roman"/>
          <w:kern w:val="0"/>
          <w:sz w:val="24"/>
          <w:lang w:val="en-US" w:eastAsia="zh-CN"/>
        </w:rPr>
      </w:pPr>
      <w:r>
        <w:rPr>
          <w:rFonts w:hint="default" w:ascii="Times New Roman" w:hAnsi="Times New Roman" w:eastAsia="宋体" w:cs="Times New Roman"/>
          <w:kern w:val="0"/>
          <w:sz w:val="24"/>
          <w:lang w:val="en-US" w:eastAsia="zh-CN"/>
        </w:rPr>
        <w:t>无</w:t>
      </w:r>
    </w:p>
    <w:p>
      <w:pPr>
        <w:widowControl/>
        <w:numPr>
          <w:ilvl w:val="0"/>
          <w:numId w:val="0"/>
        </w:numPr>
        <w:spacing w:line="360" w:lineRule="auto"/>
        <w:ind w:leftChars="0"/>
        <w:jc w:val="left"/>
        <w:rPr>
          <w:rFonts w:hint="default" w:ascii="Times New Roman" w:hAnsi="Times New Roman" w:eastAsia="宋体" w:cs="Times New Roman"/>
          <w:b/>
          <w:color w:val="auto"/>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ource Han Sans CN">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BE08DA"/>
    <w:multiLevelType w:val="multilevel"/>
    <w:tmpl w:val="22BE08DA"/>
    <w:lvl w:ilvl="0" w:tentative="0">
      <w:start w:val="1"/>
      <w:numFmt w:val="decimal"/>
      <w:lvlText w:val="%1"/>
      <w:lvlJc w:val="left"/>
      <w:pPr>
        <w:ind w:left="425" w:hanging="425"/>
      </w:pPr>
      <w:rPr>
        <w:rFonts w:hint="eastAsia"/>
      </w:rPr>
    </w:lvl>
    <w:lvl w:ilvl="1" w:tentative="0">
      <w:start w:val="1"/>
      <w:numFmt w:val="decimal"/>
      <w:lvlText w:val="%1.%2"/>
      <w:lvlJc w:val="left"/>
      <w:pPr>
        <w:ind w:left="992" w:hanging="992"/>
      </w:pPr>
      <w:rPr>
        <w:rFonts w:hint="eastAsia" w:ascii="黑体" w:hAnsi="黑体" w:eastAsia="黑体"/>
        <w:b w:val="0"/>
        <w:color w:val="auto"/>
      </w:rPr>
    </w:lvl>
    <w:lvl w:ilvl="2" w:tentative="0">
      <w:start w:val="1"/>
      <w:numFmt w:val="decimal"/>
      <w:suff w:val="space"/>
      <w:lvlText w:val="%1.%2.%3"/>
      <w:lvlJc w:val="left"/>
      <w:pPr>
        <w:ind w:left="851" w:hanging="851"/>
      </w:pPr>
      <w:rPr>
        <w:rFonts w:hint="eastAsia" w:ascii="黑体" w:hAnsi="黑体" w:eastAsia="黑体"/>
        <w:b w:val="0"/>
        <w:color w:val="auto"/>
      </w:rPr>
    </w:lvl>
    <w:lvl w:ilvl="3" w:tentative="0">
      <w:start w:val="1"/>
      <w:numFmt w:val="decimal"/>
      <w:pStyle w:val="22"/>
      <w:suff w:val="space"/>
      <w:lvlText w:val="%1.%2.%3.%4"/>
      <w:lvlJc w:val="left"/>
      <w:pPr>
        <w:ind w:left="1984" w:hanging="1984"/>
      </w:pPr>
      <w:rPr>
        <w:rFonts w:hint="eastAsia" w:eastAsia="宋体" w:asciiTheme="minorEastAsia" w:hAnsiTheme="minorEastAsia"/>
        <w:color w:val="auto"/>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5E8FCFBB"/>
    <w:multiLevelType w:val="multilevel"/>
    <w:tmpl w:val="5E8FCFBB"/>
    <w:lvl w:ilvl="0" w:tentative="0">
      <w:start w:val="1"/>
      <w:numFmt w:val="decimal"/>
      <w:pStyle w:val="19"/>
      <w:lvlText w:val="%1"/>
      <w:lvlJc w:val="left"/>
      <w:pPr>
        <w:tabs>
          <w:tab w:val="left" w:pos="0"/>
        </w:tabs>
        <w:ind w:left="0" w:firstLine="0"/>
      </w:pPr>
      <w:rPr>
        <w:rFonts w:hint="default" w:ascii="Times New Roman" w:hAnsi="Times New Roman" w:eastAsia="宋体" w:cs="宋体"/>
      </w:rPr>
    </w:lvl>
    <w:lvl w:ilvl="1" w:tentative="0">
      <w:start w:val="1"/>
      <w:numFmt w:val="decimal"/>
      <w:pStyle w:val="18"/>
      <w:lvlText w:val="%1.%2"/>
      <w:lvlJc w:val="left"/>
      <w:pPr>
        <w:tabs>
          <w:tab w:val="left" w:pos="420"/>
        </w:tabs>
        <w:ind w:left="0" w:firstLine="0"/>
      </w:pPr>
      <w:rPr>
        <w:rFonts w:hint="default" w:ascii="Times New Roman" w:hAnsi="Times New Roman" w:eastAsia="宋体" w:cs="宋体"/>
      </w:rPr>
    </w:lvl>
    <w:lvl w:ilvl="2" w:tentative="0">
      <w:start w:val="1"/>
      <w:numFmt w:val="decimal"/>
      <w:pStyle w:val="17"/>
      <w:suff w:val="space"/>
      <w:lvlText w:val="%1.%2.%3"/>
      <w:lvlJc w:val="left"/>
      <w:pPr>
        <w:tabs>
          <w:tab w:val="left" w:pos="0"/>
        </w:tabs>
        <w:ind w:left="0" w:firstLine="0"/>
      </w:pPr>
      <w:rPr>
        <w:rFonts w:hint="default" w:ascii="Times New Roman" w:hAnsi="Times New Roman" w:eastAsia="宋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ascii="宋体" w:hAnsi="宋体" w:eastAsia="宋体" w:cs="宋体"/>
      </w:rPr>
    </w:lvl>
    <w:lvl w:ilvl="6" w:tentative="0">
      <w:start w:val="1"/>
      <w:numFmt w:val="decimal"/>
      <w:lvlText w:val="%1.%2.%3.%4.%5.%6.%7"/>
      <w:lvlJc w:val="left"/>
      <w:pPr>
        <w:ind w:left="1275" w:hanging="1275"/>
      </w:pPr>
      <w:rPr>
        <w:rFonts w:hint="default" w:ascii="宋体" w:hAnsi="宋体" w:eastAsia="宋体" w:cs="宋体"/>
      </w:rPr>
    </w:lvl>
    <w:lvl w:ilvl="7" w:tentative="0">
      <w:start w:val="1"/>
      <w:numFmt w:val="decimal"/>
      <w:lvlText w:val="%1.%2.%3.%4.%5.%6.%7.%8"/>
      <w:lvlJc w:val="left"/>
      <w:pPr>
        <w:ind w:left="1418" w:hanging="1418"/>
      </w:pPr>
      <w:rPr>
        <w:rFonts w:hint="default" w:ascii="宋体" w:hAnsi="宋体" w:eastAsia="宋体" w:cs="宋体"/>
      </w:rPr>
    </w:lvl>
    <w:lvl w:ilvl="8" w:tentative="0">
      <w:start w:val="1"/>
      <w:numFmt w:val="decimal"/>
      <w:lvlText w:val="%1.%2.%3.%4.%5.%6.%7.%8.%9"/>
      <w:lvlJc w:val="left"/>
      <w:pPr>
        <w:ind w:left="1558" w:hanging="1558"/>
      </w:pPr>
      <w:rPr>
        <w:rFonts w:hint="default" w:ascii="宋体" w:hAnsi="宋体" w:eastAsia="宋体" w:cs="宋体"/>
      </w:rPr>
    </w:lvl>
  </w:abstractNum>
  <w:abstractNum w:abstractNumId="2">
    <w:nsid w:val="6754FDA5"/>
    <w:multiLevelType w:val="singleLevel"/>
    <w:tmpl w:val="6754FDA5"/>
    <w:lvl w:ilvl="0" w:tentative="0">
      <w:start w:val="2"/>
      <w:numFmt w:val="chineseCounting"/>
      <w:suff w:val="nothing"/>
      <w:lvlText w:val="%1、"/>
      <w:lvlJc w:val="left"/>
      <w:rPr>
        <w:rFonts w:hint="eastAsia"/>
      </w:rPr>
    </w:lvl>
  </w:abstractNum>
  <w:abstractNum w:abstractNumId="3">
    <w:nsid w:val="76933334"/>
    <w:multiLevelType w:val="multilevel"/>
    <w:tmpl w:val="76933334"/>
    <w:lvl w:ilvl="0" w:tentative="0">
      <w:start w:val="1"/>
      <w:numFmt w:val="upperLetter"/>
      <w:pStyle w:val="23"/>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00000000"/>
    <w:rsid w:val="011145B6"/>
    <w:rsid w:val="02105673"/>
    <w:rsid w:val="02A46BB1"/>
    <w:rsid w:val="037A40C6"/>
    <w:rsid w:val="03DC68B4"/>
    <w:rsid w:val="04AF0093"/>
    <w:rsid w:val="05085485"/>
    <w:rsid w:val="054D3B3F"/>
    <w:rsid w:val="05CA273A"/>
    <w:rsid w:val="06856633"/>
    <w:rsid w:val="073C31C4"/>
    <w:rsid w:val="0AE05343"/>
    <w:rsid w:val="0E8A02B9"/>
    <w:rsid w:val="105E23FD"/>
    <w:rsid w:val="11572E8D"/>
    <w:rsid w:val="1290604A"/>
    <w:rsid w:val="133832E8"/>
    <w:rsid w:val="14EF0366"/>
    <w:rsid w:val="16D76A65"/>
    <w:rsid w:val="17CD20C5"/>
    <w:rsid w:val="18D4004A"/>
    <w:rsid w:val="1BF96815"/>
    <w:rsid w:val="1CBA3A01"/>
    <w:rsid w:val="1E2E49FA"/>
    <w:rsid w:val="1E564F90"/>
    <w:rsid w:val="1E745A2C"/>
    <w:rsid w:val="1F3518C1"/>
    <w:rsid w:val="1F445FB7"/>
    <w:rsid w:val="20AA2164"/>
    <w:rsid w:val="215F79F8"/>
    <w:rsid w:val="217556F5"/>
    <w:rsid w:val="2223653E"/>
    <w:rsid w:val="22B06E96"/>
    <w:rsid w:val="233660B1"/>
    <w:rsid w:val="237F09E4"/>
    <w:rsid w:val="23876F54"/>
    <w:rsid w:val="246C1FEE"/>
    <w:rsid w:val="24892425"/>
    <w:rsid w:val="24F42ED8"/>
    <w:rsid w:val="268A1F04"/>
    <w:rsid w:val="26937E0C"/>
    <w:rsid w:val="26A947C0"/>
    <w:rsid w:val="26B64AE2"/>
    <w:rsid w:val="2B4A5EB5"/>
    <w:rsid w:val="2B762831"/>
    <w:rsid w:val="2C706946"/>
    <w:rsid w:val="2C87397F"/>
    <w:rsid w:val="2D894E77"/>
    <w:rsid w:val="2F354F9E"/>
    <w:rsid w:val="2FC949E6"/>
    <w:rsid w:val="33736984"/>
    <w:rsid w:val="348A4CBF"/>
    <w:rsid w:val="34D128B0"/>
    <w:rsid w:val="34D7584D"/>
    <w:rsid w:val="39BF40A5"/>
    <w:rsid w:val="39D5466D"/>
    <w:rsid w:val="39D97BC0"/>
    <w:rsid w:val="3A4B6BF0"/>
    <w:rsid w:val="3A617939"/>
    <w:rsid w:val="3CA04220"/>
    <w:rsid w:val="3E804094"/>
    <w:rsid w:val="412C0E2D"/>
    <w:rsid w:val="43BA773D"/>
    <w:rsid w:val="4779211A"/>
    <w:rsid w:val="48B02898"/>
    <w:rsid w:val="496C16BA"/>
    <w:rsid w:val="4B12476D"/>
    <w:rsid w:val="4B3E7B46"/>
    <w:rsid w:val="4B663FE5"/>
    <w:rsid w:val="4C2D252F"/>
    <w:rsid w:val="4C5D5FF1"/>
    <w:rsid w:val="4E9E4ABB"/>
    <w:rsid w:val="4FC830DB"/>
    <w:rsid w:val="502C723E"/>
    <w:rsid w:val="505025CD"/>
    <w:rsid w:val="51A26E98"/>
    <w:rsid w:val="51D54702"/>
    <w:rsid w:val="53195188"/>
    <w:rsid w:val="532A3347"/>
    <w:rsid w:val="544B268E"/>
    <w:rsid w:val="54972393"/>
    <w:rsid w:val="54F72A83"/>
    <w:rsid w:val="55B97975"/>
    <w:rsid w:val="568B3962"/>
    <w:rsid w:val="5A3E4C8E"/>
    <w:rsid w:val="5A8B3529"/>
    <w:rsid w:val="5AD324CE"/>
    <w:rsid w:val="5B615373"/>
    <w:rsid w:val="5EDA62E9"/>
    <w:rsid w:val="600D27E1"/>
    <w:rsid w:val="60C72C73"/>
    <w:rsid w:val="624C462A"/>
    <w:rsid w:val="62DA0294"/>
    <w:rsid w:val="632877B1"/>
    <w:rsid w:val="63605BFD"/>
    <w:rsid w:val="651741B8"/>
    <w:rsid w:val="66590BF3"/>
    <w:rsid w:val="66C75126"/>
    <w:rsid w:val="684D6073"/>
    <w:rsid w:val="69894F6A"/>
    <w:rsid w:val="69D71CCC"/>
    <w:rsid w:val="6AE54E58"/>
    <w:rsid w:val="6B502BB4"/>
    <w:rsid w:val="6B6D18B2"/>
    <w:rsid w:val="6B8061C7"/>
    <w:rsid w:val="6B9D6FB6"/>
    <w:rsid w:val="6BB55A52"/>
    <w:rsid w:val="6D084078"/>
    <w:rsid w:val="6E3803A5"/>
    <w:rsid w:val="6E595BB4"/>
    <w:rsid w:val="6ECB392F"/>
    <w:rsid w:val="6EFC78C2"/>
    <w:rsid w:val="70E2391E"/>
    <w:rsid w:val="72904664"/>
    <w:rsid w:val="74C16CDF"/>
    <w:rsid w:val="758A5266"/>
    <w:rsid w:val="75D13DB6"/>
    <w:rsid w:val="77F12301"/>
    <w:rsid w:val="789C7825"/>
    <w:rsid w:val="794E03FE"/>
    <w:rsid w:val="7C121B6B"/>
    <w:rsid w:val="7C6A0A85"/>
    <w:rsid w:val="7D221505"/>
    <w:rsid w:val="7DB859C6"/>
    <w:rsid w:val="7EC16401"/>
    <w:rsid w:val="7FC46FC0"/>
    <w:rsid w:val="7FCA0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Times New Roman"/>
      <w:kern w:val="2"/>
      <w:sz w:val="21"/>
      <w:szCs w:val="22"/>
      <w:lang w:val="en-US" w:eastAsia="zh-CN" w:bidi="ar-SA"/>
    </w:rPr>
  </w:style>
  <w:style w:type="paragraph" w:styleId="2">
    <w:name w:val="heading 1"/>
    <w:basedOn w:val="1"/>
    <w:next w:val="1"/>
    <w:qFormat/>
    <w:uiPriority w:val="0"/>
    <w:pPr>
      <w:spacing w:before="0" w:beforeAutospacing="0" w:afterAutospacing="0" w:line="560" w:lineRule="exact"/>
      <w:ind w:firstLine="0" w:firstLineChars="0"/>
      <w:jc w:val="left"/>
      <w:outlineLvl w:val="0"/>
    </w:pPr>
    <w:rPr>
      <w:rFonts w:hint="eastAsia" w:eastAsia="黑体" w:cs="宋体"/>
      <w:bCs/>
      <w:kern w:val="44"/>
      <w:szCs w:val="48"/>
      <w:lang w:bidi="ar"/>
    </w:rPr>
  </w:style>
  <w:style w:type="paragraph" w:styleId="3">
    <w:name w:val="heading 2"/>
    <w:basedOn w:val="1"/>
    <w:next w:val="1"/>
    <w:link w:val="15"/>
    <w:semiHidden/>
    <w:unhideWhenUsed/>
    <w:qFormat/>
    <w:uiPriority w:val="0"/>
    <w:pPr>
      <w:keepNext/>
      <w:keepLines/>
      <w:spacing w:beforeLines="0" w:afterLines="0"/>
      <w:ind w:firstLine="0" w:firstLineChars="0"/>
      <w:jc w:val="left"/>
      <w:outlineLvl w:val="1"/>
    </w:pPr>
    <w:rPr>
      <w:rFonts w:ascii="Times New Roman" w:hAnsi="Times New Roman" w:eastAsia="宋体" w:cs="Times New Roman"/>
      <w:b/>
      <w:bCs/>
      <w:szCs w:val="32"/>
    </w:rPr>
  </w:style>
  <w:style w:type="paragraph" w:styleId="4">
    <w:name w:val="heading 3"/>
    <w:basedOn w:val="1"/>
    <w:next w:val="1"/>
    <w:semiHidden/>
    <w:unhideWhenUsed/>
    <w:qFormat/>
    <w:uiPriority w:val="0"/>
    <w:pPr>
      <w:keepNext/>
      <w:keepLines/>
      <w:spacing w:beforeLines="0" w:beforeAutospacing="0" w:afterLines="0" w:afterAutospacing="0" w:line="360" w:lineRule="auto"/>
      <w:ind w:firstLine="0" w:firstLineChars="0"/>
      <w:outlineLvl w:val="2"/>
    </w:pPr>
    <w:rPr>
      <w:b/>
      <w:sz w:val="30"/>
    </w:rPr>
  </w:style>
  <w:style w:type="paragraph" w:styleId="5">
    <w:name w:val="heading 4"/>
    <w:basedOn w:val="1"/>
    <w:next w:val="1"/>
    <w:semiHidden/>
    <w:unhideWhenUsed/>
    <w:qFormat/>
    <w:uiPriority w:val="0"/>
    <w:pPr>
      <w:keepNext/>
      <w:keepLines/>
      <w:spacing w:beforeLines="0" w:beforeAutospacing="0" w:afterLines="0" w:afterAutospacing="0" w:line="360" w:lineRule="auto"/>
      <w:ind w:firstLine="0" w:firstLineChars="0"/>
      <w:outlineLvl w:val="3"/>
    </w:pPr>
    <w:rPr>
      <w:b/>
      <w:sz w:val="28"/>
    </w:rPr>
  </w:style>
  <w:style w:type="paragraph" w:styleId="6">
    <w:name w:val="heading 5"/>
    <w:basedOn w:val="1"/>
    <w:next w:val="1"/>
    <w:semiHidden/>
    <w:unhideWhenUsed/>
    <w:qFormat/>
    <w:uiPriority w:val="0"/>
    <w:pPr>
      <w:keepNext/>
      <w:keepLines/>
      <w:spacing w:beforeLines="0" w:beforeAutospacing="0" w:afterLines="0" w:afterAutospacing="0" w:line="360" w:lineRule="auto"/>
      <w:ind w:firstLine="0" w:firstLineChars="0"/>
      <w:outlineLvl w:val="4"/>
    </w:pPr>
    <w:rPr>
      <w:b/>
      <w:sz w:val="2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7">
    <w:name w:val="caption"/>
    <w:basedOn w:val="1"/>
    <w:next w:val="1"/>
    <w:semiHidden/>
    <w:unhideWhenUsed/>
    <w:qFormat/>
    <w:uiPriority w:val="0"/>
    <w:rPr>
      <w:rFonts w:ascii="Arial" w:hAnsi="Arial" w:eastAsia="黑体"/>
      <w:sz w:val="20"/>
    </w:rPr>
  </w:style>
  <w:style w:type="paragraph" w:styleId="8">
    <w:name w:val="Body Text"/>
    <w:basedOn w:val="1"/>
    <w:next w:val="9"/>
    <w:qFormat/>
    <w:uiPriority w:val="0"/>
    <w:rPr>
      <w:rFonts w:ascii="Arial" w:hAnsi="Arial" w:eastAsia="宋体" w:cstheme="minorBidi"/>
      <w:sz w:val="21"/>
    </w:rPr>
  </w:style>
  <w:style w:type="paragraph" w:styleId="9">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标题 2 Char"/>
    <w:link w:val="3"/>
    <w:qFormat/>
    <w:uiPriority w:val="0"/>
    <w:rPr>
      <w:rFonts w:ascii="Times New Roman" w:hAnsi="Times New Roman" w:eastAsia="宋体" w:cs="Times New Roman"/>
      <w:b/>
      <w:bCs/>
      <w:sz w:val="24"/>
      <w:szCs w:val="32"/>
    </w:rPr>
  </w:style>
  <w:style w:type="paragraph" w:customStyle="1" w:styleId="16">
    <w:name w:val="段"/>
    <w:qFormat/>
    <w:uiPriority w:val="0"/>
    <w:pPr>
      <w:autoSpaceDE w:val="0"/>
      <w:autoSpaceDN w:val="0"/>
      <w:spacing w:before="240" w:after="60"/>
      <w:ind w:firstLine="420" w:firstLineChars="200"/>
      <w:jc w:val="both"/>
    </w:pPr>
    <w:rPr>
      <w:rFonts w:ascii="宋体" w:hAnsi="Times New Roman" w:eastAsia="宋体" w:cs="黑体"/>
      <w:kern w:val="2"/>
      <w:sz w:val="21"/>
      <w:szCs w:val="22"/>
      <w:lang w:val="en-US" w:eastAsia="zh-CN" w:bidi="ar-SA"/>
    </w:rPr>
  </w:style>
  <w:style w:type="paragraph" w:customStyle="1" w:styleId="17">
    <w:name w:val="作业标题3"/>
    <w:basedOn w:val="18"/>
    <w:next w:val="20"/>
    <w:qFormat/>
    <w:uiPriority w:val="0"/>
    <w:pPr>
      <w:numPr>
        <w:ilvl w:val="2"/>
        <w:numId w:val="1"/>
      </w:numPr>
      <w:tabs>
        <w:tab w:val="left" w:pos="420"/>
      </w:tabs>
      <w:spacing w:line="360" w:lineRule="auto"/>
      <w:ind w:left="0" w:firstLine="0"/>
    </w:pPr>
    <w:rPr>
      <w:rFonts w:eastAsia="宋体"/>
    </w:rPr>
  </w:style>
  <w:style w:type="paragraph" w:customStyle="1" w:styleId="18">
    <w:name w:val="作业标题2"/>
    <w:basedOn w:val="19"/>
    <w:next w:val="20"/>
    <w:qFormat/>
    <w:uiPriority w:val="0"/>
    <w:pPr>
      <w:numPr>
        <w:ilvl w:val="1"/>
        <w:numId w:val="1"/>
      </w:numPr>
      <w:tabs>
        <w:tab w:val="left" w:pos="0"/>
      </w:tabs>
      <w:ind w:left="0" w:firstLine="0"/>
      <w:jc w:val="left"/>
    </w:pPr>
  </w:style>
  <w:style w:type="paragraph" w:customStyle="1" w:styleId="19">
    <w:name w:val="作业标题1"/>
    <w:basedOn w:val="2"/>
    <w:next w:val="20"/>
    <w:qFormat/>
    <w:uiPriority w:val="0"/>
    <w:pPr>
      <w:numPr>
        <w:ilvl w:val="0"/>
        <w:numId w:val="1"/>
      </w:numPr>
      <w:spacing w:line="360" w:lineRule="auto"/>
    </w:pPr>
    <w:rPr>
      <w:rFonts w:ascii="Times New Roman" w:hAnsi="Times New Roman"/>
    </w:rPr>
  </w:style>
  <w:style w:type="paragraph" w:customStyle="1" w:styleId="20">
    <w:name w:val="作业正文"/>
    <w:qFormat/>
    <w:uiPriority w:val="0"/>
    <w:pPr>
      <w:autoSpaceDE w:val="0"/>
      <w:autoSpaceDN w:val="0"/>
      <w:ind w:firstLine="200" w:firstLineChars="200"/>
      <w:jc w:val="both"/>
    </w:pPr>
    <w:rPr>
      <w:rFonts w:ascii="宋体" w:hAnsi="宋体" w:eastAsia="宋体" w:cs="Times New Roman"/>
      <w:sz w:val="21"/>
      <w:lang w:val="en-US" w:eastAsia="zh-CN" w:bidi="ar-SA"/>
    </w:rPr>
  </w:style>
  <w:style w:type="paragraph" w:customStyle="1" w:styleId="21">
    <w:name w:val="格式4"/>
    <w:basedOn w:val="22"/>
    <w:qFormat/>
    <w:uiPriority w:val="0"/>
    <w:pPr>
      <w:tabs>
        <w:tab w:val="left" w:pos="567"/>
        <w:tab w:val="left" w:pos="709"/>
        <w:tab w:val="left" w:pos="993"/>
        <w:tab w:val="left" w:pos="6405"/>
      </w:tabs>
    </w:pPr>
  </w:style>
  <w:style w:type="paragraph" w:customStyle="1" w:styleId="22">
    <w:name w:val="样式5"/>
    <w:basedOn w:val="23"/>
    <w:qFormat/>
    <w:uiPriority w:val="0"/>
    <w:pPr>
      <w:keepNext/>
      <w:numPr>
        <w:ilvl w:val="3"/>
        <w:numId w:val="2"/>
      </w:numPr>
      <w:tabs>
        <w:tab w:val="left" w:pos="567"/>
        <w:tab w:val="left" w:pos="709"/>
        <w:tab w:val="left" w:pos="993"/>
        <w:tab w:val="left" w:pos="6405"/>
      </w:tabs>
      <w:spacing w:before="0" w:after="0"/>
      <w:jc w:val="both"/>
      <w:outlineLvl w:val="9"/>
    </w:pPr>
    <w:rPr>
      <w:rFonts w:asciiTheme="minorEastAsia" w:hAnsiTheme="minorEastAsia"/>
    </w:rPr>
  </w:style>
  <w:style w:type="paragraph" w:customStyle="1" w:styleId="23">
    <w:name w:val="附录标识"/>
    <w:basedOn w:val="24"/>
    <w:qFormat/>
    <w:uiPriority w:val="0"/>
    <w:pPr>
      <w:numPr>
        <w:ilvl w:val="0"/>
        <w:numId w:val="3"/>
      </w:numPr>
      <w:tabs>
        <w:tab w:val="left" w:pos="6405"/>
      </w:tabs>
      <w:spacing w:after="200"/>
    </w:pPr>
    <w:rPr>
      <w:sz w:val="21"/>
    </w:rPr>
  </w:style>
  <w:style w:type="paragraph" w:customStyle="1" w:styleId="24">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character" w:customStyle="1" w:styleId="25">
    <w:name w:val="font51"/>
    <w:basedOn w:val="14"/>
    <w:qFormat/>
    <w:uiPriority w:val="0"/>
    <w:rPr>
      <w:rFonts w:hint="default" w:ascii="Times New Roman" w:hAnsi="Times New Roman" w:cs="Times New Roman"/>
      <w:color w:val="000000"/>
      <w:sz w:val="22"/>
      <w:szCs w:val="22"/>
      <w:u w:val="none"/>
    </w:rPr>
  </w:style>
  <w:style w:type="character" w:customStyle="1" w:styleId="26">
    <w:name w:val="font11"/>
    <w:basedOn w:val="1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1858</Words>
  <Characters>2187</Characters>
  <Lines>0</Lines>
  <Paragraphs>0</Paragraphs>
  <TotalTime>1</TotalTime>
  <ScaleCrop>false</ScaleCrop>
  <LinksUpToDate>false</LinksUpToDate>
  <CharactersWithSpaces>2213</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2022-04-22T16:00:00Z</dcterms:created>
  <dc:creator>梅文星</dc:creator>
  <cp:lastModifiedBy>MWX</cp:lastModifiedBy>
  <dcterms:modified xsi:type="dcterms:W3CDTF">2026-07-07T09:05:00Z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7051AEB6AFA64B8C9840AF1CE0F6ED85</vt:lpwstr>
  </property>
</Properties>
</file>