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</w:p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</w:p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  <w:r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  <w:t>海南蓄能发电有限公司</w:t>
      </w:r>
    </w:p>
    <w:p>
      <w:pPr>
        <w:widowControl/>
        <w:spacing w:before="156" w:beforeLines="50" w:after="156" w:afterLines="50" w:line="560" w:lineRule="atLeast"/>
        <w:jc w:val="center"/>
        <w:rPr>
          <w:rFonts w:hint="eastAsia" w:ascii="Times New Roman" w:hAnsi="Times New Roman" w:cs="Times New Roman"/>
          <w:b/>
          <w:color w:val="000000"/>
          <w:position w:val="16"/>
          <w:sz w:val="56"/>
          <w:szCs w:val="72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  <w:lang w:val="en-US" w:eastAsia="zh-CN"/>
        </w:rPr>
        <w:t>海蓄公司琼中电厂2026年220kV线路保护PRS-753NA2-N软件版本升级现场技术服务</w:t>
      </w:r>
      <w:r>
        <w:rPr>
          <w:rFonts w:hint="eastAsia" w:ascii="Times New Roman" w:hAnsi="Times New Roman" w:cs="Times New Roman"/>
          <w:b/>
          <w:color w:val="000000"/>
          <w:position w:val="16"/>
          <w:sz w:val="56"/>
          <w:szCs w:val="72"/>
          <w:lang w:val="en-US" w:eastAsia="zh-CN"/>
        </w:rPr>
        <w:t>采购</w:t>
      </w:r>
      <w:bookmarkStart w:id="0" w:name="_GoBack"/>
      <w:bookmarkEnd w:id="0"/>
    </w:p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bCs/>
          <w:color w:val="000000"/>
          <w:position w:val="16"/>
          <w:sz w:val="56"/>
          <w:szCs w:val="72"/>
          <w:lang w:val="en-US" w:eastAsia="zh-CN"/>
        </w:rPr>
      </w:pPr>
      <w:r>
        <w:rPr>
          <w:rFonts w:hint="eastAsia" w:ascii="Times New Roman" w:hAnsi="Times New Roman" w:cs="Times New Roman"/>
          <w:b/>
          <w:color w:val="000000"/>
          <w:position w:val="16"/>
          <w:sz w:val="56"/>
          <w:szCs w:val="72"/>
          <w:lang w:val="en-US" w:eastAsia="zh-CN"/>
        </w:rPr>
        <w:t>技术规范书</w:t>
      </w:r>
    </w:p>
    <w:p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</w:p>
    <w:p>
      <w:pPr>
        <w:ind w:firstLine="3614" w:firstLineChars="1000"/>
        <w:rPr>
          <w:rFonts w:hint="default" w:ascii="Times New Roman" w:hAnsi="Times New Roman" w:eastAsia="宋体" w:cs="Times New Roman"/>
          <w:b/>
          <w:color w:val="000000"/>
          <w:position w:val="16"/>
          <w:sz w:val="36"/>
          <w:szCs w:val="44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snapToGrid w:val="0"/>
        <w:jc w:val="both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>
      <w:pPr>
        <w:pStyle w:val="16"/>
        <w:keepLines w:val="0"/>
        <w:pageBreakBefore w:val="0"/>
        <w:tabs>
          <w:tab w:val="left" w:pos="284"/>
        </w:tabs>
        <w:topLinePunct w:val="0"/>
        <w:bidi w:val="0"/>
        <w:spacing w:before="0" w:beforeAutospacing="0" w:after="0" w:afterAutospacing="0" w:line="240" w:lineRule="auto"/>
        <w:ind w:left="0" w:leftChars="0" w:right="0" w:firstLine="0" w:firstLineChars="0"/>
        <w:jc w:val="center"/>
        <w:rPr>
          <w:rFonts w:hint="default" w:ascii="Times New Roman" w:hAnsi="Times New Roman" w:eastAsia="宋体" w:cs="Times New Roman"/>
          <w:b/>
          <w:bCs/>
          <w:color w:val="auto"/>
          <w:sz w:val="21"/>
          <w:szCs w:val="21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</w:rPr>
        <w:t>二〇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  <w:lang w:val="en-US" w:eastAsia="zh-CN"/>
        </w:rPr>
        <w:t>二</w:t>
      </w:r>
      <w:r>
        <w:rPr>
          <w:rFonts w:hint="eastAsia" w:ascii="Times New Roman" w:cs="Times New Roman"/>
          <w:b/>
          <w:color w:val="000000"/>
          <w:position w:val="16"/>
          <w:sz w:val="36"/>
          <w:lang w:val="en-US" w:eastAsia="zh-CN"/>
        </w:rPr>
        <w:t>六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</w:rPr>
        <w:t>年</w:t>
      </w:r>
      <w:r>
        <w:rPr>
          <w:rFonts w:hint="eastAsia" w:ascii="Times New Roman" w:cs="Times New Roman"/>
          <w:b/>
          <w:color w:val="000000"/>
          <w:position w:val="16"/>
          <w:sz w:val="36"/>
          <w:lang w:val="en-US" w:eastAsia="zh-CN"/>
        </w:rPr>
        <w:t>七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</w:rPr>
        <w:t>月</w:t>
      </w:r>
    </w:p>
    <w:p>
      <w:pPr>
        <w:jc w:val="left"/>
        <w:rPr>
          <w:rFonts w:hint="default" w:ascii="Times New Roman" w:hAnsi="Times New Roman" w:eastAsia="宋体" w:cs="Times New Roman"/>
          <w:b/>
          <w:sz w:val="28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一、</w:t>
      </w:r>
      <w:r>
        <w:rPr>
          <w:rFonts w:hint="eastAsia" w:ascii="Times New Roman" w:hAnsi="Times New Roman" w:cs="Times New Roman"/>
          <w:b/>
          <w:sz w:val="28"/>
          <w:szCs w:val="24"/>
          <w:lang w:val="en-US" w:eastAsia="zh-CN"/>
        </w:rPr>
        <w:t>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GB/T 14285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-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2023 继电保护和安全自动装置技术规程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总调继〔2025〕37 号 关于发布南方电网 10kV 及以上系统保护软件版本(2025 年版)的通知</w:t>
      </w:r>
    </w:p>
    <w:p>
      <w:pPr>
        <w:numPr>
          <w:ilvl w:val="0"/>
          <w:numId w:val="4"/>
        </w:numPr>
        <w:spacing w:line="360" w:lineRule="auto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质量保证要求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乙方应根据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南方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电网最新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的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标准保护型号及软件版本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的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要求，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开展海南琼中抽水蓄能电站的2台220kV线路保护装置PRS-753NA2-N的保护软件版本升级，保护CPU版本号由当前V1.10升级至目标V1.20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，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确保升级后的保护装置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不拒动、不误动、快速切除故障。</w:t>
      </w:r>
    </w:p>
    <w:p>
      <w:pPr>
        <w:numPr>
          <w:ilvl w:val="0"/>
          <w:numId w:val="4"/>
        </w:numPr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  <w:lang w:val="en-US" w:eastAsia="zh-CN"/>
        </w:rPr>
        <w:t>项目内容</w:t>
      </w:r>
      <w:r>
        <w:rPr>
          <w:rFonts w:hint="default" w:ascii="Times New Roman" w:hAnsi="Times New Roman" w:eastAsia="宋体" w:cs="Times New Roman"/>
          <w:b/>
          <w:sz w:val="28"/>
          <w:szCs w:val="24"/>
        </w:rPr>
        <w:t>要求</w:t>
      </w:r>
    </w:p>
    <w:p>
      <w:pPr>
        <w:widowControl/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>3.1项目概况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Times New Roman" w:hAnsi="Times New Roman" w:cs="Times New Roman"/>
          <w:kern w:val="0"/>
          <w:sz w:val="24"/>
          <w:lang w:val="en-US" w:eastAsia="zh-CN"/>
        </w:rPr>
      </w:pP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海南琼中抽水蓄能电站（以下简称“海蓄电站”）位于海南省琼中县黎母山镇。海蓄电站开关站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220kV侧采用双母线接线，经220kV蓄琼甲线、220kV蓄琼乙线、220kV蓄成Ⅰ线、220kV蓄成Ⅱ线接入海南电网220kV电压等级系统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kern w:val="0"/>
          <w:sz w:val="24"/>
          <w:lang w:val="en-US" w:eastAsia="zh-CN"/>
        </w:rPr>
        <w:t>海蓄电站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的220kV蓄琼甲、乙线主二保护PRS-753NA2-N，2022年11月投入运行。当前保护CPU软件版本V1.10，信息如下：</w:t>
      </w:r>
    </w:p>
    <w:p>
      <w:pPr>
        <w:pStyle w:val="7"/>
        <w:ind w:left="0" w:leftChars="0" w:right="0" w:rightChars="0" w:firstLine="0" w:firstLineChars="0"/>
        <w:jc w:val="center"/>
        <w:rPr>
          <w:rFonts w:hint="eastAsia" w:eastAsia="宋体"/>
          <w:lang w:eastAsia="zh-CN"/>
        </w:rPr>
      </w:pPr>
      <w:r>
        <w:t xml:space="preserve">表 </w:t>
      </w:r>
      <w:r>
        <w:fldChar w:fldCharType="begin"/>
      </w:r>
      <w:r>
        <w:instrText xml:space="preserve"> SEQ 表 \* ARABIC </w:instrText>
      </w:r>
      <w:r>
        <w:fldChar w:fldCharType="separate"/>
      </w:r>
      <w:r>
        <w:t>1</w:t>
      </w:r>
      <w:r>
        <w:fldChar w:fldCharType="end"/>
      </w:r>
      <w:r>
        <w:rPr>
          <w:rFonts w:hint="eastAsia"/>
          <w:lang w:eastAsia="zh-CN"/>
        </w:rPr>
        <w:t xml:space="preserve"> 海蓄电站220kV</w:t>
      </w:r>
      <w:r>
        <w:rPr>
          <w:rFonts w:hint="eastAsia"/>
          <w:lang w:val="en-US" w:eastAsia="zh-CN"/>
        </w:rPr>
        <w:t>线路</w:t>
      </w:r>
      <w:r>
        <w:rPr>
          <w:rFonts w:hint="eastAsia"/>
          <w:lang w:eastAsia="zh-CN"/>
        </w:rPr>
        <w:t>保护装置PRS-753NA2-N当前软件版本</w:t>
      </w:r>
    </w:p>
    <w:tbl>
      <w:tblPr>
        <w:tblStyle w:val="12"/>
        <w:tblpPr w:leftFromText="180" w:rightFromText="180" w:vertAnchor="text" w:tblpXSpec="center" w:tblpY="1"/>
        <w:tblOverlap w:val="never"/>
        <w:tblW w:w="508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9"/>
        <w:gridCol w:w="974"/>
        <w:gridCol w:w="968"/>
        <w:gridCol w:w="480"/>
        <w:gridCol w:w="614"/>
        <w:gridCol w:w="1081"/>
        <w:gridCol w:w="954"/>
        <w:gridCol w:w="1138"/>
        <w:gridCol w:w="503"/>
        <w:gridCol w:w="12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" w:hRule="atLeast"/>
          <w:jc w:val="center"/>
        </w:trPr>
        <w:tc>
          <w:tcPr>
            <w:tcW w:w="305" w:type="pct"/>
            <w:vMerge w:val="restar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572" w:type="pct"/>
            <w:vMerge w:val="restar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  <w:t>220kV蓄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琼甲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  <w:t>线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主二保护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  <w:t>屏</w:t>
            </w:r>
          </w:p>
        </w:tc>
        <w:tc>
          <w:tcPr>
            <w:tcW w:w="568" w:type="pct"/>
            <w:vMerge w:val="restar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  <w:t>PRS-753NA2-N</w:t>
            </w:r>
          </w:p>
        </w:tc>
        <w:tc>
          <w:tcPr>
            <w:tcW w:w="282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  <w:t>CPU1</w:t>
            </w:r>
          </w:p>
        </w:tc>
        <w:tc>
          <w:tcPr>
            <w:tcW w:w="360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  <w:t>保护CPU</w:t>
            </w:r>
          </w:p>
        </w:tc>
        <w:tc>
          <w:tcPr>
            <w:tcW w:w="635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V1.10</w:t>
            </w:r>
          </w:p>
        </w:tc>
        <w:tc>
          <w:tcPr>
            <w:tcW w:w="560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36E5</w:t>
            </w:r>
          </w:p>
        </w:tc>
        <w:tc>
          <w:tcPr>
            <w:tcW w:w="668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2022.02.01</w:t>
            </w:r>
          </w:p>
        </w:tc>
        <w:tc>
          <w:tcPr>
            <w:tcW w:w="295" w:type="pct"/>
            <w:vMerge w:val="restar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长园深瑞</w:t>
            </w:r>
          </w:p>
        </w:tc>
        <w:tc>
          <w:tcPr>
            <w:tcW w:w="750" w:type="pct"/>
            <w:vMerge w:val="restar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2022年11月23日投运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" w:hRule="atLeast"/>
          <w:jc w:val="center"/>
        </w:trPr>
        <w:tc>
          <w:tcPr>
            <w:tcW w:w="305" w:type="pct"/>
            <w:vMerge w:val="continue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keepNext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Cs/>
                <w:color w:val="auto"/>
                <w:sz w:val="18"/>
                <w:szCs w:val="18"/>
              </w:rPr>
            </w:pPr>
          </w:p>
        </w:tc>
        <w:tc>
          <w:tcPr>
            <w:tcW w:w="572" w:type="pct"/>
            <w:vMerge w:val="continue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keepNext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Cs/>
                <w:color w:val="auto"/>
                <w:sz w:val="18"/>
                <w:szCs w:val="18"/>
              </w:rPr>
            </w:pPr>
          </w:p>
        </w:tc>
        <w:tc>
          <w:tcPr>
            <w:tcW w:w="568" w:type="pct"/>
            <w:vMerge w:val="continue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keepNext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Cs/>
                <w:color w:val="auto"/>
                <w:sz w:val="18"/>
                <w:szCs w:val="18"/>
              </w:rPr>
            </w:pPr>
          </w:p>
        </w:tc>
        <w:tc>
          <w:tcPr>
            <w:tcW w:w="282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Cs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18"/>
                <w:szCs w:val="18"/>
              </w:rPr>
              <w:t>CPU2</w:t>
            </w:r>
          </w:p>
        </w:tc>
        <w:tc>
          <w:tcPr>
            <w:tcW w:w="360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Cs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18"/>
                <w:szCs w:val="18"/>
              </w:rPr>
              <w:t>管理CPU</w:t>
            </w:r>
          </w:p>
        </w:tc>
        <w:tc>
          <w:tcPr>
            <w:tcW w:w="635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V1.10</w:t>
            </w:r>
          </w:p>
        </w:tc>
        <w:tc>
          <w:tcPr>
            <w:tcW w:w="560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2FB1</w:t>
            </w:r>
          </w:p>
        </w:tc>
        <w:tc>
          <w:tcPr>
            <w:tcW w:w="668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2022.02.01</w:t>
            </w:r>
          </w:p>
        </w:tc>
        <w:tc>
          <w:tcPr>
            <w:tcW w:w="295" w:type="pct"/>
            <w:vMerge w:val="continue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keepNext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textAlignment w:val="auto"/>
              <w:rPr>
                <w:rFonts w:hint="default" w:ascii="Times New Roman" w:hAnsi="Times New Roman" w:eastAsia="宋体" w:cs="Times New Roman"/>
                <w:bCs/>
                <w:color w:val="auto"/>
                <w:sz w:val="18"/>
                <w:szCs w:val="18"/>
              </w:rPr>
            </w:pPr>
          </w:p>
        </w:tc>
        <w:tc>
          <w:tcPr>
            <w:tcW w:w="750" w:type="pct"/>
            <w:vMerge w:val="continue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keepNext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textAlignment w:val="auto"/>
              <w:rPr>
                <w:rFonts w:hint="default" w:ascii="Times New Roman" w:hAnsi="Times New Roman" w:eastAsia="宋体" w:cs="Times New Roman"/>
                <w:bCs/>
                <w:color w:val="auto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" w:hRule="atLeast"/>
          <w:jc w:val="center"/>
        </w:trPr>
        <w:tc>
          <w:tcPr>
            <w:tcW w:w="305" w:type="pct"/>
            <w:vMerge w:val="restar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572" w:type="pct"/>
            <w:vMerge w:val="restar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  <w:t>220kV蓄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琼乙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  <w:t>线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主二保护</w:t>
            </w: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  <w:t>屏</w:t>
            </w:r>
          </w:p>
        </w:tc>
        <w:tc>
          <w:tcPr>
            <w:tcW w:w="568" w:type="pct"/>
            <w:vMerge w:val="restar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  <w:t>PRS-753NA2-N</w:t>
            </w:r>
          </w:p>
        </w:tc>
        <w:tc>
          <w:tcPr>
            <w:tcW w:w="282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  <w:t>CPU1</w:t>
            </w:r>
          </w:p>
        </w:tc>
        <w:tc>
          <w:tcPr>
            <w:tcW w:w="360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  <w:t>保护CPU</w:t>
            </w:r>
          </w:p>
        </w:tc>
        <w:tc>
          <w:tcPr>
            <w:tcW w:w="635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V1.10</w:t>
            </w:r>
          </w:p>
        </w:tc>
        <w:tc>
          <w:tcPr>
            <w:tcW w:w="560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36E5</w:t>
            </w:r>
          </w:p>
        </w:tc>
        <w:tc>
          <w:tcPr>
            <w:tcW w:w="668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2022.02.01</w:t>
            </w:r>
          </w:p>
        </w:tc>
        <w:tc>
          <w:tcPr>
            <w:tcW w:w="295" w:type="pct"/>
            <w:vMerge w:val="restar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长园深瑞</w:t>
            </w:r>
          </w:p>
        </w:tc>
        <w:tc>
          <w:tcPr>
            <w:tcW w:w="750" w:type="pct"/>
            <w:vMerge w:val="restar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2022年11月24日投运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305" w:type="pct"/>
            <w:vMerge w:val="continue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keepNext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Cs/>
                <w:color w:val="auto"/>
                <w:sz w:val="18"/>
                <w:szCs w:val="18"/>
              </w:rPr>
            </w:pPr>
          </w:p>
        </w:tc>
        <w:tc>
          <w:tcPr>
            <w:tcW w:w="572" w:type="pct"/>
            <w:vMerge w:val="continue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keepNext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Cs/>
                <w:color w:val="auto"/>
                <w:sz w:val="18"/>
                <w:szCs w:val="18"/>
              </w:rPr>
            </w:pPr>
          </w:p>
        </w:tc>
        <w:tc>
          <w:tcPr>
            <w:tcW w:w="568" w:type="pct"/>
            <w:vMerge w:val="continue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keepNext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Cs/>
                <w:color w:val="auto"/>
                <w:sz w:val="18"/>
                <w:szCs w:val="18"/>
              </w:rPr>
            </w:pPr>
          </w:p>
        </w:tc>
        <w:tc>
          <w:tcPr>
            <w:tcW w:w="282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Cs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18"/>
                <w:szCs w:val="18"/>
              </w:rPr>
              <w:t>CPU2</w:t>
            </w:r>
          </w:p>
        </w:tc>
        <w:tc>
          <w:tcPr>
            <w:tcW w:w="360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Cs/>
                <w:color w:val="auto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18"/>
                <w:szCs w:val="18"/>
              </w:rPr>
              <w:t>管理CPU</w:t>
            </w:r>
          </w:p>
        </w:tc>
        <w:tc>
          <w:tcPr>
            <w:tcW w:w="635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V1.10</w:t>
            </w:r>
          </w:p>
        </w:tc>
        <w:tc>
          <w:tcPr>
            <w:tcW w:w="560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2FB1</w:t>
            </w:r>
          </w:p>
        </w:tc>
        <w:tc>
          <w:tcPr>
            <w:tcW w:w="668" w:type="pct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18"/>
                <w:szCs w:val="18"/>
                <w:lang w:val="en-US" w:eastAsia="zh-CN"/>
              </w:rPr>
              <w:t>2022.02.01</w:t>
            </w:r>
          </w:p>
        </w:tc>
        <w:tc>
          <w:tcPr>
            <w:tcW w:w="295" w:type="pct"/>
            <w:vMerge w:val="continue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keepNext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textAlignment w:val="auto"/>
              <w:rPr>
                <w:rFonts w:hint="default" w:ascii="Times New Roman" w:hAnsi="Times New Roman" w:eastAsia="宋体" w:cs="Times New Roman"/>
                <w:bCs/>
                <w:color w:val="auto"/>
                <w:sz w:val="18"/>
                <w:szCs w:val="18"/>
              </w:rPr>
            </w:pPr>
          </w:p>
        </w:tc>
        <w:tc>
          <w:tcPr>
            <w:tcW w:w="750" w:type="pct"/>
            <w:vMerge w:val="continue"/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keepNext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firstLine="0" w:firstLineChars="0"/>
              <w:textAlignment w:val="auto"/>
              <w:rPr>
                <w:rFonts w:hint="default" w:ascii="Times New Roman" w:hAnsi="Times New Roman" w:eastAsia="宋体" w:cs="Times New Roman"/>
                <w:bCs/>
                <w:color w:val="auto"/>
                <w:sz w:val="18"/>
                <w:szCs w:val="18"/>
              </w:rPr>
            </w:pPr>
          </w:p>
        </w:tc>
      </w:tr>
    </w:tbl>
    <w:tbl>
      <w:tblPr>
        <w:tblStyle w:val="1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top"/>
          </w:tcPr>
          <w:p>
            <w:pPr>
              <w:pStyle w:val="11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drawing>
                <wp:inline distT="0" distB="0" distL="114300" distR="114300">
                  <wp:extent cx="1800225" cy="1800225"/>
                  <wp:effectExtent l="0" t="0" r="0" b="0"/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31772" t="10345" r="29973" b="55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  <w:vAlign w:val="top"/>
          </w:tcPr>
          <w:p>
            <w:pPr>
              <w:pStyle w:val="8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drawing>
                <wp:inline distT="0" distB="0" distL="114300" distR="114300">
                  <wp:extent cx="1800225" cy="1800225"/>
                  <wp:effectExtent l="0" t="0" r="0" b="0"/>
                  <wp:docPr id="2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l="27247" r="272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top"/>
          </w:tcPr>
          <w:p>
            <w:pPr>
              <w:pStyle w:val="11"/>
              <w:keepNext w:val="0"/>
              <w:keepLines w:val="0"/>
              <w:widowControl/>
              <w:suppressLineNumbers w:val="0"/>
              <w:jc w:val="center"/>
            </w:pPr>
            <w:r>
              <w:drawing>
                <wp:inline distT="0" distB="0" distL="114300" distR="114300">
                  <wp:extent cx="1800225" cy="1800225"/>
                  <wp:effectExtent l="0" t="0" r="0" b="0"/>
                  <wp:docPr id="3" name="图片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l="27247" r="272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  <w:vAlign w:val="top"/>
          </w:tcPr>
          <w:p>
            <w:pPr>
              <w:pStyle w:val="11"/>
              <w:keepNext w:val="0"/>
              <w:keepLines w:val="0"/>
              <w:widowControl/>
              <w:suppressLineNumbers w:val="0"/>
              <w:jc w:val="center"/>
            </w:pPr>
            <w:r>
              <w:drawing>
                <wp:inline distT="0" distB="0" distL="114300" distR="114300">
                  <wp:extent cx="1800225" cy="1800225"/>
                  <wp:effectExtent l="0" t="0" r="0" b="0"/>
                  <wp:docPr id="4" name="图片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l="20760" t="1058" r="33756" b="-10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Times New Roman" w:hAnsi="Times New Roman" w:cs="Times New Roman"/>
          <w:kern w:val="0"/>
          <w:sz w:val="24"/>
          <w:lang w:val="en-US" w:eastAsia="zh-CN"/>
        </w:rPr>
      </w:pP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根据《总调继〔2025〕37号 关于发布南方电网10kV及以上系统保护软件版本(2025年版)的通知》，海蓄电站需将220kV线路保护装置PRS-753NA2-N的升级至目标版本V1.20，信息如下：</w:t>
      </w:r>
    </w:p>
    <w:p>
      <w:pPr>
        <w:pStyle w:val="7"/>
        <w:ind w:left="0" w:leftChars="0" w:right="0" w:rightChars="0" w:firstLine="0" w:firstLineChars="0"/>
        <w:jc w:val="center"/>
        <w:rPr>
          <w:rFonts w:hint="eastAsia" w:eastAsia="宋体"/>
          <w:lang w:eastAsia="zh-CN"/>
        </w:rPr>
      </w:pPr>
      <w:r>
        <w:t xml:space="preserve">表 </w:t>
      </w:r>
      <w:r>
        <w:fldChar w:fldCharType="begin"/>
      </w:r>
      <w:r>
        <w:instrText xml:space="preserve"> SEQ 表 \* ARABIC </w:instrText>
      </w:r>
      <w:r>
        <w:fldChar w:fldCharType="separate"/>
      </w:r>
      <w:r>
        <w:t>2</w:t>
      </w:r>
      <w:r>
        <w:fldChar w:fldCharType="end"/>
      </w:r>
      <w:r>
        <w:rPr>
          <w:rFonts w:hint="eastAsia"/>
          <w:lang w:eastAsia="zh-CN"/>
        </w:rPr>
        <w:t xml:space="preserve"> 220kV线路保护装置PRS-753NA2-N</w:t>
      </w:r>
      <w:r>
        <w:rPr>
          <w:rFonts w:hint="eastAsia"/>
          <w:lang w:val="en-US" w:eastAsia="zh-CN"/>
        </w:rPr>
        <w:t>的</w:t>
      </w:r>
      <w:r>
        <w:rPr>
          <w:rFonts w:hint="eastAsia"/>
          <w:lang w:eastAsia="zh-CN"/>
        </w:rPr>
        <w:t>目标软件版本</w:t>
      </w:r>
    </w:p>
    <w:tbl>
      <w:tblPr>
        <w:tblStyle w:val="12"/>
        <w:tblW w:w="5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"/>
        <w:gridCol w:w="440"/>
        <w:gridCol w:w="410"/>
        <w:gridCol w:w="360"/>
        <w:gridCol w:w="750"/>
        <w:gridCol w:w="637"/>
        <w:gridCol w:w="1290"/>
        <w:gridCol w:w="968"/>
        <w:gridCol w:w="1155"/>
        <w:gridCol w:w="598"/>
        <w:gridCol w:w="865"/>
        <w:gridCol w:w="772"/>
        <w:gridCol w:w="10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2347" w:type="pct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装置基本信息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应用类别</w:t>
            </w:r>
          </w:p>
        </w:tc>
        <w:tc>
          <w:tcPr>
            <w:tcW w:w="56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7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44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装置型号</w:t>
            </w:r>
          </w:p>
        </w:tc>
        <w:tc>
          <w:tcPr>
            <w:tcW w:w="21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装置序列</w:t>
            </w:r>
          </w:p>
        </w:tc>
        <w:tc>
          <w:tcPr>
            <w:tcW w:w="20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工程类别</w:t>
            </w:r>
          </w:p>
        </w:tc>
        <w:tc>
          <w:tcPr>
            <w:tcW w:w="17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装置类别</w:t>
            </w:r>
          </w:p>
        </w:tc>
        <w:tc>
          <w:tcPr>
            <w:tcW w:w="36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应用电压等级</w:t>
            </w:r>
          </w:p>
        </w:tc>
        <w:tc>
          <w:tcPr>
            <w:tcW w:w="31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设备供应商</w:t>
            </w:r>
          </w:p>
        </w:tc>
        <w:tc>
          <w:tcPr>
            <w:tcW w:w="63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适用范围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版本级别</w:t>
            </w:r>
          </w:p>
        </w:tc>
        <w:tc>
          <w:tcPr>
            <w:tcW w:w="56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</w:t>
            </w:r>
            <w:r>
              <w:rPr>
                <w:rStyle w:val="25"/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"/>
              </w:rPr>
              <w:t>CPU</w:t>
            </w:r>
            <w:r>
              <w:rPr>
                <w:rStyle w:val="26"/>
                <w:rFonts w:hint="default" w:ascii="Times New Roman" w:hAnsi="Times New Roman" w:cs="Times New Roman"/>
                <w:sz w:val="18"/>
                <w:szCs w:val="18"/>
                <w:lang w:val="en-US" w:eastAsia="zh-CN" w:bidi="ar"/>
              </w:rPr>
              <w:t>号）</w:t>
            </w:r>
          </w:p>
        </w:tc>
        <w:tc>
          <w:tcPr>
            <w:tcW w:w="29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名称</w:t>
            </w:r>
          </w:p>
        </w:tc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版本号</w:t>
            </w:r>
          </w:p>
        </w:tc>
        <w:tc>
          <w:tcPr>
            <w:tcW w:w="37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CRC</w:t>
            </w:r>
            <w:r>
              <w:rPr>
                <w:rStyle w:val="26"/>
                <w:rFonts w:hint="default" w:ascii="Times New Roman" w:hAnsi="Times New Roman" w:cs="Times New Roman"/>
                <w:sz w:val="18"/>
                <w:szCs w:val="18"/>
                <w:lang w:val="en-US" w:eastAsia="zh-CN" w:bidi="ar"/>
              </w:rPr>
              <w:t>校验码</w:t>
            </w:r>
          </w:p>
        </w:tc>
        <w:tc>
          <w:tcPr>
            <w:tcW w:w="5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程序生成时间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6" w:hRule="atLeast"/>
          <w:jc w:val="center"/>
        </w:trPr>
        <w:tc>
          <w:tcPr>
            <w:tcW w:w="447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PRS-753NA2-N</w:t>
            </w:r>
          </w:p>
        </w:tc>
        <w:tc>
          <w:tcPr>
            <w:tcW w:w="215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00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  <w:r>
              <w:rPr>
                <w:rStyle w:val="26"/>
                <w:rFonts w:hint="default" w:ascii="Times New Roman" w:hAnsi="Times New Roman" w:cs="Times New Roman"/>
                <w:sz w:val="18"/>
                <w:szCs w:val="18"/>
                <w:lang w:val="en-US" w:eastAsia="zh-CN" w:bidi="ar"/>
              </w:rPr>
              <w:t>版技术规范交流保护</w:t>
            </w:r>
          </w:p>
        </w:tc>
        <w:tc>
          <w:tcPr>
            <w:tcW w:w="176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线路保护</w:t>
            </w:r>
          </w:p>
        </w:tc>
        <w:tc>
          <w:tcPr>
            <w:tcW w:w="366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220kV</w:t>
            </w:r>
          </w:p>
        </w:tc>
        <w:tc>
          <w:tcPr>
            <w:tcW w:w="311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长园深瑞继保自动化有限公司</w:t>
            </w:r>
          </w:p>
        </w:tc>
        <w:tc>
          <w:tcPr>
            <w:tcW w:w="630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电缆跳闸线路保护装置，保护功能配置为纵联电流差动保护、相间及接地距离保护、零序过流保护、自动重合闸功能</w:t>
            </w:r>
          </w:p>
        </w:tc>
        <w:tc>
          <w:tcPr>
            <w:tcW w:w="47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目标版本</w:t>
            </w:r>
          </w:p>
        </w:tc>
        <w:tc>
          <w:tcPr>
            <w:tcW w:w="56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保护</w:t>
            </w:r>
            <w:r>
              <w:rPr>
                <w:rStyle w:val="25"/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"/>
              </w:rPr>
              <w:t>CPU</w:t>
            </w:r>
          </w:p>
        </w:tc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V1.20</w:t>
            </w:r>
          </w:p>
        </w:tc>
        <w:tc>
          <w:tcPr>
            <w:tcW w:w="37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511F</w:t>
            </w:r>
          </w:p>
        </w:tc>
        <w:tc>
          <w:tcPr>
            <w:tcW w:w="5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2024.09.01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9" w:hRule="atLeast"/>
          <w:jc w:val="center"/>
        </w:trPr>
        <w:tc>
          <w:tcPr>
            <w:tcW w:w="447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5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0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6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66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30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目标版本</w:t>
            </w:r>
          </w:p>
        </w:tc>
        <w:tc>
          <w:tcPr>
            <w:tcW w:w="56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管理</w:t>
            </w:r>
            <w:r>
              <w:rPr>
                <w:rStyle w:val="25"/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"/>
              </w:rPr>
              <w:t>CPU</w:t>
            </w:r>
          </w:p>
        </w:tc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V1.26</w:t>
            </w:r>
          </w:p>
        </w:tc>
        <w:tc>
          <w:tcPr>
            <w:tcW w:w="37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4DA9</w:t>
            </w:r>
          </w:p>
        </w:tc>
        <w:tc>
          <w:tcPr>
            <w:tcW w:w="5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2025.01.10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447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5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0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6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66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11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30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7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目标版本</w:t>
            </w:r>
          </w:p>
        </w:tc>
        <w:tc>
          <w:tcPr>
            <w:tcW w:w="56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9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ICD</w:t>
            </w:r>
            <w:r>
              <w:rPr>
                <w:rStyle w:val="26"/>
                <w:rFonts w:hint="default" w:ascii="Times New Roman" w:hAnsi="Times New Roman" w:cs="Times New Roman"/>
                <w:sz w:val="18"/>
                <w:szCs w:val="18"/>
                <w:lang w:val="en-US" w:eastAsia="zh-CN" w:bidi="ar"/>
              </w:rPr>
              <w:t>文件</w:t>
            </w:r>
          </w:p>
        </w:tc>
        <w:tc>
          <w:tcPr>
            <w:tcW w:w="42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V1.26</w:t>
            </w:r>
          </w:p>
        </w:tc>
        <w:tc>
          <w:tcPr>
            <w:tcW w:w="37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375C795C</w:t>
            </w:r>
          </w:p>
        </w:tc>
        <w:tc>
          <w:tcPr>
            <w:tcW w:w="52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</w:tr>
    </w:tbl>
    <w:p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 xml:space="preserve">3.2 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eastAsia="zh-CN"/>
        </w:rPr>
        <w:t>项目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>内容</w:t>
      </w:r>
    </w:p>
    <w:tbl>
      <w:tblPr>
        <w:tblStyle w:val="13"/>
        <w:tblW w:w="85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"/>
        <w:gridCol w:w="1995"/>
        <w:gridCol w:w="713"/>
        <w:gridCol w:w="487"/>
        <w:gridCol w:w="525"/>
        <w:gridCol w:w="43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4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7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4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5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43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服务内容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4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220kV线路保护PRS-753NA2-N软件版本升级现场技术服务</w:t>
            </w:r>
          </w:p>
        </w:tc>
        <w:tc>
          <w:tcPr>
            <w:tcW w:w="7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rPr>
                <w:rFonts w:hint="default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  <w:t>现场升级技术服务</w:t>
            </w:r>
          </w:p>
        </w:tc>
        <w:tc>
          <w:tcPr>
            <w:tcW w:w="4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5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3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（1）220kV蓄琼甲线主二保护PRS-753NA2-N的软件版本升级至目标版本。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4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2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9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220kV线路保护PRS-753NA2-N软件版本升级现场技术服务</w:t>
            </w:r>
          </w:p>
        </w:tc>
        <w:tc>
          <w:tcPr>
            <w:tcW w:w="7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4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  <w:t>现场升级技术服务</w:t>
            </w:r>
          </w:p>
        </w:tc>
        <w:tc>
          <w:tcPr>
            <w:tcW w:w="4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Times New Roman" w:hAnsi="Times New Roman" w:eastAsia="宋体" w:cs="Times New Roman"/>
                <w:kern w:val="0"/>
                <w:sz w:val="24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5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4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43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宋体" w:hAnsi="宋体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vertAlign w:val="baseline"/>
                <w:lang w:val="en-US" w:eastAsia="zh-CN"/>
              </w:rPr>
              <w:t>（2）220kV蓄琼乙线主二保护PRS-753NA2-N的软件版本升级至目标版本。</w:t>
            </w:r>
          </w:p>
        </w:tc>
      </w:tr>
    </w:tbl>
    <w:p>
      <w:pPr>
        <w:spacing w:line="500" w:lineRule="exact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 xml:space="preserve">3.3 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>服务内容说明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1、</w:t>
      </w: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/>
        </w:rPr>
        <w:t>乙方进行现场升级服务，完成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2台220kV线路保护装置PRS-753NA2-N的保护软件版本升级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，软件版本号、校验码、程序生产时间等信息与目标软件版本一致，更换板卡和升级软件后不影响系统正常运行，装置不出现异常、设备缺陷、元件损坏或不正确动作。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6"/>
        <w:gridCol w:w="1472"/>
        <w:gridCol w:w="2258"/>
        <w:gridCol w:w="2283"/>
        <w:gridCol w:w="1223"/>
        <w:gridCol w:w="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一</w:t>
            </w:r>
          </w:p>
        </w:tc>
        <w:tc>
          <w:tcPr>
            <w:tcW w:w="14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升级原因</w:t>
            </w:r>
          </w:p>
        </w:tc>
        <w:tc>
          <w:tcPr>
            <w:tcW w:w="6654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《总调继〔2025〕37号 关于发布南方电网10kV及以上系统保护软件版本(2025年版)的通知》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序号</w:t>
            </w:r>
          </w:p>
        </w:tc>
        <w:tc>
          <w:tcPr>
            <w:tcW w:w="14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设备名称</w:t>
            </w:r>
          </w:p>
        </w:tc>
        <w:tc>
          <w:tcPr>
            <w:tcW w:w="2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原版本</w:t>
            </w:r>
          </w:p>
        </w:tc>
        <w:tc>
          <w:tcPr>
            <w:tcW w:w="22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升级目标版本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计划完成日期</w:t>
            </w:r>
          </w:p>
        </w:tc>
        <w:tc>
          <w:tcPr>
            <w:tcW w:w="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完成情况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14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220kV蓄琼甲线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主二保护屏PRS-753NA2-N</w:t>
            </w:r>
          </w:p>
        </w:tc>
        <w:tc>
          <w:tcPr>
            <w:tcW w:w="2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CPU1保护CPU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版本号V1.10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CRC校验码36E5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程序生成时间2022.02.01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CPU2管理CPU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版本号V1.10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CRC校验码2FB1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程序生成时间2022.02.01</w:t>
            </w:r>
          </w:p>
        </w:tc>
        <w:tc>
          <w:tcPr>
            <w:tcW w:w="22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保护CPU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版本号V1.20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CRC校验码511F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程序生成时间2024.09.01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管理CPU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版本号V1.26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CRC校验码4DA9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程序生成时间2025.01.10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ICD文件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版本号V1.26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CRC校验码375C795C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2026年08月12日</w:t>
            </w:r>
          </w:p>
        </w:tc>
        <w:tc>
          <w:tcPr>
            <w:tcW w:w="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18"/>
                <w:szCs w:val="18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4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220kV蓄琼乙线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主二保护屏PRS-753NA2-N</w:t>
            </w:r>
          </w:p>
          <w:p>
            <w:pPr>
              <w:pStyle w:val="9"/>
              <w:ind w:firstLine="883" w:firstLineChars="200"/>
              <w:rPr>
                <w:rFonts w:hint="default" w:ascii="Times New Roman" w:hAnsi="Times New Roman" w:eastAsia="宋体" w:cs="Times New Roman"/>
                <w:b/>
                <w:bCs/>
                <w:kern w:val="2"/>
                <w:sz w:val="44"/>
                <w:szCs w:val="32"/>
                <w:lang w:val="en-US" w:eastAsia="zh-CN" w:bidi="ar-SA"/>
              </w:rPr>
            </w:pPr>
          </w:p>
        </w:tc>
        <w:tc>
          <w:tcPr>
            <w:tcW w:w="22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CPU1保护CPU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版本号V1.10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CRC校验码36E5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程序生成时间2022.02.01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CPU2管理CPU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版本号V1.10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CRC校验码2FB1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程序生成时间2022.02.01</w:t>
            </w:r>
          </w:p>
        </w:tc>
        <w:tc>
          <w:tcPr>
            <w:tcW w:w="22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保护CPU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版本号V1.20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CRC校验码511F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程序生成时间2024.09.01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管理CPU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版本号V1.26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CRC校验码4DA9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程序生成时间2025.01.10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ICD文件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版本号V1.26</w:t>
            </w: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ab/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CRC校验码375C795C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vertAlign w:val="baseline"/>
                <w:lang w:val="en-US" w:eastAsia="zh-CN"/>
              </w:rPr>
              <w:t>2026年09月16日</w:t>
            </w:r>
          </w:p>
        </w:tc>
        <w:tc>
          <w:tcPr>
            <w:tcW w:w="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18"/>
                <w:szCs w:val="18"/>
                <w:vertAlign w:val="baseline"/>
                <w:lang w:val="en-US" w:eastAsia="zh-CN" w:bidi="ar-SA"/>
              </w:rPr>
              <w:t>\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、</w:t>
      </w: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/>
        </w:rPr>
        <w:t>乙方应提供为期1年的质量保证，在质保期内运行过程中发生经过认定的误动或拒动，乙方应承担由此给甲方造成损失的责任。</w:t>
      </w:r>
    </w:p>
    <w:p>
      <w:pPr>
        <w:widowControl/>
        <w:spacing w:line="360" w:lineRule="auto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四、</w:t>
      </w:r>
      <w:r>
        <w:rPr>
          <w:rFonts w:hint="default" w:ascii="Times New Roman" w:hAnsi="Times New Roman" w:eastAsia="宋体" w:cs="Times New Roman"/>
          <w:b/>
          <w:sz w:val="28"/>
          <w:szCs w:val="24"/>
          <w:lang w:val="en-US" w:eastAsia="zh-CN"/>
        </w:rPr>
        <w:t>项目支付</w:t>
      </w:r>
      <w:r>
        <w:rPr>
          <w:rFonts w:hint="default" w:ascii="Times New Roman" w:hAnsi="Times New Roman" w:eastAsia="宋体" w:cs="Times New Roman"/>
          <w:b/>
          <w:sz w:val="28"/>
          <w:szCs w:val="24"/>
        </w:rPr>
        <w:t>要求</w:t>
      </w:r>
    </w:p>
    <w:p>
      <w:pPr>
        <w:spacing w:line="500" w:lineRule="exact"/>
        <w:ind w:firstLine="480" w:firstLineChars="200"/>
        <w:textAlignment w:val="baseline"/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乙方提交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书面形式的220kV线路保护装置PRS-753NA2-N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的软件版本号、校验码、程序生产时间等信息、技术服务验收报告。甲方出具验收合格的书面意见后，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乙方提供增值税专用发票，甲方在</w:t>
      </w:r>
      <w:r>
        <w:rPr>
          <w:rFonts w:ascii="宋体" w:hAnsi="宋体" w:eastAsia="宋体" w:cs="宋体"/>
          <w:sz w:val="24"/>
          <w:szCs w:val="24"/>
        </w:rPr>
        <w:t>满足付款条件后60日内完成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支付</w:t>
      </w: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。</w:t>
      </w:r>
    </w:p>
    <w:p>
      <w:pPr>
        <w:spacing w:line="360" w:lineRule="auto"/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  <w:lang w:val="en-US" w:eastAsia="zh-CN"/>
        </w:rPr>
        <w:t>五</w:t>
      </w: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</w:rPr>
        <w:t>、其他要求</w:t>
      </w:r>
    </w:p>
    <w:p>
      <w:pPr>
        <w:spacing w:line="500" w:lineRule="exact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无</w:t>
      </w:r>
    </w:p>
    <w:p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BE08DA"/>
    <w:multiLevelType w:val="multilevel"/>
    <w:tmpl w:val="22BE08DA"/>
    <w:lvl w:ilvl="0" w:tentative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992" w:hanging="992"/>
      </w:pPr>
      <w:rPr>
        <w:rFonts w:hint="eastAsia" w:ascii="黑体" w:hAnsi="黑体" w:eastAsia="黑体"/>
        <w:b w:val="0"/>
        <w:color w:val="auto"/>
      </w:rPr>
    </w:lvl>
    <w:lvl w:ilvl="2" w:tentative="0">
      <w:start w:val="1"/>
      <w:numFmt w:val="decimal"/>
      <w:suff w:val="space"/>
      <w:lvlText w:val="%1.%2.%3"/>
      <w:lvlJc w:val="left"/>
      <w:pPr>
        <w:ind w:left="851" w:hanging="851"/>
      </w:pPr>
      <w:rPr>
        <w:rFonts w:hint="eastAsia" w:ascii="黑体" w:hAnsi="黑体" w:eastAsia="黑体"/>
        <w:b w:val="0"/>
        <w:color w:val="auto"/>
      </w:rPr>
    </w:lvl>
    <w:lvl w:ilvl="3" w:tentative="0">
      <w:start w:val="1"/>
      <w:numFmt w:val="decimal"/>
      <w:pStyle w:val="22"/>
      <w:suff w:val="space"/>
      <w:lvlText w:val="%1.%2.%3.%4"/>
      <w:lvlJc w:val="left"/>
      <w:pPr>
        <w:ind w:left="1984" w:hanging="1984"/>
      </w:pPr>
      <w:rPr>
        <w:rFonts w:hint="eastAsia" w:eastAsia="宋体" w:asciiTheme="minorEastAsia" w:hAnsiTheme="minorEastAsia"/>
        <w:color w:val="auto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>
    <w:nsid w:val="5E8FCFBB"/>
    <w:multiLevelType w:val="multilevel"/>
    <w:tmpl w:val="5E8FCFBB"/>
    <w:lvl w:ilvl="0" w:tentative="0">
      <w:start w:val="1"/>
      <w:numFmt w:val="decimal"/>
      <w:pStyle w:val="19"/>
      <w:lvlText w:val="%1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</w:rPr>
    </w:lvl>
    <w:lvl w:ilvl="1" w:tentative="0">
      <w:start w:val="1"/>
      <w:numFmt w:val="decimal"/>
      <w:pStyle w:val="18"/>
      <w:lvlText w:val="%1.%2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</w:rPr>
    </w:lvl>
    <w:lvl w:ilvl="2" w:tentative="0">
      <w:start w:val="1"/>
      <w:numFmt w:val="decimal"/>
      <w:pStyle w:val="17"/>
      <w:suff w:val="space"/>
      <w:lvlText w:val="%1.%2.%3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</w:rPr>
    </w:lvl>
    <w:lvl w:ilvl="3" w:tentative="0">
      <w:start w:val="1"/>
      <w:numFmt w:val="decimal"/>
      <w:lvlText w:val="%1.%2.%3.%4"/>
      <w:lvlJc w:val="left"/>
      <w:pPr>
        <w:ind w:left="850" w:hanging="850"/>
      </w:pPr>
      <w:rPr>
        <w:rFonts w:hint="default" w:ascii="宋体" w:hAnsi="宋体" w:eastAsia="宋体" w:cs="宋体"/>
      </w:rPr>
    </w:lvl>
    <w:lvl w:ilvl="4" w:tentative="0">
      <w:start w:val="1"/>
      <w:numFmt w:val="decimal"/>
      <w:lvlText w:val="%1.%2.%3.%4.%5"/>
      <w:lvlJc w:val="left"/>
      <w:pPr>
        <w:ind w:left="991" w:hanging="991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"/>
      <w:lvlJc w:val="left"/>
      <w:pPr>
        <w:ind w:left="1134" w:hanging="1134"/>
      </w:pPr>
      <w:rPr>
        <w:rFonts w:hint="default" w:ascii="宋体" w:hAnsi="宋体" w:eastAsia="宋体" w:cs="宋体"/>
      </w:rPr>
    </w:lvl>
    <w:lvl w:ilvl="6" w:tentative="0">
      <w:start w:val="1"/>
      <w:numFmt w:val="decimal"/>
      <w:lvlText w:val="%1.%2.%3.%4.%5.%6.%7"/>
      <w:lvlJc w:val="left"/>
      <w:pPr>
        <w:ind w:left="1275" w:hanging="1275"/>
      </w:pPr>
      <w:rPr>
        <w:rFonts w:hint="default" w:ascii="宋体" w:hAnsi="宋体" w:eastAsia="宋体" w:cs="宋体"/>
      </w:rPr>
    </w:lvl>
    <w:lvl w:ilvl="7" w:tentative="0">
      <w:start w:val="1"/>
      <w:numFmt w:val="decimal"/>
      <w:lvlText w:val="%1.%2.%3.%4.%5.%6.%7.%8"/>
      <w:lvlJc w:val="left"/>
      <w:pPr>
        <w:ind w:left="1418" w:hanging="1418"/>
      </w:pPr>
      <w:rPr>
        <w:rFonts w:hint="default" w:ascii="宋体" w:hAnsi="宋体" w:eastAsia="宋体" w:cs="宋体"/>
      </w:rPr>
    </w:lvl>
    <w:lvl w:ilvl="8" w:tentative="0">
      <w:start w:val="1"/>
      <w:numFmt w:val="decimal"/>
      <w:lvlText w:val="%1.%2.%3.%4.%5.%6.%7.%8.%9"/>
      <w:lvlJc w:val="left"/>
      <w:pPr>
        <w:ind w:left="1558" w:hanging="1558"/>
      </w:pPr>
      <w:rPr>
        <w:rFonts w:hint="default" w:ascii="宋体" w:hAnsi="宋体" w:eastAsia="宋体" w:cs="宋体"/>
      </w:rPr>
    </w:lvl>
  </w:abstractNum>
  <w:abstractNum w:abstractNumId="2">
    <w:nsid w:val="6754FDA5"/>
    <w:multiLevelType w:val="singleLevel"/>
    <w:tmpl w:val="6754FDA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6933334"/>
    <w:multiLevelType w:val="multilevel"/>
    <w:tmpl w:val="76933334"/>
    <w:lvl w:ilvl="0" w:tentative="0">
      <w:start w:val="1"/>
      <w:numFmt w:val="upperLetter"/>
      <w:pStyle w:val="23"/>
      <w:suff w:val="nothing"/>
      <w:lvlText w:val="附  录  %1 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  <w:szCs w:val="21"/>
      </w:rPr>
    </w:lvl>
    <w:lvl w:ilvl="1" w:tentative="0">
      <w:start w:val="1"/>
      <w:numFmt w:val="decimal"/>
      <w:suff w:val="nothing"/>
      <w:lvlText w:val="%1%2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771"/>
        </w:tabs>
        <w:ind w:left="438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97"/>
        </w:tabs>
        <w:ind w:left="5097" w:hanging="1700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zNjhjZjkxMjg2OGJjOTQ0NThhNzBhOGI4YTVmYWYifQ=="/>
  </w:docVars>
  <w:rsids>
    <w:rsidRoot w:val="00000000"/>
    <w:rsid w:val="011145B6"/>
    <w:rsid w:val="02105673"/>
    <w:rsid w:val="02A46BB1"/>
    <w:rsid w:val="037A40C6"/>
    <w:rsid w:val="03DC68B4"/>
    <w:rsid w:val="04AF0093"/>
    <w:rsid w:val="05085485"/>
    <w:rsid w:val="054D3B3F"/>
    <w:rsid w:val="05CA273A"/>
    <w:rsid w:val="06856633"/>
    <w:rsid w:val="073C31C4"/>
    <w:rsid w:val="0AE05343"/>
    <w:rsid w:val="0E8A02B9"/>
    <w:rsid w:val="105E23FD"/>
    <w:rsid w:val="11572E8D"/>
    <w:rsid w:val="1290604A"/>
    <w:rsid w:val="133832E8"/>
    <w:rsid w:val="14EF0366"/>
    <w:rsid w:val="16D76A65"/>
    <w:rsid w:val="17CD20C5"/>
    <w:rsid w:val="18A43501"/>
    <w:rsid w:val="18D4004A"/>
    <w:rsid w:val="1E2E49FA"/>
    <w:rsid w:val="1E564F90"/>
    <w:rsid w:val="1E745A2C"/>
    <w:rsid w:val="1F3518C1"/>
    <w:rsid w:val="1F445FB7"/>
    <w:rsid w:val="20AA2164"/>
    <w:rsid w:val="215F79F8"/>
    <w:rsid w:val="217556F5"/>
    <w:rsid w:val="2223653E"/>
    <w:rsid w:val="22B06E96"/>
    <w:rsid w:val="233660B1"/>
    <w:rsid w:val="237F09E4"/>
    <w:rsid w:val="23876F54"/>
    <w:rsid w:val="246C1FEE"/>
    <w:rsid w:val="24892425"/>
    <w:rsid w:val="268A1F04"/>
    <w:rsid w:val="26937E0C"/>
    <w:rsid w:val="26A947C0"/>
    <w:rsid w:val="26B64AE2"/>
    <w:rsid w:val="2B4A5EB5"/>
    <w:rsid w:val="2B762831"/>
    <w:rsid w:val="2C706946"/>
    <w:rsid w:val="2C87397F"/>
    <w:rsid w:val="2D894E77"/>
    <w:rsid w:val="2F354F9E"/>
    <w:rsid w:val="2FC949E6"/>
    <w:rsid w:val="33736984"/>
    <w:rsid w:val="348A4CBF"/>
    <w:rsid w:val="34D128B0"/>
    <w:rsid w:val="39BF40A5"/>
    <w:rsid w:val="39D5466D"/>
    <w:rsid w:val="39D97BC0"/>
    <w:rsid w:val="3A4B6BF0"/>
    <w:rsid w:val="3A617939"/>
    <w:rsid w:val="3CA04220"/>
    <w:rsid w:val="3E804094"/>
    <w:rsid w:val="412C0E2D"/>
    <w:rsid w:val="43BA773D"/>
    <w:rsid w:val="48B02898"/>
    <w:rsid w:val="496C16BA"/>
    <w:rsid w:val="4B12476D"/>
    <w:rsid w:val="4B3E7B46"/>
    <w:rsid w:val="4B663FE5"/>
    <w:rsid w:val="4C2D252F"/>
    <w:rsid w:val="4C5D5FF1"/>
    <w:rsid w:val="4E2F7F1D"/>
    <w:rsid w:val="4E9E4ABB"/>
    <w:rsid w:val="502C723E"/>
    <w:rsid w:val="505025CD"/>
    <w:rsid w:val="51A26E98"/>
    <w:rsid w:val="53195188"/>
    <w:rsid w:val="532A3347"/>
    <w:rsid w:val="544B268E"/>
    <w:rsid w:val="54972393"/>
    <w:rsid w:val="54F72A83"/>
    <w:rsid w:val="55B97975"/>
    <w:rsid w:val="568B3962"/>
    <w:rsid w:val="5A8B3529"/>
    <w:rsid w:val="5AD324CE"/>
    <w:rsid w:val="5B615373"/>
    <w:rsid w:val="5EDA62E9"/>
    <w:rsid w:val="60C72C73"/>
    <w:rsid w:val="624C462A"/>
    <w:rsid w:val="62DA0294"/>
    <w:rsid w:val="632877B1"/>
    <w:rsid w:val="63605BFD"/>
    <w:rsid w:val="651741B8"/>
    <w:rsid w:val="66590BF3"/>
    <w:rsid w:val="66C75126"/>
    <w:rsid w:val="684D6073"/>
    <w:rsid w:val="69894F6A"/>
    <w:rsid w:val="69D71CCC"/>
    <w:rsid w:val="6AE54E58"/>
    <w:rsid w:val="6B502BB4"/>
    <w:rsid w:val="6B6D18B2"/>
    <w:rsid w:val="6BB55A52"/>
    <w:rsid w:val="6D084078"/>
    <w:rsid w:val="6E3803A5"/>
    <w:rsid w:val="6E595BB4"/>
    <w:rsid w:val="6ECB392F"/>
    <w:rsid w:val="6EFC78C2"/>
    <w:rsid w:val="70E2391E"/>
    <w:rsid w:val="72711F05"/>
    <w:rsid w:val="72904664"/>
    <w:rsid w:val="74C16CDF"/>
    <w:rsid w:val="758A5266"/>
    <w:rsid w:val="75D13DB6"/>
    <w:rsid w:val="77F12301"/>
    <w:rsid w:val="789C7825"/>
    <w:rsid w:val="794E03FE"/>
    <w:rsid w:val="7C121B6B"/>
    <w:rsid w:val="7C6A0A85"/>
    <w:rsid w:val="7D221505"/>
    <w:rsid w:val="7DB859C6"/>
    <w:rsid w:val="7FCA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宋体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0" w:afterAutospacing="0" w:line="560" w:lineRule="exact"/>
      <w:ind w:firstLine="0" w:firstLineChars="0"/>
      <w:jc w:val="left"/>
      <w:outlineLvl w:val="0"/>
    </w:pPr>
    <w:rPr>
      <w:rFonts w:hint="eastAsia" w:eastAsia="黑体" w:cs="宋体"/>
      <w:bCs/>
      <w:kern w:val="44"/>
      <w:szCs w:val="48"/>
      <w:lang w:bidi="ar"/>
    </w:rPr>
  </w:style>
  <w:style w:type="paragraph" w:styleId="3">
    <w:name w:val="heading 2"/>
    <w:basedOn w:val="1"/>
    <w:next w:val="1"/>
    <w:link w:val="15"/>
    <w:semiHidden/>
    <w:unhideWhenUsed/>
    <w:qFormat/>
    <w:uiPriority w:val="0"/>
    <w:pPr>
      <w:keepNext/>
      <w:keepLines/>
      <w:spacing w:beforeLines="0" w:afterLines="0"/>
      <w:ind w:firstLine="0" w:firstLineChars="0"/>
      <w:jc w:val="left"/>
      <w:outlineLvl w:val="1"/>
    </w:pPr>
    <w:rPr>
      <w:rFonts w:ascii="Times New Roman" w:hAnsi="Times New Roman" w:eastAsia="宋体" w:cs="Times New Roman"/>
      <w:b/>
      <w:bCs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2"/>
    </w:pPr>
    <w:rPr>
      <w:b/>
      <w:sz w:val="30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3"/>
    </w:pPr>
    <w:rPr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4"/>
    </w:pPr>
    <w:rPr>
      <w:b/>
      <w:sz w:val="24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8">
    <w:name w:val="Body Text"/>
    <w:basedOn w:val="1"/>
    <w:next w:val="9"/>
    <w:qFormat/>
    <w:uiPriority w:val="0"/>
    <w:rPr>
      <w:rFonts w:ascii="Arial" w:hAnsi="Arial" w:eastAsia="宋体" w:cstheme="minorBidi"/>
      <w:sz w:val="21"/>
    </w:rPr>
  </w:style>
  <w:style w:type="paragraph" w:styleId="9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10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标题 2 Char"/>
    <w:link w:val="3"/>
    <w:qFormat/>
    <w:uiPriority w:val="0"/>
    <w:rPr>
      <w:rFonts w:ascii="Times New Roman" w:hAnsi="Times New Roman" w:eastAsia="宋体" w:cs="Times New Roman"/>
      <w:b/>
      <w:bCs/>
      <w:sz w:val="24"/>
      <w:szCs w:val="32"/>
    </w:rPr>
  </w:style>
  <w:style w:type="paragraph" w:customStyle="1" w:styleId="16">
    <w:name w:val="段"/>
    <w:qFormat/>
    <w:uiPriority w:val="0"/>
    <w:pPr>
      <w:autoSpaceDE w:val="0"/>
      <w:autoSpaceDN w:val="0"/>
      <w:spacing w:before="240" w:after="60"/>
      <w:ind w:firstLine="420" w:firstLineChars="200"/>
      <w:jc w:val="both"/>
    </w:pPr>
    <w:rPr>
      <w:rFonts w:ascii="宋体" w:hAnsi="Times New Roman" w:eastAsia="宋体" w:cs="黑体"/>
      <w:kern w:val="2"/>
      <w:sz w:val="21"/>
      <w:szCs w:val="22"/>
      <w:lang w:val="en-US" w:eastAsia="zh-CN" w:bidi="ar-SA"/>
    </w:rPr>
  </w:style>
  <w:style w:type="paragraph" w:customStyle="1" w:styleId="17">
    <w:name w:val="作业标题3"/>
    <w:basedOn w:val="18"/>
    <w:next w:val="20"/>
    <w:qFormat/>
    <w:uiPriority w:val="0"/>
    <w:pPr>
      <w:numPr>
        <w:ilvl w:val="2"/>
        <w:numId w:val="1"/>
      </w:numPr>
      <w:tabs>
        <w:tab w:val="left" w:pos="420"/>
      </w:tabs>
      <w:spacing w:line="360" w:lineRule="auto"/>
      <w:ind w:left="0" w:firstLine="0"/>
    </w:pPr>
    <w:rPr>
      <w:rFonts w:eastAsia="宋体"/>
    </w:rPr>
  </w:style>
  <w:style w:type="paragraph" w:customStyle="1" w:styleId="18">
    <w:name w:val="作业标题2"/>
    <w:basedOn w:val="19"/>
    <w:next w:val="20"/>
    <w:qFormat/>
    <w:uiPriority w:val="0"/>
    <w:pPr>
      <w:numPr>
        <w:ilvl w:val="1"/>
        <w:numId w:val="1"/>
      </w:numPr>
      <w:tabs>
        <w:tab w:val="left" w:pos="0"/>
      </w:tabs>
      <w:ind w:left="0" w:firstLine="0"/>
      <w:jc w:val="left"/>
    </w:pPr>
  </w:style>
  <w:style w:type="paragraph" w:customStyle="1" w:styleId="19">
    <w:name w:val="作业标题1"/>
    <w:basedOn w:val="2"/>
    <w:next w:val="20"/>
    <w:qFormat/>
    <w:uiPriority w:val="0"/>
    <w:pPr>
      <w:numPr>
        <w:ilvl w:val="0"/>
        <w:numId w:val="1"/>
      </w:numPr>
      <w:spacing w:line="360" w:lineRule="auto"/>
    </w:pPr>
    <w:rPr>
      <w:rFonts w:ascii="Times New Roman" w:hAnsi="Times New Roman"/>
    </w:rPr>
  </w:style>
  <w:style w:type="paragraph" w:customStyle="1" w:styleId="20">
    <w:name w:val="作业正文"/>
    <w:qFormat/>
    <w:uiPriority w:val="0"/>
    <w:pPr>
      <w:autoSpaceDE w:val="0"/>
      <w:autoSpaceDN w:val="0"/>
      <w:ind w:firstLine="200" w:firstLineChars="200"/>
      <w:jc w:val="both"/>
    </w:pPr>
    <w:rPr>
      <w:rFonts w:ascii="宋体" w:hAnsi="宋体" w:eastAsia="宋体" w:cs="Times New Roman"/>
      <w:sz w:val="21"/>
      <w:lang w:val="en-US" w:eastAsia="zh-CN" w:bidi="ar-SA"/>
    </w:rPr>
  </w:style>
  <w:style w:type="paragraph" w:customStyle="1" w:styleId="21">
    <w:name w:val="格式4"/>
    <w:basedOn w:val="22"/>
    <w:qFormat/>
    <w:uiPriority w:val="0"/>
    <w:pPr>
      <w:tabs>
        <w:tab w:val="left" w:pos="567"/>
        <w:tab w:val="left" w:pos="709"/>
        <w:tab w:val="left" w:pos="993"/>
        <w:tab w:val="left" w:pos="6405"/>
      </w:tabs>
    </w:pPr>
  </w:style>
  <w:style w:type="paragraph" w:customStyle="1" w:styleId="22">
    <w:name w:val="样式5"/>
    <w:basedOn w:val="23"/>
    <w:qFormat/>
    <w:uiPriority w:val="0"/>
    <w:pPr>
      <w:keepNext/>
      <w:numPr>
        <w:ilvl w:val="3"/>
        <w:numId w:val="2"/>
      </w:numPr>
      <w:tabs>
        <w:tab w:val="left" w:pos="567"/>
        <w:tab w:val="left" w:pos="709"/>
        <w:tab w:val="left" w:pos="993"/>
        <w:tab w:val="left" w:pos="6405"/>
      </w:tabs>
      <w:spacing w:before="0" w:after="0"/>
      <w:jc w:val="both"/>
      <w:outlineLvl w:val="9"/>
    </w:pPr>
    <w:rPr>
      <w:rFonts w:asciiTheme="minorEastAsia" w:hAnsiTheme="minorEastAsia"/>
    </w:rPr>
  </w:style>
  <w:style w:type="paragraph" w:customStyle="1" w:styleId="23">
    <w:name w:val="附录标识"/>
    <w:basedOn w:val="24"/>
    <w:qFormat/>
    <w:uiPriority w:val="0"/>
    <w:pPr>
      <w:numPr>
        <w:ilvl w:val="0"/>
        <w:numId w:val="3"/>
      </w:numPr>
      <w:tabs>
        <w:tab w:val="left" w:pos="6405"/>
      </w:tabs>
      <w:spacing w:after="200"/>
    </w:pPr>
    <w:rPr>
      <w:sz w:val="21"/>
    </w:rPr>
  </w:style>
  <w:style w:type="paragraph" w:customStyle="1" w:styleId="24">
    <w:name w:val="前言、引言标题"/>
    <w:next w:val="1"/>
    <w:qFormat/>
    <w:uiPriority w:val="0"/>
    <w:pPr>
      <w:shd w:val="clear" w:color="FFFFFF" w:fill="FFFFFF"/>
      <w:spacing w:before="640" w:after="5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character" w:customStyle="1" w:styleId="25">
    <w:name w:val="font51"/>
    <w:basedOn w:val="14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6">
    <w:name w:val="font11"/>
    <w:basedOn w:val="1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1858</Words>
  <Characters>2187</Characters>
  <Lines>0</Lines>
  <Paragraphs>0</Paragraphs>
  <TotalTime>1</TotalTime>
  <ScaleCrop>false</ScaleCrop>
  <LinksUpToDate>false</LinksUpToDate>
  <CharactersWithSpaces>2213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2022-04-22T16:00:00Z</dcterms:created>
  <dc:creator>梅文星</dc:creator>
  <cp:lastModifiedBy>MWX</cp:lastModifiedBy>
  <dcterms:modified xsi:type="dcterms:W3CDTF">2026-07-08T01:17:02Z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7051AEB6AFA64B8C9840AF1CE0F6ED85</vt:lpwstr>
  </property>
</Properties>
</file>