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9F34A">
      <w:pPr>
        <w:spacing w:line="360" w:lineRule="auto"/>
        <w:jc w:val="right"/>
        <w:rPr>
          <w:color w:val="auto"/>
        </w:rPr>
      </w:pPr>
      <w:r>
        <w:rPr>
          <w:rFonts w:hint="eastAsia" w:ascii="黑体" w:hAnsi="黑体" w:eastAsia="黑体" w:cs="黑体"/>
          <w:color w:val="auto"/>
        </w:rPr>
        <w:drawing>
          <wp:anchor distT="0" distB="0" distL="114300" distR="114300" simplePos="0" relativeHeight="251660288" behindDoc="1" locked="0" layoutInCell="1" allowOverlap="1">
            <wp:simplePos x="0" y="0"/>
            <wp:positionH relativeFrom="column">
              <wp:posOffset>-1590675</wp:posOffset>
            </wp:positionH>
            <wp:positionV relativeFrom="paragraph">
              <wp:posOffset>-938530</wp:posOffset>
            </wp:positionV>
            <wp:extent cx="8000365" cy="10979150"/>
            <wp:effectExtent l="0" t="0" r="635" b="0"/>
            <wp:wrapNone/>
            <wp:docPr id="1" name="图片 1"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6"/>
                    <a:srcRect/>
                    <a:stretch>
                      <a:fillRect/>
                    </a:stretch>
                  </pic:blipFill>
                  <pic:spPr>
                    <a:xfrm>
                      <a:off x="0" y="0"/>
                      <a:ext cx="8000365" cy="10979150"/>
                    </a:xfrm>
                    <a:prstGeom prst="rect">
                      <a:avLst/>
                    </a:prstGeom>
                    <a:noFill/>
                    <a:ln w="9525">
                      <a:noFill/>
                      <a:miter lim="800000"/>
                      <a:headEnd/>
                      <a:tailEnd/>
                    </a:ln>
                  </pic:spPr>
                </pic:pic>
              </a:graphicData>
            </a:graphic>
          </wp:anchor>
        </w:drawing>
      </w:r>
    </w:p>
    <w:p w14:paraId="311743F0">
      <w:pPr>
        <w:spacing w:line="360" w:lineRule="auto"/>
        <w:jc w:val="right"/>
        <w:rPr>
          <w:color w:val="auto"/>
        </w:rPr>
      </w:pPr>
    </w:p>
    <w:p w14:paraId="649610CC">
      <w:pPr>
        <w:spacing w:line="360" w:lineRule="auto"/>
        <w:jc w:val="center"/>
        <w:rPr>
          <w:b/>
          <w:bCs/>
          <w:color w:val="auto"/>
          <w:sz w:val="44"/>
          <w:szCs w:val="44"/>
        </w:rPr>
      </w:pPr>
    </w:p>
    <w:p w14:paraId="6C0F4E4E">
      <w:pPr>
        <w:spacing w:line="360" w:lineRule="auto"/>
        <w:jc w:val="center"/>
        <w:rPr>
          <w:b/>
          <w:bCs/>
          <w:color w:val="auto"/>
          <w:sz w:val="44"/>
          <w:szCs w:val="44"/>
        </w:rPr>
      </w:pPr>
    </w:p>
    <w:p w14:paraId="223BEB44">
      <w:pPr>
        <w:spacing w:line="360" w:lineRule="auto"/>
        <w:jc w:val="center"/>
        <w:rPr>
          <w:b/>
          <w:bCs/>
          <w:color w:val="auto"/>
          <w:sz w:val="44"/>
          <w:szCs w:val="44"/>
        </w:rPr>
      </w:pPr>
    </w:p>
    <w:p w14:paraId="6FBD5CF4">
      <w:pPr>
        <w:spacing w:line="360" w:lineRule="auto"/>
        <w:jc w:val="center"/>
        <w:rPr>
          <w:b/>
          <w:color w:val="auto"/>
          <w:sz w:val="44"/>
          <w:szCs w:val="44"/>
        </w:rPr>
      </w:pPr>
      <w:bookmarkStart w:id="0" w:name="_Toc327220102"/>
      <w:bookmarkStart w:id="1" w:name="_Toc327219896"/>
    </w:p>
    <w:p w14:paraId="79EEA0F4">
      <w:pPr>
        <w:spacing w:line="360" w:lineRule="auto"/>
        <w:jc w:val="center"/>
        <w:rPr>
          <w:b/>
          <w:color w:val="auto"/>
          <w:sz w:val="44"/>
          <w:szCs w:val="44"/>
        </w:rPr>
      </w:pPr>
    </w:p>
    <w:p w14:paraId="7FF78C87">
      <w:pPr>
        <w:spacing w:line="360" w:lineRule="auto"/>
        <w:jc w:val="center"/>
        <w:rPr>
          <w:b w:val="0"/>
          <w:bCs/>
          <w:color w:val="auto"/>
          <w:sz w:val="52"/>
          <w:szCs w:val="52"/>
          <w:highlight w:val="none"/>
        </w:rPr>
      </w:pPr>
      <w:r>
        <w:rPr>
          <w:rFonts w:hint="eastAsia" w:ascii="黑体" w:hAnsi="黑体" w:eastAsia="黑体" w:cs="黑体"/>
          <w:b w:val="0"/>
          <w:bCs/>
          <w:color w:val="auto"/>
          <w:sz w:val="52"/>
          <w:szCs w:val="52"/>
          <w:highlight w:val="none"/>
        </w:rPr>
        <w:t>广东电力通信科技有限公司2026年智慧协作主机委托制造采购</w:t>
      </w:r>
    </w:p>
    <w:p w14:paraId="7435368D">
      <w:pPr>
        <w:spacing w:line="360" w:lineRule="auto"/>
        <w:jc w:val="center"/>
        <w:rPr>
          <w:b w:val="0"/>
          <w:bCs/>
          <w:color w:val="auto"/>
          <w:sz w:val="52"/>
          <w:szCs w:val="52"/>
        </w:rPr>
      </w:pPr>
      <w:r>
        <w:rPr>
          <w:rFonts w:hint="eastAsia" w:ascii="黑体" w:hAnsi="黑体" w:eastAsia="黑体" w:cs="黑体"/>
          <w:b w:val="0"/>
          <w:bCs/>
          <w:color w:val="auto"/>
          <w:sz w:val="52"/>
          <w:szCs w:val="52"/>
        </w:rPr>
        <w:t>技术规范书</w:t>
      </w:r>
    </w:p>
    <w:bookmarkEnd w:id="0"/>
    <w:bookmarkEnd w:id="1"/>
    <w:p w14:paraId="387AAF64">
      <w:pPr>
        <w:spacing w:line="360" w:lineRule="auto"/>
        <w:jc w:val="center"/>
        <w:rPr>
          <w:b/>
          <w:bCs/>
          <w:color w:val="auto"/>
          <w:sz w:val="48"/>
          <w:szCs w:val="48"/>
        </w:rPr>
      </w:pPr>
    </w:p>
    <w:p w14:paraId="55A76605">
      <w:pPr>
        <w:spacing w:line="360" w:lineRule="auto"/>
        <w:jc w:val="center"/>
        <w:rPr>
          <w:b/>
          <w:bCs/>
          <w:color w:val="auto"/>
          <w:sz w:val="48"/>
          <w:szCs w:val="48"/>
        </w:rPr>
      </w:pPr>
    </w:p>
    <w:p w14:paraId="1201ADBA">
      <w:pPr>
        <w:spacing w:line="360" w:lineRule="auto"/>
        <w:jc w:val="center"/>
        <w:rPr>
          <w:b/>
          <w:bCs/>
          <w:color w:val="auto"/>
          <w:sz w:val="48"/>
          <w:szCs w:val="48"/>
        </w:rPr>
      </w:pPr>
    </w:p>
    <w:p w14:paraId="65727F3A">
      <w:pPr>
        <w:spacing w:line="360" w:lineRule="auto"/>
        <w:jc w:val="center"/>
        <w:rPr>
          <w:b/>
          <w:bCs/>
          <w:color w:val="auto"/>
          <w:sz w:val="48"/>
          <w:szCs w:val="48"/>
        </w:rPr>
      </w:pPr>
    </w:p>
    <w:p w14:paraId="7487B8EC">
      <w:pPr>
        <w:spacing w:line="360" w:lineRule="auto"/>
        <w:jc w:val="center"/>
        <w:rPr>
          <w:b/>
          <w:bCs/>
          <w:color w:val="auto"/>
          <w:sz w:val="48"/>
          <w:szCs w:val="48"/>
        </w:rPr>
      </w:pPr>
    </w:p>
    <w:p w14:paraId="15CE224F">
      <w:pPr>
        <w:spacing w:line="360" w:lineRule="auto"/>
        <w:jc w:val="center"/>
        <w:rPr>
          <w:b/>
          <w:bCs/>
          <w:color w:val="auto"/>
          <w:sz w:val="48"/>
          <w:szCs w:val="48"/>
        </w:rPr>
      </w:pPr>
    </w:p>
    <w:p w14:paraId="2006EBD2">
      <w:pPr>
        <w:rPr>
          <w:color w:val="auto"/>
        </w:rPr>
      </w:pPr>
    </w:p>
    <w:p w14:paraId="449196D4">
      <w:pPr>
        <w:pStyle w:val="14"/>
        <w:ind w:left="0"/>
        <w:rPr>
          <w:color w:val="auto"/>
        </w:rPr>
      </w:pPr>
    </w:p>
    <w:p w14:paraId="20541E0E">
      <w:pPr>
        <w:rPr>
          <w:color w:val="auto"/>
        </w:rPr>
      </w:pPr>
    </w:p>
    <w:p w14:paraId="5611CD29">
      <w:pPr>
        <w:rPr>
          <w:color w:val="auto"/>
        </w:rPr>
      </w:pPr>
    </w:p>
    <w:p w14:paraId="382C99B6">
      <w:pPr>
        <w:jc w:val="center"/>
        <w:rPr>
          <w:rFonts w:hint="eastAsia" w:ascii="黑体" w:hAnsi="黑体" w:eastAsia="黑体" w:cs="黑体"/>
          <w:color w:val="auto"/>
          <w:sz w:val="32"/>
          <w:szCs w:val="28"/>
        </w:rPr>
      </w:pPr>
      <w:r>
        <w:rPr>
          <w:rFonts w:hint="eastAsia" w:ascii="黑体" w:hAnsi="黑体" w:eastAsia="黑体" w:cs="黑体"/>
          <w:color w:val="auto"/>
          <w:sz w:val="32"/>
          <w:szCs w:val="28"/>
        </w:rPr>
        <w:t>广东电力通信科技有限公司</w:t>
      </w:r>
    </w:p>
    <w:p w14:paraId="4A1D1434">
      <w:pPr>
        <w:jc w:val="center"/>
        <w:rPr>
          <w:rFonts w:hint="eastAsia" w:ascii="黑体" w:hAnsi="黑体" w:eastAsia="黑体" w:cs="黑体"/>
          <w:color w:val="auto"/>
          <w:sz w:val="32"/>
          <w:szCs w:val="28"/>
        </w:rPr>
      </w:pPr>
      <w:r>
        <w:rPr>
          <w:rFonts w:hint="eastAsia" w:ascii="黑体" w:hAnsi="黑体" w:eastAsia="黑体" w:cs="黑体"/>
          <w:color w:val="auto"/>
          <w:sz w:val="32"/>
          <w:szCs w:val="28"/>
        </w:rPr>
        <w:t>二〇二六年</w:t>
      </w:r>
      <w:r>
        <w:rPr>
          <w:rFonts w:hint="eastAsia" w:ascii="黑体" w:hAnsi="黑体" w:eastAsia="黑体" w:cs="黑体"/>
          <w:color w:val="auto"/>
          <w:sz w:val="32"/>
          <w:szCs w:val="28"/>
          <w:lang w:val="en-US" w:eastAsia="zh-CN"/>
        </w:rPr>
        <w:t>七</w:t>
      </w:r>
      <w:r>
        <w:rPr>
          <w:rFonts w:hint="eastAsia" w:ascii="黑体" w:hAnsi="黑体" w:eastAsia="黑体" w:cs="黑体"/>
          <w:color w:val="auto"/>
          <w:sz w:val="32"/>
          <w:szCs w:val="28"/>
        </w:rPr>
        <w:t>月</w:t>
      </w:r>
    </w:p>
    <w:p w14:paraId="530F5DFF">
      <w:pPr>
        <w:rPr>
          <w:color w:val="auto"/>
        </w:rPr>
      </w:pPr>
      <w:r>
        <w:rPr>
          <w:color w:val="auto"/>
        </w:rPr>
        <w:br w:type="page"/>
      </w:r>
    </w:p>
    <w:p w14:paraId="6FA2E71F">
      <w:pPr>
        <w:pStyle w:val="3"/>
        <w:jc w:val="center"/>
        <w:rPr>
          <w:rFonts w:hint="eastAsia" w:ascii="宋体" w:hAnsi="宋体" w:eastAsia="宋体" w:cs="宋体"/>
          <w:b/>
          <w:bCs/>
          <w:color w:val="auto"/>
          <w:highlight w:val="none"/>
        </w:rPr>
      </w:pPr>
      <w:r>
        <w:br w:type="page"/>
      </w:r>
      <w:r>
        <w:rPr>
          <w:rFonts w:hint="eastAsia" w:ascii="宋体" w:hAnsi="宋体" w:eastAsia="宋体" w:cs="宋体"/>
          <w:b/>
          <w:bCs/>
          <w:color w:val="auto"/>
          <w:highlight w:val="none"/>
        </w:rPr>
        <w:t>广东电力通信科技有限公司2026年智慧协作主机委托制造采购技术参数</w:t>
      </w:r>
    </w:p>
    <w:p w14:paraId="57897065">
      <w:pPr>
        <w:pStyle w:val="3"/>
        <w:bidi w:val="0"/>
        <w:rPr>
          <w:rFonts w:hint="eastAsia"/>
        </w:rPr>
      </w:pPr>
      <w:r>
        <w:rPr>
          <w:rFonts w:hint="eastAsia"/>
        </w:rPr>
        <w:t>一、总则</w:t>
      </w:r>
    </w:p>
    <w:p w14:paraId="4EA9AE54">
      <w:pPr>
        <w:tabs>
          <w:tab w:val="left" w:pos="567"/>
        </w:tabs>
        <w:spacing w:line="360" w:lineRule="auto"/>
        <w:ind w:left="426"/>
        <w:rPr>
          <w:rFonts w:hint="eastAsia" w:ascii="宋体" w:hAnsi="宋体" w:eastAsia="宋体" w:cs="宋体"/>
          <w:b/>
          <w:color w:val="auto"/>
          <w:sz w:val="24"/>
          <w:szCs w:val="24"/>
        </w:rPr>
      </w:pPr>
      <w:r>
        <w:rPr>
          <w:rFonts w:hint="eastAsia" w:ascii="宋体" w:hAnsi="宋体" w:eastAsia="宋体" w:cs="宋体"/>
          <w:b/>
          <w:color w:val="auto"/>
          <w:sz w:val="24"/>
          <w:szCs w:val="24"/>
        </w:rPr>
        <w:t>1.1概述</w:t>
      </w:r>
    </w:p>
    <w:p w14:paraId="5E91ABF9">
      <w:pPr>
        <w:tabs>
          <w:tab w:val="left" w:pos="567"/>
        </w:tabs>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本规范书适用于广东电力通信科技有限公司智慧协作主机组件委托生产加工</w:t>
      </w:r>
      <w:r>
        <w:rPr>
          <w:rFonts w:hint="eastAsia" w:ascii="宋体" w:hAnsi="宋体" w:cs="宋体"/>
          <w:color w:val="auto"/>
          <w:sz w:val="24"/>
          <w:szCs w:val="24"/>
          <w:lang w:val="en-US" w:eastAsia="zh-CN"/>
        </w:rPr>
        <w:t>零星采购</w:t>
      </w:r>
      <w:r>
        <w:rPr>
          <w:rFonts w:hint="eastAsia" w:ascii="宋体" w:hAnsi="宋体" w:eastAsia="宋体" w:cs="宋体"/>
          <w:color w:val="auto"/>
          <w:sz w:val="24"/>
          <w:szCs w:val="24"/>
        </w:rPr>
        <w:t>项目。供方应按本规范要求完成产品设计、制造、试验、包装、运输及技术服务，确保产品满足电网多媒体会议、远程视频会议、指挥调度场景下的集中控制与管理需求。</w:t>
      </w:r>
    </w:p>
    <w:p w14:paraId="157F5909">
      <w:pPr>
        <w:tabs>
          <w:tab w:val="left" w:pos="567"/>
        </w:tabs>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本规范书与加工图纸、试验报告具有同等法律效力，图纸标注要求与正文不一致时，以加工图纸为准。</w:t>
      </w:r>
    </w:p>
    <w:p w14:paraId="51875F1F">
      <w:pPr>
        <w:tabs>
          <w:tab w:val="left" w:pos="567"/>
        </w:tabs>
        <w:spacing w:line="360" w:lineRule="auto"/>
        <w:ind w:left="426"/>
        <w:rPr>
          <w:rFonts w:hint="eastAsia" w:ascii="宋体" w:hAnsi="宋体" w:eastAsia="宋体" w:cs="宋体"/>
          <w:b/>
          <w:color w:val="auto"/>
          <w:sz w:val="24"/>
          <w:szCs w:val="24"/>
        </w:rPr>
      </w:pPr>
      <w:r>
        <w:rPr>
          <w:rFonts w:hint="eastAsia" w:ascii="宋体" w:hAnsi="宋体" w:eastAsia="宋体" w:cs="宋体"/>
          <w:b/>
          <w:color w:val="auto"/>
          <w:sz w:val="24"/>
          <w:szCs w:val="24"/>
        </w:rPr>
        <w:t>1.2引用标准</w:t>
      </w:r>
    </w:p>
    <w:p w14:paraId="51591296">
      <w:pPr>
        <w:pStyle w:val="14"/>
        <w:spacing w:line="360" w:lineRule="auto"/>
        <w:ind w:firstLine="482"/>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本文件引用下列标准文件，最新版本适用于本文件：</w:t>
      </w:r>
    </w:p>
    <w:p w14:paraId="7F12E0B8">
      <w:pPr>
        <w:pStyle w:val="14"/>
        <w:spacing w:line="360" w:lineRule="auto"/>
        <w:ind w:firstLine="482"/>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GB/T 9813.1-2016 《计算机通用规范 第1部分：台式微型计算机》</w:t>
      </w:r>
    </w:p>
    <w:p w14:paraId="1243F90B">
      <w:pPr>
        <w:pStyle w:val="14"/>
        <w:spacing w:line="360" w:lineRule="auto"/>
        <w:ind w:firstLine="482"/>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GB/T 17626.x 系列 《电磁兼容 试验和测量技术》</w:t>
      </w:r>
    </w:p>
    <w:p w14:paraId="54B5DAC2">
      <w:pPr>
        <w:pStyle w:val="14"/>
        <w:spacing w:line="360" w:lineRule="auto"/>
        <w:ind w:firstLine="482"/>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SJ/T 11364-2014 《电子信息产品污染控制标识要求》</w:t>
      </w:r>
    </w:p>
    <w:p w14:paraId="5F96346B">
      <w:pPr>
        <w:pStyle w:val="14"/>
        <w:spacing w:line="360" w:lineRule="auto"/>
        <w:ind w:firstLine="482"/>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其他相关国家及行业标准</w:t>
      </w:r>
    </w:p>
    <w:p w14:paraId="682A19E4">
      <w:pPr>
        <w:rPr>
          <w:color w:val="auto"/>
        </w:rPr>
      </w:pPr>
    </w:p>
    <w:p w14:paraId="01AA824D">
      <w:pPr>
        <w:pStyle w:val="3"/>
        <w:bidi w:val="0"/>
        <w:rPr>
          <w:rFonts w:hint="eastAsia"/>
        </w:rPr>
      </w:pPr>
      <w:r>
        <w:rPr>
          <w:rFonts w:hint="eastAsia"/>
        </w:rPr>
        <w:t>二、供货范围</w:t>
      </w:r>
    </w:p>
    <w:p w14:paraId="055583F7">
      <w:pPr>
        <w:tabs>
          <w:tab w:val="left" w:pos="567"/>
        </w:tabs>
        <w:spacing w:line="360" w:lineRule="auto"/>
        <w:ind w:firstLine="480" w:firstLineChars="200"/>
        <w:rPr>
          <w:rFonts w:hint="eastAsia" w:ascii="宋体" w:hAnsi="宋体"/>
          <w:color w:val="auto"/>
          <w:sz w:val="24"/>
          <w:szCs w:val="24"/>
        </w:rPr>
      </w:pPr>
      <w:r>
        <w:rPr>
          <w:rFonts w:hint="eastAsia" w:ascii="宋体" w:hAnsi="宋体"/>
          <w:color w:val="auto"/>
          <w:sz w:val="24"/>
          <w:szCs w:val="24"/>
        </w:rPr>
        <w:t>供方成套提供智慧协作主机组件4套，每套包含核心处理器 (SoC)、运行内存 (RAM)、固态存储、电源管理IC、千兆以太网PHY芯片、串口扩展芯片等全部零部件，所有零部件规格、数量、组装要求严格按照附件1加工图纸执行，不得随意变更。</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
        <w:gridCol w:w="1447"/>
        <w:gridCol w:w="3153"/>
        <w:gridCol w:w="995"/>
        <w:gridCol w:w="2443"/>
      </w:tblGrid>
      <w:tr w14:paraId="729A0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76EB33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0" w:type="auto"/>
            <w:vAlign w:val="center"/>
          </w:tcPr>
          <w:p w14:paraId="4CDEDBA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零件名称</w:t>
            </w:r>
          </w:p>
        </w:tc>
        <w:tc>
          <w:tcPr>
            <w:tcW w:w="0" w:type="auto"/>
            <w:vAlign w:val="center"/>
          </w:tcPr>
          <w:p w14:paraId="1C9CEA1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规格</w:t>
            </w:r>
          </w:p>
        </w:tc>
        <w:tc>
          <w:tcPr>
            <w:tcW w:w="0" w:type="auto"/>
            <w:vAlign w:val="center"/>
          </w:tcPr>
          <w:p w14:paraId="4ACC263A">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数量（套）</w:t>
            </w:r>
          </w:p>
        </w:tc>
        <w:tc>
          <w:tcPr>
            <w:tcW w:w="0" w:type="auto"/>
            <w:vAlign w:val="center"/>
          </w:tcPr>
          <w:p w14:paraId="14E364AD">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加工/采购技术要求</w:t>
            </w:r>
          </w:p>
        </w:tc>
      </w:tr>
      <w:tr w14:paraId="14651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8FF51A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0" w:type="auto"/>
            <w:vAlign w:val="center"/>
          </w:tcPr>
          <w:p w14:paraId="15EC302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核心处理器（SoC）</w:t>
            </w:r>
          </w:p>
        </w:tc>
        <w:tc>
          <w:tcPr>
            <w:tcW w:w="0" w:type="auto"/>
            <w:vAlign w:val="center"/>
          </w:tcPr>
          <w:p w14:paraId="20FF789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RK3568J（工规），4核64位，主频</w:t>
            </w:r>
            <w:r>
              <w:rPr>
                <w:rFonts w:hint="eastAsia" w:ascii="宋体" w:hAnsi="宋体" w:eastAsia="宋体" w:cs="宋体"/>
                <w:color w:val="auto"/>
                <w:sz w:val="24"/>
                <w:szCs w:val="24"/>
                <w:highlight w:val="none"/>
                <w:lang w:val="en-US" w:eastAsia="zh-CN"/>
              </w:rPr>
              <w:t>最高</w:t>
            </w:r>
            <w:r>
              <w:rPr>
                <w:rFonts w:hint="eastAsia" w:ascii="宋体" w:hAnsi="宋体" w:eastAsia="宋体" w:cs="宋体"/>
                <w:color w:val="auto"/>
                <w:sz w:val="24"/>
                <w:szCs w:val="24"/>
                <w:highlight w:val="none"/>
              </w:rPr>
              <w:t>2.0GHz</w:t>
            </w:r>
          </w:p>
        </w:tc>
        <w:tc>
          <w:tcPr>
            <w:tcW w:w="0" w:type="auto"/>
            <w:vAlign w:val="center"/>
          </w:tcPr>
          <w:p w14:paraId="03C23CC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4DA37FA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工业级BGA封装，含CPU、DDR、eMMC、PMIC一体化核心板，宽温设计</w:t>
            </w:r>
          </w:p>
        </w:tc>
      </w:tr>
      <w:tr w14:paraId="14B13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5D0BB0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0" w:type="auto"/>
            <w:vAlign w:val="center"/>
          </w:tcPr>
          <w:p w14:paraId="33A3FD65">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运行内存（RAM）</w:t>
            </w:r>
          </w:p>
        </w:tc>
        <w:tc>
          <w:tcPr>
            <w:tcW w:w="0" w:type="auto"/>
            <w:vAlign w:val="center"/>
          </w:tcPr>
          <w:p w14:paraId="353CDD3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4GB DDR4（晶存RS1G32LO4D2BDS-53BT）</w:t>
            </w:r>
          </w:p>
        </w:tc>
        <w:tc>
          <w:tcPr>
            <w:tcW w:w="0" w:type="auto"/>
            <w:vAlign w:val="center"/>
          </w:tcPr>
          <w:p w14:paraId="7AFF526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300A42C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稳定兼容、宽温、不掉速</w:t>
            </w:r>
          </w:p>
        </w:tc>
      </w:tr>
      <w:tr w14:paraId="0D234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CADC88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0" w:type="auto"/>
            <w:vAlign w:val="center"/>
          </w:tcPr>
          <w:p w14:paraId="61F2251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固态存储（eMMC）</w:t>
            </w:r>
          </w:p>
        </w:tc>
        <w:tc>
          <w:tcPr>
            <w:tcW w:w="0" w:type="auto"/>
            <w:vAlign w:val="center"/>
          </w:tcPr>
          <w:p w14:paraId="218541D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128GB（YXSBG6PX-AE）</w:t>
            </w:r>
          </w:p>
        </w:tc>
        <w:tc>
          <w:tcPr>
            <w:tcW w:w="0" w:type="auto"/>
            <w:vAlign w:val="center"/>
          </w:tcPr>
          <w:p w14:paraId="103C8DB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7E152B1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工业级存储，高擦写、掉电保护、宽温稳定</w:t>
            </w:r>
          </w:p>
        </w:tc>
      </w:tr>
      <w:tr w14:paraId="1EF73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EBA214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659C6408">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电源管理IC</w:t>
            </w:r>
          </w:p>
        </w:tc>
        <w:tc>
          <w:tcPr>
            <w:tcW w:w="0" w:type="auto"/>
            <w:vAlign w:val="center"/>
          </w:tcPr>
          <w:p w14:paraId="3BB677A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RK809</w:t>
            </w:r>
          </w:p>
        </w:tc>
        <w:tc>
          <w:tcPr>
            <w:tcW w:w="0" w:type="auto"/>
            <w:vAlign w:val="center"/>
          </w:tcPr>
          <w:p w14:paraId="6219E97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171F186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与核心处理器配套，构建高效稳定供电系统</w:t>
            </w:r>
          </w:p>
        </w:tc>
      </w:tr>
      <w:tr w14:paraId="3ACC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CC7928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0" w:type="auto"/>
            <w:vAlign w:val="center"/>
          </w:tcPr>
          <w:p w14:paraId="5F4DC33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千兆以太网PHY芯片</w:t>
            </w:r>
          </w:p>
        </w:tc>
        <w:tc>
          <w:tcPr>
            <w:tcW w:w="0" w:type="auto"/>
            <w:vAlign w:val="center"/>
          </w:tcPr>
          <w:p w14:paraId="45465A2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YT8521SH-CA</w:t>
            </w:r>
          </w:p>
        </w:tc>
        <w:tc>
          <w:tcPr>
            <w:tcW w:w="0" w:type="auto"/>
            <w:vAlign w:val="center"/>
          </w:tcPr>
          <w:p w14:paraId="36FDC08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0" w:type="auto"/>
            <w:vAlign w:val="center"/>
          </w:tcPr>
          <w:p w14:paraId="3FD072AE">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满足双网口高带宽通信与主备需求</w:t>
            </w:r>
          </w:p>
        </w:tc>
      </w:tr>
      <w:tr w14:paraId="5AA2F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E0EAA0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0" w:type="auto"/>
            <w:vAlign w:val="center"/>
          </w:tcPr>
          <w:p w14:paraId="239EBF0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千兆以太网脉冲变压器</w:t>
            </w:r>
          </w:p>
        </w:tc>
        <w:tc>
          <w:tcPr>
            <w:tcW w:w="0" w:type="auto"/>
            <w:vAlign w:val="center"/>
          </w:tcPr>
          <w:p w14:paraId="1C13C850">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SM51589PEL</w:t>
            </w:r>
          </w:p>
        </w:tc>
        <w:tc>
          <w:tcPr>
            <w:tcW w:w="0" w:type="auto"/>
            <w:vAlign w:val="center"/>
          </w:tcPr>
          <w:p w14:paraId="3DF86B3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0" w:type="auto"/>
            <w:vAlign w:val="center"/>
          </w:tcPr>
          <w:p w14:paraId="7E35379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与PHY芯片配套，信号隔离与阻抗匹配</w:t>
            </w:r>
          </w:p>
        </w:tc>
      </w:tr>
      <w:tr w14:paraId="3310E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82AC8E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0" w:type="auto"/>
            <w:vAlign w:val="center"/>
          </w:tcPr>
          <w:p w14:paraId="5C6B57F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串口扩展芯片</w:t>
            </w:r>
          </w:p>
        </w:tc>
        <w:tc>
          <w:tcPr>
            <w:tcW w:w="0" w:type="auto"/>
            <w:vAlign w:val="center"/>
          </w:tcPr>
          <w:p w14:paraId="1D1B2C40">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CH348Q（USB2.0高速转8路独立UART）</w:t>
            </w:r>
          </w:p>
        </w:tc>
        <w:tc>
          <w:tcPr>
            <w:tcW w:w="0" w:type="auto"/>
            <w:vAlign w:val="center"/>
          </w:tcPr>
          <w:p w14:paraId="367D549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0" w:type="auto"/>
            <w:vAlign w:val="center"/>
          </w:tcPr>
          <w:p w14:paraId="0122E75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提供8路稳定UART扩展</w:t>
            </w:r>
          </w:p>
        </w:tc>
      </w:tr>
      <w:tr w14:paraId="3D2AE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B54E2B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0" w:type="auto"/>
            <w:vAlign w:val="center"/>
          </w:tcPr>
          <w:p w14:paraId="728B9150">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RS485隔离收发模块</w:t>
            </w:r>
          </w:p>
        </w:tc>
        <w:tc>
          <w:tcPr>
            <w:tcW w:w="0" w:type="auto"/>
            <w:vAlign w:val="center"/>
          </w:tcPr>
          <w:p w14:paraId="6F529D0A">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RSM485M / SIT3485ESA</w:t>
            </w:r>
          </w:p>
        </w:tc>
        <w:tc>
          <w:tcPr>
            <w:tcW w:w="0" w:type="auto"/>
            <w:vAlign w:val="center"/>
          </w:tcPr>
          <w:p w14:paraId="4F5F6B5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p>
        </w:tc>
        <w:tc>
          <w:tcPr>
            <w:tcW w:w="0" w:type="auto"/>
            <w:vAlign w:val="center"/>
          </w:tcPr>
          <w:p w14:paraId="1AA4BE7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3.3V半双工，隔离设计，抗干扰</w:t>
            </w:r>
          </w:p>
        </w:tc>
      </w:tr>
      <w:tr w14:paraId="3D106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12711C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0" w:type="auto"/>
            <w:vAlign w:val="center"/>
          </w:tcPr>
          <w:p w14:paraId="42E1F83A">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RS232收发器芯片</w:t>
            </w:r>
          </w:p>
        </w:tc>
        <w:tc>
          <w:tcPr>
            <w:tcW w:w="0" w:type="auto"/>
            <w:vAlign w:val="center"/>
          </w:tcPr>
          <w:p w14:paraId="71FCA95A">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MAX3232EIPWG4 / SIT3232EEUE</w:t>
            </w:r>
          </w:p>
        </w:tc>
        <w:tc>
          <w:tcPr>
            <w:tcW w:w="0" w:type="auto"/>
            <w:vAlign w:val="center"/>
          </w:tcPr>
          <w:p w14:paraId="04F9CB3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7DF50D6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双通道，宽电压，工业级</w:t>
            </w:r>
          </w:p>
        </w:tc>
      </w:tr>
      <w:tr w14:paraId="039A6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8C967C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0" w:type="auto"/>
            <w:vAlign w:val="center"/>
          </w:tcPr>
          <w:p w14:paraId="21A01C6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继电器</w:t>
            </w:r>
          </w:p>
        </w:tc>
        <w:tc>
          <w:tcPr>
            <w:tcW w:w="0" w:type="auto"/>
            <w:vAlign w:val="center"/>
          </w:tcPr>
          <w:p w14:paraId="166EA21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EC2-5NU</w:t>
            </w:r>
          </w:p>
        </w:tc>
        <w:tc>
          <w:tcPr>
            <w:tcW w:w="0" w:type="auto"/>
            <w:vAlign w:val="center"/>
          </w:tcPr>
          <w:p w14:paraId="2D4C295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5DD9B24F">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触点保护，满足8路RELAY驱动需求</w:t>
            </w:r>
          </w:p>
        </w:tc>
      </w:tr>
      <w:tr w14:paraId="28726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6A6AE3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0" w:type="auto"/>
            <w:vAlign w:val="center"/>
          </w:tcPr>
          <w:p w14:paraId="53774528">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I²C I/O扩展芯片</w:t>
            </w:r>
          </w:p>
        </w:tc>
        <w:tc>
          <w:tcPr>
            <w:tcW w:w="0" w:type="auto"/>
            <w:vAlign w:val="center"/>
          </w:tcPr>
          <w:p w14:paraId="21A4F80F">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NCA9555</w:t>
            </w:r>
          </w:p>
        </w:tc>
        <w:tc>
          <w:tcPr>
            <w:tcW w:w="0" w:type="auto"/>
            <w:vAlign w:val="center"/>
          </w:tcPr>
          <w:p w14:paraId="50CD19D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0" w:type="auto"/>
            <w:vAlign w:val="center"/>
          </w:tcPr>
          <w:p w14:paraId="6764FE08">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用于GPIO扩展，含电平转换及保护电路</w:t>
            </w:r>
          </w:p>
        </w:tc>
      </w:tr>
      <w:tr w14:paraId="2FD23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860F29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0" w:type="auto"/>
            <w:vAlign w:val="center"/>
          </w:tcPr>
          <w:p w14:paraId="4A46FF9E">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高速CAN收发器芯片</w:t>
            </w:r>
          </w:p>
        </w:tc>
        <w:tc>
          <w:tcPr>
            <w:tcW w:w="0" w:type="auto"/>
            <w:vAlign w:val="center"/>
          </w:tcPr>
          <w:p w14:paraId="20C920CC">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TJA1042T/3,118</w:t>
            </w:r>
          </w:p>
        </w:tc>
        <w:tc>
          <w:tcPr>
            <w:tcW w:w="0" w:type="auto"/>
            <w:vAlign w:val="center"/>
          </w:tcPr>
          <w:p w14:paraId="5EFC082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0" w:type="auto"/>
            <w:vAlign w:val="center"/>
          </w:tcPr>
          <w:p w14:paraId="05D0A18C">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满足CAN总线通信需求</w:t>
            </w:r>
          </w:p>
        </w:tc>
      </w:tr>
      <w:tr w14:paraId="120F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F84550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0" w:type="auto"/>
            <w:vAlign w:val="center"/>
          </w:tcPr>
          <w:p w14:paraId="02BDED45">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双通道无滤波D类功放</w:t>
            </w:r>
          </w:p>
        </w:tc>
        <w:tc>
          <w:tcPr>
            <w:tcW w:w="0" w:type="auto"/>
            <w:vAlign w:val="center"/>
          </w:tcPr>
          <w:p w14:paraId="4B4424BE">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VA2213TSG28（2×15W）</w:t>
            </w:r>
          </w:p>
        </w:tc>
        <w:tc>
          <w:tcPr>
            <w:tcW w:w="0" w:type="auto"/>
            <w:vAlign w:val="center"/>
          </w:tcPr>
          <w:p w14:paraId="10425B1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5CADC94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用于音频输出驱动</w:t>
            </w:r>
          </w:p>
        </w:tc>
      </w:tr>
      <w:tr w14:paraId="47405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4A0B28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0" w:type="auto"/>
            <w:vAlign w:val="center"/>
          </w:tcPr>
          <w:p w14:paraId="03ED4D7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RTC实时时钟模块</w:t>
            </w:r>
          </w:p>
        </w:tc>
        <w:tc>
          <w:tcPr>
            <w:tcW w:w="0" w:type="auto"/>
            <w:vAlign w:val="center"/>
          </w:tcPr>
          <w:p w14:paraId="41C0B99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SD2506API-G</w:t>
            </w:r>
          </w:p>
        </w:tc>
        <w:tc>
          <w:tcPr>
            <w:tcW w:w="0" w:type="auto"/>
            <w:vAlign w:val="center"/>
          </w:tcPr>
          <w:p w14:paraId="199C07D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11E6330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精确计时，含备用电池接口</w:t>
            </w:r>
          </w:p>
        </w:tc>
      </w:tr>
      <w:tr w14:paraId="33DAB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B77F3E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0" w:type="auto"/>
            <w:vAlign w:val="center"/>
          </w:tcPr>
          <w:p w14:paraId="13D3E27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USB3.1 Gen1 4口集线器控制器</w:t>
            </w:r>
          </w:p>
        </w:tc>
        <w:tc>
          <w:tcPr>
            <w:tcW w:w="0" w:type="auto"/>
            <w:vAlign w:val="center"/>
          </w:tcPr>
          <w:p w14:paraId="42A3E65E">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VL817-Q7</w:t>
            </w:r>
          </w:p>
        </w:tc>
        <w:tc>
          <w:tcPr>
            <w:tcW w:w="0" w:type="auto"/>
            <w:vAlign w:val="center"/>
          </w:tcPr>
          <w:p w14:paraId="24C976A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5FD9714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提供USB扩展能力</w:t>
            </w:r>
          </w:p>
        </w:tc>
      </w:tr>
      <w:tr w14:paraId="2F758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8DAA5A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0" w:type="auto"/>
            <w:vAlign w:val="center"/>
          </w:tcPr>
          <w:p w14:paraId="2712831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SPI闪存芯片</w:t>
            </w:r>
          </w:p>
        </w:tc>
        <w:tc>
          <w:tcPr>
            <w:tcW w:w="0" w:type="auto"/>
            <w:vAlign w:val="center"/>
          </w:tcPr>
          <w:p w14:paraId="0C3BC766">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W25Q32JVSSIQ</w:t>
            </w:r>
          </w:p>
        </w:tc>
        <w:tc>
          <w:tcPr>
            <w:tcW w:w="0" w:type="auto"/>
            <w:vAlign w:val="center"/>
          </w:tcPr>
          <w:p w14:paraId="6C5D56D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53D863B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用于固件存储</w:t>
            </w:r>
          </w:p>
        </w:tc>
      </w:tr>
      <w:tr w14:paraId="7F882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9CF8A5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0" w:type="auto"/>
            <w:vAlign w:val="center"/>
          </w:tcPr>
          <w:p w14:paraId="39FBDFC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状态指示灯板</w:t>
            </w:r>
          </w:p>
        </w:tc>
        <w:tc>
          <w:tcPr>
            <w:tcW w:w="0" w:type="auto"/>
            <w:vAlign w:val="center"/>
          </w:tcPr>
          <w:p w14:paraId="0EC4FF3C">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LED阵列（含37颗发光二极管及限流电阻）</w:t>
            </w:r>
          </w:p>
        </w:tc>
        <w:tc>
          <w:tcPr>
            <w:tcW w:w="0" w:type="auto"/>
            <w:vAlign w:val="center"/>
          </w:tcPr>
          <w:p w14:paraId="368052C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73F455AF">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含8组串口状态灯、8组IR/RELAY/GPIO状态灯、2组网络状态灯</w:t>
            </w:r>
          </w:p>
        </w:tc>
      </w:tr>
      <w:tr w14:paraId="29F5F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4414CF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0" w:type="auto"/>
            <w:vAlign w:val="center"/>
          </w:tcPr>
          <w:p w14:paraId="7833526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电源模块</w:t>
            </w:r>
          </w:p>
        </w:tc>
        <w:tc>
          <w:tcPr>
            <w:tcW w:w="0" w:type="auto"/>
            <w:vAlign w:val="center"/>
          </w:tcPr>
          <w:p w14:paraId="63ED717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AC 220V输入，DC 12V/3A输出，功率≥35W（LRS-35-12）</w:t>
            </w:r>
          </w:p>
        </w:tc>
        <w:tc>
          <w:tcPr>
            <w:tcW w:w="0" w:type="auto"/>
            <w:vAlign w:val="center"/>
          </w:tcPr>
          <w:p w14:paraId="2725DA1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722C564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带3C认证，过载保护、短路保护齐全，满足整板供电需求</w:t>
            </w:r>
          </w:p>
        </w:tc>
      </w:tr>
      <w:tr w14:paraId="0E50F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CA2147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0" w:type="auto"/>
            <w:vAlign w:val="center"/>
          </w:tcPr>
          <w:p w14:paraId="50F8A65F">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PCB板材</w:t>
            </w:r>
          </w:p>
        </w:tc>
        <w:tc>
          <w:tcPr>
            <w:tcW w:w="0" w:type="auto"/>
            <w:vAlign w:val="center"/>
          </w:tcPr>
          <w:p w14:paraId="6E1375B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FR-4，四层及以上，尺寸250×188mm</w:t>
            </w:r>
          </w:p>
        </w:tc>
        <w:tc>
          <w:tcPr>
            <w:tcW w:w="0" w:type="auto"/>
            <w:vAlign w:val="center"/>
          </w:tcPr>
          <w:p w14:paraId="7B98845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251AC053">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高耐热、抗剥离，含底板及转接板PCB，双面贴片</w:t>
            </w:r>
          </w:p>
        </w:tc>
      </w:tr>
      <w:tr w14:paraId="1EEF2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21C536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0" w:type="auto"/>
            <w:vAlign w:val="center"/>
          </w:tcPr>
          <w:p w14:paraId="23B9A0E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连接器与线缆</w:t>
            </w:r>
          </w:p>
        </w:tc>
        <w:tc>
          <w:tcPr>
            <w:tcW w:w="0" w:type="auto"/>
            <w:vAlign w:val="center"/>
          </w:tcPr>
          <w:p w14:paraId="235F17D0">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定制（含排线、品字插座、线对板端子等）</w:t>
            </w:r>
          </w:p>
        </w:tc>
        <w:tc>
          <w:tcPr>
            <w:tcW w:w="0" w:type="auto"/>
            <w:vAlign w:val="center"/>
          </w:tcPr>
          <w:p w14:paraId="1221422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20F2D55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工业级，抗震、耐拔插、接触可靠</w:t>
            </w:r>
          </w:p>
        </w:tc>
      </w:tr>
      <w:tr w14:paraId="0893A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89B03B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0" w:type="auto"/>
            <w:vAlign w:val="center"/>
          </w:tcPr>
          <w:p w14:paraId="4DE992B6">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机箱与结构件</w:t>
            </w:r>
          </w:p>
        </w:tc>
        <w:tc>
          <w:tcPr>
            <w:tcW w:w="0" w:type="auto"/>
            <w:vAlign w:val="center"/>
          </w:tcPr>
          <w:p w14:paraId="14AE422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1U标准机架式钣金机箱</w:t>
            </w:r>
          </w:p>
        </w:tc>
        <w:tc>
          <w:tcPr>
            <w:tcW w:w="0" w:type="auto"/>
            <w:vAlign w:val="center"/>
          </w:tcPr>
          <w:p w14:paraId="7C2CE3E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612FF9E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专业抗震与通风散热设计，含面板开孔、内部支架、螺丝及垫片</w:t>
            </w:r>
          </w:p>
        </w:tc>
      </w:tr>
      <w:tr w14:paraId="40AC4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375DEE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0" w:type="auto"/>
            <w:vAlign w:val="center"/>
          </w:tcPr>
          <w:p w14:paraId="7BF5239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散热风扇</w:t>
            </w:r>
          </w:p>
        </w:tc>
        <w:tc>
          <w:tcPr>
            <w:tcW w:w="0" w:type="auto"/>
            <w:vAlign w:val="center"/>
          </w:tcPr>
          <w:p w14:paraId="0663A31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线长320mm</w:t>
            </w:r>
          </w:p>
        </w:tc>
        <w:tc>
          <w:tcPr>
            <w:tcW w:w="0" w:type="auto"/>
            <w:vAlign w:val="center"/>
          </w:tcPr>
          <w:p w14:paraId="377367A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0" w:type="auto"/>
            <w:vAlign w:val="center"/>
          </w:tcPr>
          <w:p w14:paraId="615CD034">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满足机箱散热需求</w:t>
            </w:r>
          </w:p>
        </w:tc>
      </w:tr>
    </w:tbl>
    <w:p w14:paraId="0D642F13">
      <w:pPr>
        <w:rPr>
          <w:rFonts w:hint="eastAsia"/>
          <w:color w:val="auto"/>
        </w:rPr>
      </w:pPr>
    </w:p>
    <w:p w14:paraId="7806B547">
      <w:pPr>
        <w:pStyle w:val="3"/>
        <w:bidi w:val="0"/>
        <w:rPr>
          <w:rFonts w:hint="eastAsia"/>
        </w:rPr>
      </w:pPr>
      <w:r>
        <w:rPr>
          <w:rFonts w:hint="eastAsia"/>
        </w:rPr>
        <w:t>三、技术参数</w:t>
      </w:r>
    </w:p>
    <w:p w14:paraId="70FB950E">
      <w:pPr>
        <w:pStyle w:val="14"/>
        <w:spacing w:line="360" w:lineRule="auto"/>
        <w:ind w:firstLine="482"/>
        <w:rPr>
          <w:rFonts w:hint="eastAsia" w:ascii="宋体" w:hAnsi="宋体" w:eastAsia="宋体" w:cs="宋体"/>
          <w:b/>
          <w:smallCaps w:val="0"/>
          <w:color w:val="auto"/>
          <w:sz w:val="24"/>
          <w:szCs w:val="24"/>
        </w:rPr>
      </w:pPr>
      <w:r>
        <w:rPr>
          <w:rFonts w:hint="eastAsia" w:ascii="宋体" w:hAnsi="宋体" w:eastAsia="宋体" w:cs="宋体"/>
          <w:b/>
          <w:smallCaps w:val="0"/>
          <w:color w:val="auto"/>
          <w:sz w:val="24"/>
          <w:szCs w:val="24"/>
        </w:rPr>
        <w:t>3.1核心处理性能</w:t>
      </w:r>
    </w:p>
    <w:p w14:paraId="3E48FC23">
      <w:pPr>
        <w:pStyle w:val="14"/>
        <w:numPr>
          <w:ilvl w:val="0"/>
          <w:numId w:val="1"/>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处理器：工业级4核64位，主频最高2.0GHz</w:t>
      </w:r>
      <w:r>
        <w:rPr>
          <w:rFonts w:hint="eastAsia" w:ascii="宋体" w:hAnsi="宋体" w:eastAsia="宋体" w:cs="宋体"/>
          <w:smallCaps w:val="0"/>
          <w:color w:val="auto"/>
          <w:sz w:val="24"/>
          <w:szCs w:val="24"/>
          <w:lang w:eastAsia="zh-CN"/>
        </w:rPr>
        <w:t>；</w:t>
      </w:r>
      <w:r>
        <w:rPr>
          <w:rFonts w:hint="eastAsia" w:ascii="宋体" w:hAnsi="宋体" w:eastAsia="宋体" w:cs="宋体"/>
          <w:smallCaps w:val="0"/>
          <w:color w:val="auto"/>
          <w:sz w:val="24"/>
          <w:szCs w:val="24"/>
          <w:lang w:val="en-US" w:eastAsia="zh-CN"/>
        </w:rPr>
        <w:t>支持图形加速；≥1 TOPS算力</w:t>
      </w:r>
      <w:r>
        <w:rPr>
          <w:rFonts w:hint="eastAsia" w:ascii="宋体" w:hAnsi="宋体" w:eastAsia="宋体" w:cs="宋体"/>
          <w:smallCaps w:val="0"/>
          <w:color w:val="auto"/>
          <w:sz w:val="24"/>
          <w:szCs w:val="24"/>
        </w:rPr>
        <w:t>。</w:t>
      </w:r>
    </w:p>
    <w:p w14:paraId="6CE6B588">
      <w:pPr>
        <w:pStyle w:val="14"/>
        <w:numPr>
          <w:ilvl w:val="0"/>
          <w:numId w:val="1"/>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运行内存(RAM)：≥ 4GB DDR4。</w:t>
      </w:r>
    </w:p>
    <w:p w14:paraId="7F95946D">
      <w:pPr>
        <w:pStyle w:val="14"/>
        <w:numPr>
          <w:ilvl w:val="0"/>
          <w:numId w:val="1"/>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固态存储(SSD)：≥ 128GB。</w:t>
      </w:r>
    </w:p>
    <w:p w14:paraId="7576CD7F">
      <w:pPr>
        <w:pStyle w:val="14"/>
        <w:spacing w:line="360" w:lineRule="auto"/>
        <w:ind w:firstLine="482"/>
        <w:rPr>
          <w:rFonts w:hint="eastAsia" w:ascii="宋体" w:hAnsi="宋体" w:eastAsia="宋体" w:cs="宋体"/>
          <w:b/>
          <w:smallCaps w:val="0"/>
          <w:color w:val="auto"/>
          <w:sz w:val="24"/>
          <w:szCs w:val="24"/>
        </w:rPr>
      </w:pPr>
      <w:r>
        <w:rPr>
          <w:rFonts w:hint="eastAsia" w:ascii="宋体" w:hAnsi="宋体" w:eastAsia="宋体" w:cs="宋体"/>
          <w:b/>
          <w:smallCaps w:val="0"/>
          <w:color w:val="auto"/>
          <w:sz w:val="24"/>
          <w:szCs w:val="24"/>
        </w:rPr>
        <w:t>3.2多媒体与控制接口</w:t>
      </w:r>
    </w:p>
    <w:p w14:paraId="6B799714">
      <w:pPr>
        <w:pStyle w:val="14"/>
        <w:numPr>
          <w:ilvl w:val="0"/>
          <w:numId w:val="2"/>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1路 HDMI输入接口</w:t>
      </w:r>
    </w:p>
    <w:p w14:paraId="32A5D24D">
      <w:pPr>
        <w:pStyle w:val="14"/>
        <w:numPr>
          <w:ilvl w:val="0"/>
          <w:numId w:val="2"/>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1路 HDMI输出接口</w:t>
      </w:r>
    </w:p>
    <w:p w14:paraId="1E81AD84">
      <w:pPr>
        <w:pStyle w:val="14"/>
        <w:numPr>
          <w:ilvl w:val="0"/>
          <w:numId w:val="2"/>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1路 立体声输入接口</w:t>
      </w:r>
    </w:p>
    <w:p w14:paraId="6FEA56C0">
      <w:pPr>
        <w:pStyle w:val="14"/>
        <w:numPr>
          <w:ilvl w:val="0"/>
          <w:numId w:val="2"/>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1路 立体声输出接口</w:t>
      </w:r>
    </w:p>
    <w:p w14:paraId="33BEDFED">
      <w:pPr>
        <w:pStyle w:val="14"/>
        <w:numPr>
          <w:ilvl w:val="0"/>
          <w:numId w:val="2"/>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2路 RJ45 千兆网络接口</w:t>
      </w:r>
    </w:p>
    <w:p w14:paraId="3CA167E8">
      <w:pPr>
        <w:pStyle w:val="14"/>
        <w:numPr>
          <w:ilvl w:val="0"/>
          <w:numId w:val="2"/>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8路 RS232/RS485/RS422 可编程串口</w:t>
      </w:r>
    </w:p>
    <w:p w14:paraId="171BFCD6">
      <w:pPr>
        <w:pStyle w:val="14"/>
        <w:numPr>
          <w:ilvl w:val="0"/>
          <w:numId w:val="2"/>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8路 IR红外发射接口</w:t>
      </w:r>
    </w:p>
    <w:p w14:paraId="27BF5125">
      <w:pPr>
        <w:pStyle w:val="14"/>
        <w:numPr>
          <w:ilvl w:val="0"/>
          <w:numId w:val="2"/>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8路 RELAY继电器接口</w:t>
      </w:r>
    </w:p>
    <w:p w14:paraId="640020F2">
      <w:pPr>
        <w:pStyle w:val="14"/>
        <w:numPr>
          <w:ilvl w:val="0"/>
          <w:numId w:val="2"/>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8路 GPIO接口</w:t>
      </w:r>
    </w:p>
    <w:p w14:paraId="6E696CB6">
      <w:pPr>
        <w:pStyle w:val="14"/>
        <w:spacing w:line="360" w:lineRule="auto"/>
        <w:ind w:firstLine="482"/>
        <w:rPr>
          <w:rFonts w:hint="eastAsia" w:ascii="宋体" w:hAnsi="宋体" w:eastAsia="宋体" w:cs="宋体"/>
          <w:b/>
          <w:smallCaps w:val="0"/>
          <w:color w:val="auto"/>
          <w:sz w:val="24"/>
          <w:szCs w:val="24"/>
        </w:rPr>
      </w:pPr>
      <w:r>
        <w:rPr>
          <w:rFonts w:hint="eastAsia" w:ascii="宋体" w:hAnsi="宋体" w:eastAsia="宋体" w:cs="宋体"/>
          <w:b/>
          <w:smallCaps w:val="0"/>
          <w:color w:val="auto"/>
          <w:sz w:val="24"/>
          <w:szCs w:val="24"/>
        </w:rPr>
        <w:t>3.3指示灯</w:t>
      </w:r>
    </w:p>
    <w:p w14:paraId="7A2257F1">
      <w:pPr>
        <w:pStyle w:val="14"/>
        <w:numPr>
          <w:ilvl w:val="0"/>
          <w:numId w:val="3"/>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8组 RS232 控制状态指示灯</w:t>
      </w:r>
    </w:p>
    <w:p w14:paraId="1294BD7A">
      <w:pPr>
        <w:pStyle w:val="14"/>
        <w:numPr>
          <w:ilvl w:val="0"/>
          <w:numId w:val="3"/>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8组 IR/RELAY/GPIO 控制状态指示灯</w:t>
      </w:r>
    </w:p>
    <w:p w14:paraId="7C660609">
      <w:pPr>
        <w:pStyle w:val="14"/>
        <w:numPr>
          <w:ilvl w:val="0"/>
          <w:numId w:val="3"/>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2组 网络通讯状态指示灯</w:t>
      </w:r>
    </w:p>
    <w:p w14:paraId="75F0928C">
      <w:pPr>
        <w:pStyle w:val="14"/>
        <w:spacing w:line="360" w:lineRule="auto"/>
        <w:ind w:firstLine="482"/>
        <w:rPr>
          <w:rFonts w:hint="eastAsia" w:ascii="宋体" w:hAnsi="宋体" w:eastAsia="宋体" w:cs="宋体"/>
          <w:b/>
          <w:smallCaps w:val="0"/>
          <w:color w:val="auto"/>
          <w:sz w:val="24"/>
          <w:szCs w:val="24"/>
        </w:rPr>
      </w:pPr>
      <w:r>
        <w:rPr>
          <w:rFonts w:hint="eastAsia" w:ascii="宋体" w:hAnsi="宋体" w:eastAsia="宋体" w:cs="宋体"/>
          <w:b/>
          <w:smallCaps w:val="0"/>
          <w:color w:val="auto"/>
          <w:sz w:val="24"/>
          <w:szCs w:val="24"/>
        </w:rPr>
        <w:t>3.4环境适应性</w:t>
      </w:r>
    </w:p>
    <w:p w14:paraId="0C3B4F84">
      <w:pPr>
        <w:pStyle w:val="14"/>
        <w:numPr>
          <w:ilvl w:val="0"/>
          <w:numId w:val="4"/>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工作温度：-20℃~+70℃ （基于工业级元器件）</w:t>
      </w:r>
    </w:p>
    <w:p w14:paraId="5A662D27">
      <w:pPr>
        <w:pStyle w:val="14"/>
        <w:numPr>
          <w:ilvl w:val="0"/>
          <w:numId w:val="4"/>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防护等级：采用标准工业设计，可安装于标准机柜，具备抗震、防尘、防水功能。</w:t>
      </w:r>
    </w:p>
    <w:p w14:paraId="1CDF25D5">
      <w:pPr>
        <w:pStyle w:val="14"/>
        <w:numPr>
          <w:ilvl w:val="0"/>
          <w:numId w:val="4"/>
        </w:numPr>
        <w:spacing w:line="360" w:lineRule="auto"/>
        <w:rPr>
          <w:rFonts w:hint="eastAsia" w:ascii="宋体" w:hAnsi="宋体" w:eastAsia="宋体" w:cs="宋体"/>
          <w:smallCaps w:val="0"/>
          <w:color w:val="auto"/>
          <w:sz w:val="24"/>
          <w:szCs w:val="24"/>
        </w:rPr>
      </w:pPr>
      <w:r>
        <w:rPr>
          <w:rFonts w:hint="eastAsia" w:ascii="宋体" w:hAnsi="宋体" w:eastAsia="宋体" w:cs="宋体"/>
          <w:smallCaps w:val="0"/>
          <w:color w:val="auto"/>
          <w:sz w:val="24"/>
          <w:szCs w:val="24"/>
        </w:rPr>
        <w:t>结构设计：优质镀锌钢板机箱，专业抗震与通风散热设计。</w:t>
      </w:r>
    </w:p>
    <w:p w14:paraId="4F1B5959">
      <w:pPr>
        <w:widowControl/>
        <w:jc w:val="left"/>
        <w:rPr>
          <w:rFonts w:hint="eastAsia" w:ascii="微软雅黑" w:hAnsi="微软雅黑"/>
          <w:b/>
          <w:color w:val="auto"/>
          <w:sz w:val="24"/>
          <w:szCs w:val="24"/>
        </w:rPr>
      </w:pPr>
    </w:p>
    <w:p w14:paraId="673F822C">
      <w:pPr>
        <w:pStyle w:val="3"/>
        <w:bidi w:val="0"/>
        <w:rPr>
          <w:rFonts w:hint="eastAsia"/>
        </w:rPr>
      </w:pPr>
      <w:r>
        <w:rPr>
          <w:rFonts w:hint="eastAsia"/>
        </w:rPr>
        <w:t>四、</w:t>
      </w:r>
      <w:bookmarkStart w:id="2" w:name="_Toc505241235"/>
      <w:bookmarkStart w:id="3" w:name="_Toc526001224"/>
      <w:bookmarkStart w:id="4" w:name="_Toc25876"/>
      <w:bookmarkStart w:id="5" w:name="_Toc245207092"/>
      <w:bookmarkStart w:id="6" w:name="_Toc398755366"/>
      <w:bookmarkStart w:id="7" w:name="_Toc408406121"/>
      <w:bookmarkStart w:id="8" w:name="_Toc387135655"/>
      <w:r>
        <w:rPr>
          <w:rFonts w:hint="eastAsia"/>
        </w:rPr>
        <w:t>制造与工艺要求</w:t>
      </w:r>
    </w:p>
    <w:p w14:paraId="251C5F98">
      <w:pPr>
        <w:pStyle w:val="14"/>
        <w:numPr>
          <w:ilvl w:val="0"/>
          <w:numId w:val="5"/>
        </w:numPr>
        <w:spacing w:line="360" w:lineRule="auto"/>
        <w:rPr>
          <w:rFonts w:hint="eastAsia" w:ascii="宋体" w:hAnsi="宋体"/>
          <w:smallCaps w:val="0"/>
          <w:color w:val="auto"/>
          <w:sz w:val="24"/>
          <w:szCs w:val="24"/>
        </w:rPr>
      </w:pPr>
      <w:r>
        <w:rPr>
          <w:rFonts w:ascii="宋体" w:hAnsi="宋体"/>
          <w:smallCaps w:val="0"/>
          <w:color w:val="auto"/>
          <w:sz w:val="24"/>
          <w:szCs w:val="24"/>
        </w:rPr>
        <w:t>所有元器件、材料均为全新、无老化、无缺陷的正品。</w:t>
      </w:r>
    </w:p>
    <w:p w14:paraId="4C8C0975">
      <w:pPr>
        <w:pStyle w:val="14"/>
        <w:numPr>
          <w:ilvl w:val="0"/>
          <w:numId w:val="5"/>
        </w:numPr>
        <w:spacing w:line="360" w:lineRule="auto"/>
        <w:rPr>
          <w:rFonts w:hint="eastAsia" w:ascii="宋体" w:hAnsi="宋体"/>
          <w:smallCaps w:val="0"/>
          <w:color w:val="auto"/>
          <w:sz w:val="24"/>
          <w:szCs w:val="24"/>
        </w:rPr>
      </w:pPr>
      <w:r>
        <w:rPr>
          <w:rFonts w:ascii="宋体" w:hAnsi="宋体"/>
          <w:smallCaps w:val="0"/>
          <w:color w:val="auto"/>
          <w:sz w:val="24"/>
          <w:szCs w:val="24"/>
        </w:rPr>
        <w:t>PCB焊接应采用无铅工艺，符合环保要求。</w:t>
      </w:r>
    </w:p>
    <w:p w14:paraId="3353B308">
      <w:pPr>
        <w:pStyle w:val="14"/>
        <w:numPr>
          <w:ilvl w:val="0"/>
          <w:numId w:val="5"/>
        </w:numPr>
        <w:spacing w:line="360" w:lineRule="auto"/>
        <w:rPr>
          <w:rFonts w:hint="eastAsia" w:ascii="宋体" w:hAnsi="宋体"/>
          <w:smallCaps w:val="0"/>
          <w:color w:val="auto"/>
          <w:sz w:val="24"/>
          <w:szCs w:val="24"/>
        </w:rPr>
      </w:pPr>
      <w:r>
        <w:rPr>
          <w:rFonts w:ascii="宋体" w:hAnsi="宋体"/>
          <w:smallCaps w:val="0"/>
          <w:color w:val="auto"/>
          <w:sz w:val="24"/>
          <w:szCs w:val="24"/>
        </w:rPr>
        <w:t>整机组装应严格按照生产工艺流程进行，确保各接口、模块连接牢固可靠。</w:t>
      </w:r>
    </w:p>
    <w:p w14:paraId="2D081878">
      <w:pPr>
        <w:pStyle w:val="14"/>
        <w:numPr>
          <w:ilvl w:val="0"/>
          <w:numId w:val="5"/>
        </w:numPr>
        <w:spacing w:line="360" w:lineRule="auto"/>
        <w:rPr>
          <w:rFonts w:hint="eastAsia" w:ascii="宋体" w:hAnsi="宋体"/>
          <w:smallCaps w:val="0"/>
          <w:color w:val="auto"/>
          <w:sz w:val="24"/>
          <w:szCs w:val="24"/>
        </w:rPr>
      </w:pPr>
      <w:r>
        <w:rPr>
          <w:rFonts w:ascii="宋体" w:hAnsi="宋体"/>
          <w:smallCaps w:val="0"/>
          <w:color w:val="auto"/>
          <w:sz w:val="24"/>
          <w:szCs w:val="24"/>
        </w:rPr>
        <w:t>机箱表面处理应均匀、无划伤、无锈蚀。</w:t>
      </w:r>
    </w:p>
    <w:p w14:paraId="2A9F6FEA">
      <w:pPr>
        <w:pStyle w:val="14"/>
        <w:numPr>
          <w:ilvl w:val="0"/>
          <w:numId w:val="5"/>
        </w:numPr>
        <w:spacing w:line="360" w:lineRule="auto"/>
        <w:rPr>
          <w:rFonts w:hint="eastAsia" w:ascii="宋体" w:hAnsi="宋体"/>
          <w:smallCaps w:val="0"/>
          <w:color w:val="auto"/>
          <w:sz w:val="24"/>
          <w:szCs w:val="24"/>
        </w:rPr>
      </w:pPr>
      <w:r>
        <w:rPr>
          <w:rFonts w:ascii="宋体" w:hAnsi="宋体"/>
          <w:smallCaps w:val="0"/>
          <w:color w:val="auto"/>
          <w:sz w:val="24"/>
          <w:szCs w:val="24"/>
        </w:rPr>
        <w:t>产品出厂前应进行不少于72小时的老化测试，确保稳定性。</w:t>
      </w:r>
    </w:p>
    <w:p w14:paraId="41951FF3">
      <w:pPr>
        <w:pStyle w:val="14"/>
        <w:numPr>
          <w:ilvl w:val="0"/>
          <w:numId w:val="5"/>
        </w:numPr>
        <w:spacing w:line="360" w:lineRule="auto"/>
        <w:rPr>
          <w:rFonts w:hint="eastAsia" w:ascii="宋体" w:hAnsi="宋体"/>
          <w:smallCaps w:val="0"/>
          <w:color w:val="auto"/>
          <w:sz w:val="24"/>
          <w:szCs w:val="24"/>
        </w:rPr>
      </w:pPr>
      <w:r>
        <w:rPr>
          <w:rFonts w:ascii="宋体" w:hAnsi="宋体"/>
          <w:smallCaps w:val="0"/>
          <w:color w:val="auto"/>
          <w:sz w:val="24"/>
          <w:szCs w:val="24"/>
        </w:rPr>
        <w:t>制造全过程应建立可追溯的质量管理体系，保留关键工序的检验记录。</w:t>
      </w:r>
    </w:p>
    <w:p w14:paraId="5EA61910">
      <w:pPr>
        <w:rPr>
          <w:color w:val="auto"/>
        </w:rPr>
      </w:pPr>
    </w:p>
    <w:p w14:paraId="53CBA92A">
      <w:pPr>
        <w:pStyle w:val="3"/>
        <w:bidi w:val="0"/>
        <w:rPr>
          <w:rFonts w:hint="eastAsia"/>
        </w:rPr>
      </w:pPr>
      <w:r>
        <w:rPr>
          <w:rFonts w:hint="eastAsia"/>
        </w:rPr>
        <w:t>五、</w:t>
      </w:r>
      <w:bookmarkEnd w:id="2"/>
      <w:bookmarkEnd w:id="3"/>
      <w:bookmarkEnd w:id="4"/>
      <w:bookmarkEnd w:id="5"/>
      <w:r>
        <w:rPr>
          <w:rFonts w:hint="eastAsia"/>
        </w:rPr>
        <w:t>包装、运输和贮存及质量保证</w:t>
      </w:r>
    </w:p>
    <w:p w14:paraId="47259D0E">
      <w:pPr>
        <w:pStyle w:val="10"/>
        <w:tabs>
          <w:tab w:val="left" w:pos="540"/>
        </w:tabs>
        <w:rPr>
          <w:rFonts w:hint="eastAsia" w:ascii="宋体" w:hAnsi="宋体" w:eastAsia="宋体" w:cs="宋体"/>
          <w:b/>
          <w:color w:val="auto"/>
          <w:sz w:val="24"/>
          <w:szCs w:val="24"/>
        </w:rPr>
      </w:pPr>
      <w:r>
        <w:rPr>
          <w:rFonts w:hint="eastAsia" w:ascii="宋体" w:hAnsi="宋体" w:eastAsia="宋体" w:cs="宋体"/>
          <w:b/>
          <w:color w:val="auto"/>
          <w:sz w:val="24"/>
          <w:szCs w:val="24"/>
        </w:rPr>
        <w:t>5.1包装</w:t>
      </w:r>
    </w:p>
    <w:p w14:paraId="0906F20A">
      <w:pPr>
        <w:pStyle w:val="10"/>
        <w:tabs>
          <w:tab w:val="left" w:pos="540"/>
        </w:tabs>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要严格按照制造厂给出的说明书对产品进行包装、运输和储存。制造厂应在交货前的适当时间提供产品的运输和储存说明书；</w:t>
      </w:r>
    </w:p>
    <w:p w14:paraId="6A8015D7">
      <w:pPr>
        <w:pStyle w:val="10"/>
        <w:tabs>
          <w:tab w:val="left" w:pos="540"/>
        </w:tabs>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产品制造完成并通过试验后应及时包装，否则应得到切实的保护。其包装也应符合铁路、公路和海运部门的有关规定；</w:t>
      </w:r>
    </w:p>
    <w:p w14:paraId="4ED2B963">
      <w:pPr>
        <w:pStyle w:val="10"/>
        <w:tabs>
          <w:tab w:val="left" w:pos="540"/>
        </w:tabs>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包装箱上应有运输及起吊标志：“向上”、“防潮”、“小心轻放”等字样明显的包装储运图示标志，并应标明设备的订货号和发货号；</w:t>
      </w:r>
    </w:p>
    <w:p w14:paraId="051EF478">
      <w:pPr>
        <w:pStyle w:val="10"/>
        <w:tabs>
          <w:tab w:val="left" w:pos="540"/>
        </w:tabs>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产品的包装应能保证</w:t>
      </w:r>
      <w:r>
        <w:rPr>
          <w:rFonts w:hint="eastAsia" w:hAnsi="宋体" w:cs="宋体"/>
          <w:color w:val="auto"/>
          <w:sz w:val="24"/>
          <w:szCs w:val="24"/>
          <w:lang w:val="en-US" w:eastAsia="zh-CN"/>
        </w:rPr>
        <w:t>整体设备及</w:t>
      </w:r>
      <w:r>
        <w:rPr>
          <w:rFonts w:hint="eastAsia" w:ascii="宋体" w:hAnsi="宋体" w:eastAsia="宋体" w:cs="宋体"/>
          <w:color w:val="auto"/>
          <w:sz w:val="24"/>
          <w:szCs w:val="24"/>
        </w:rPr>
        <w:t>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14:paraId="0F95497B">
      <w:pPr>
        <w:pStyle w:val="10"/>
        <w:tabs>
          <w:tab w:val="left" w:pos="540"/>
        </w:tabs>
        <w:rPr>
          <w:rFonts w:hint="eastAsia" w:ascii="宋体" w:hAnsi="宋体" w:eastAsia="宋体" w:cs="宋体"/>
          <w:b/>
          <w:color w:val="auto"/>
          <w:sz w:val="24"/>
          <w:szCs w:val="24"/>
        </w:rPr>
      </w:pPr>
      <w:r>
        <w:rPr>
          <w:rFonts w:hint="eastAsia" w:ascii="宋体" w:hAnsi="宋体" w:eastAsia="宋体" w:cs="宋体"/>
          <w:b/>
          <w:color w:val="auto"/>
          <w:sz w:val="24"/>
          <w:szCs w:val="24"/>
        </w:rPr>
        <w:t>5.2运输</w:t>
      </w:r>
    </w:p>
    <w:p w14:paraId="6D30BBC3">
      <w:pPr>
        <w:pStyle w:val="26"/>
        <w:numPr>
          <w:ilvl w:val="0"/>
          <w:numId w:val="6"/>
        </w:numPr>
        <w:tabs>
          <w:tab w:val="left" w:pos="567"/>
        </w:tabs>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整体运输时产品内部元件应不得移位、损坏和受潮，不得影响安装；</w:t>
      </w:r>
    </w:p>
    <w:p w14:paraId="01A01E02">
      <w:pPr>
        <w:pStyle w:val="26"/>
        <w:numPr>
          <w:ilvl w:val="0"/>
          <w:numId w:val="6"/>
        </w:numPr>
        <w:tabs>
          <w:tab w:val="left" w:pos="567"/>
        </w:tabs>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单独运输的零部件应有标志，便于用户安装装配；</w:t>
      </w:r>
    </w:p>
    <w:p w14:paraId="76ABD112">
      <w:pPr>
        <w:pStyle w:val="26"/>
        <w:numPr>
          <w:ilvl w:val="0"/>
          <w:numId w:val="6"/>
        </w:numPr>
        <w:tabs>
          <w:tab w:val="left" w:pos="567"/>
        </w:tabs>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整体产品或分别运输的部件，都要适合于运输及装卸的要求；</w:t>
      </w:r>
    </w:p>
    <w:p w14:paraId="38808F09">
      <w:pPr>
        <w:pStyle w:val="26"/>
        <w:numPr>
          <w:ilvl w:val="0"/>
          <w:numId w:val="6"/>
        </w:numPr>
        <w:tabs>
          <w:tab w:val="left" w:pos="567"/>
        </w:tabs>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随同运输的产品应附有装箱清单，产品所需提供的技术资料应完整无缺；</w:t>
      </w:r>
    </w:p>
    <w:p w14:paraId="7FE7AD84">
      <w:pPr>
        <w:pStyle w:val="10"/>
        <w:tabs>
          <w:tab w:val="left" w:pos="540"/>
        </w:tabs>
        <w:rPr>
          <w:rFonts w:hint="eastAsia" w:ascii="宋体" w:hAnsi="宋体" w:eastAsia="宋体" w:cs="宋体"/>
          <w:b/>
          <w:color w:val="auto"/>
          <w:sz w:val="24"/>
          <w:szCs w:val="24"/>
        </w:rPr>
      </w:pPr>
      <w:r>
        <w:rPr>
          <w:rFonts w:hint="eastAsia" w:ascii="宋体" w:hAnsi="宋体" w:eastAsia="宋体" w:cs="宋体"/>
          <w:b/>
          <w:color w:val="auto"/>
          <w:sz w:val="24"/>
          <w:szCs w:val="24"/>
        </w:rPr>
        <w:t>5.3储存</w:t>
      </w:r>
    </w:p>
    <w:p w14:paraId="75F8A041">
      <w:pPr>
        <w:pStyle w:val="26"/>
        <w:tabs>
          <w:tab w:val="left" w:pos="567"/>
        </w:tabs>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产品应存放在通风、干燥、无腐蚀性气体的室内环境中，温度：</w:t>
      </w:r>
      <w:r>
        <w:rPr>
          <w:rFonts w:hint="eastAsia" w:ascii="宋体" w:hAnsi="宋体" w:cs="宋体"/>
          <w:color w:val="auto"/>
          <w:sz w:val="24"/>
          <w:lang w:val="en-US" w:eastAsia="zh-CN"/>
        </w:rPr>
        <w:t>5</w:t>
      </w:r>
      <w:r>
        <w:rPr>
          <w:rFonts w:hint="eastAsia" w:ascii="宋体" w:hAnsi="宋体" w:eastAsia="宋体" w:cs="宋体"/>
          <w:color w:val="auto"/>
          <w:sz w:val="24"/>
        </w:rPr>
        <w:t>℃～25℃，温度日波动≤±</w:t>
      </w:r>
      <w:r>
        <w:rPr>
          <w:rFonts w:hint="eastAsia" w:ascii="宋体" w:hAnsi="宋体" w:cs="宋体"/>
          <w:color w:val="auto"/>
          <w:sz w:val="24"/>
          <w:lang w:val="en-US" w:eastAsia="zh-CN"/>
        </w:rPr>
        <w:t>5</w:t>
      </w:r>
      <w:r>
        <w:rPr>
          <w:rFonts w:hint="eastAsia" w:ascii="宋体" w:hAnsi="宋体" w:eastAsia="宋体" w:cs="宋体"/>
          <w:color w:val="auto"/>
          <w:sz w:val="24"/>
        </w:rPr>
        <w:t>℃，禁止骤冷骤热</w:t>
      </w:r>
      <w:r>
        <w:rPr>
          <w:rFonts w:hint="eastAsia" w:ascii="宋体" w:hAnsi="宋体" w:cs="宋体"/>
          <w:color w:val="auto"/>
          <w:sz w:val="24"/>
          <w:lang w:eastAsia="zh-CN"/>
        </w:rPr>
        <w:t>、</w:t>
      </w:r>
      <w:r>
        <w:rPr>
          <w:rFonts w:hint="eastAsia" w:ascii="宋体" w:hAnsi="宋体" w:eastAsia="宋体" w:cs="宋体"/>
          <w:color w:val="auto"/>
          <w:sz w:val="24"/>
        </w:rPr>
        <w:t>相对湿度：40%～60%RH。</w:t>
      </w:r>
    </w:p>
    <w:p w14:paraId="5E28CED4">
      <w:pPr>
        <w:pStyle w:val="10"/>
        <w:tabs>
          <w:tab w:val="left" w:pos="540"/>
        </w:tabs>
        <w:rPr>
          <w:rFonts w:hint="eastAsia" w:ascii="宋体" w:hAnsi="宋体" w:eastAsia="宋体" w:cs="宋体"/>
          <w:b/>
          <w:color w:val="auto"/>
          <w:sz w:val="24"/>
          <w:szCs w:val="24"/>
        </w:rPr>
      </w:pPr>
      <w:r>
        <w:rPr>
          <w:rFonts w:hint="eastAsia" w:ascii="宋体" w:hAnsi="宋体" w:eastAsia="宋体" w:cs="宋体"/>
          <w:b/>
          <w:color w:val="auto"/>
          <w:sz w:val="24"/>
          <w:szCs w:val="24"/>
        </w:rPr>
        <w:t>5.4开箱检查</w:t>
      </w:r>
    </w:p>
    <w:bookmarkEnd w:id="6"/>
    <w:bookmarkEnd w:id="7"/>
    <w:bookmarkEnd w:id="8"/>
    <w:p w14:paraId="5E938689">
      <w:pPr>
        <w:pStyle w:val="26"/>
        <w:tabs>
          <w:tab w:val="left" w:pos="567"/>
        </w:tabs>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收货方有权在收到货物后进行开箱检查，核对产品外观、数量及附件是否完好、齐全。如有问题，应立即通知供方</w:t>
      </w:r>
    </w:p>
    <w:p w14:paraId="142F9A06">
      <w:pPr>
        <w:pStyle w:val="3"/>
        <w:bidi w:val="0"/>
        <w:rPr>
          <w:rFonts w:hint="eastAsia"/>
          <w:lang w:val="en-US" w:eastAsia="zh-CN"/>
        </w:rPr>
      </w:pPr>
      <w:r>
        <w:rPr>
          <w:rFonts w:hint="eastAsia"/>
          <w:lang w:val="en-US" w:eastAsia="zh-CN"/>
        </w:rPr>
        <w:t>六、安装与服务要求</w:t>
      </w:r>
    </w:p>
    <w:p w14:paraId="30CBAC99">
      <w:pPr>
        <w:pStyle w:val="26"/>
        <w:numPr>
          <w:ilvl w:val="0"/>
          <w:numId w:val="7"/>
        </w:numPr>
        <w:tabs>
          <w:tab w:val="left" w:pos="567"/>
        </w:tabs>
        <w:spacing w:line="360" w:lineRule="auto"/>
        <w:ind w:firstLine="480" w:firstLineChars="200"/>
        <w:rPr>
          <w:rFonts w:hint="eastAsia" w:ascii="宋体" w:hAnsi="宋体"/>
          <w:color w:val="auto"/>
          <w:sz w:val="24"/>
        </w:rPr>
      </w:pPr>
      <w:r>
        <w:rPr>
          <w:rFonts w:ascii="宋体" w:hAnsi="宋体"/>
          <w:color w:val="auto"/>
          <w:sz w:val="24"/>
        </w:rPr>
        <w:t>供方应提供详细的《</w:t>
      </w:r>
      <w:r>
        <w:rPr>
          <w:rFonts w:hint="eastAsia" w:ascii="宋体" w:hAnsi="宋体"/>
          <w:color w:val="auto"/>
          <w:sz w:val="24"/>
          <w:lang w:val="en-US" w:eastAsia="zh-CN"/>
        </w:rPr>
        <w:t>说明书（安装及使用）</w:t>
      </w:r>
      <w:r>
        <w:rPr>
          <w:rFonts w:ascii="宋体" w:hAnsi="宋体"/>
          <w:color w:val="auto"/>
          <w:sz w:val="24"/>
        </w:rPr>
        <w:t>》</w:t>
      </w:r>
      <w:r>
        <w:rPr>
          <w:rFonts w:hint="eastAsia" w:ascii="宋体" w:hAnsi="宋体"/>
          <w:color w:val="auto"/>
          <w:sz w:val="24"/>
          <w:lang w:eastAsia="zh-CN"/>
        </w:rPr>
        <w:t>、《</w:t>
      </w:r>
      <w:r>
        <w:rPr>
          <w:rFonts w:hint="eastAsia" w:ascii="宋体" w:hAnsi="宋体"/>
          <w:color w:val="auto"/>
          <w:sz w:val="24"/>
          <w:lang w:val="en-US" w:eastAsia="zh-CN"/>
        </w:rPr>
        <w:t>合格证、保修卡</w:t>
      </w:r>
      <w:r>
        <w:rPr>
          <w:rFonts w:hint="eastAsia" w:ascii="宋体" w:hAnsi="宋体"/>
          <w:color w:val="auto"/>
          <w:sz w:val="24"/>
          <w:lang w:eastAsia="zh-CN"/>
        </w:rPr>
        <w:t>》、</w:t>
      </w:r>
      <w:r>
        <w:rPr>
          <w:rFonts w:hint="eastAsia" w:ascii="宋体" w:hAnsi="宋体"/>
          <w:color w:val="auto"/>
          <w:sz w:val="24"/>
          <w:lang w:val="en-US" w:eastAsia="zh-CN"/>
        </w:rPr>
        <w:t>充足的接线端子等配件</w:t>
      </w:r>
      <w:r>
        <w:rPr>
          <w:rFonts w:ascii="宋体" w:hAnsi="宋体"/>
          <w:color w:val="auto"/>
          <w:sz w:val="24"/>
        </w:rPr>
        <w:t>。</w:t>
      </w:r>
    </w:p>
    <w:p w14:paraId="10A93B55">
      <w:pPr>
        <w:pStyle w:val="26"/>
        <w:numPr>
          <w:ilvl w:val="0"/>
          <w:numId w:val="7"/>
        </w:numPr>
        <w:tabs>
          <w:tab w:val="left" w:pos="567"/>
        </w:tabs>
        <w:spacing w:line="360" w:lineRule="auto"/>
        <w:ind w:firstLine="480" w:firstLineChars="200"/>
        <w:rPr>
          <w:rFonts w:hint="eastAsia" w:ascii="宋体" w:hAnsi="宋体"/>
          <w:color w:val="auto"/>
          <w:sz w:val="24"/>
        </w:rPr>
      </w:pPr>
      <w:r>
        <w:rPr>
          <w:rFonts w:ascii="宋体" w:hAnsi="宋体"/>
          <w:color w:val="auto"/>
          <w:sz w:val="24"/>
        </w:rPr>
        <w:t>供方应提供电话、邮件、远程桌面等技术支持方式。</w:t>
      </w:r>
    </w:p>
    <w:p w14:paraId="4755E5E0">
      <w:pPr>
        <w:pStyle w:val="26"/>
        <w:numPr>
          <w:ilvl w:val="0"/>
          <w:numId w:val="7"/>
        </w:numPr>
        <w:tabs>
          <w:tab w:val="left" w:pos="567"/>
        </w:tabs>
        <w:spacing w:line="360" w:lineRule="auto"/>
        <w:ind w:firstLine="480" w:firstLineChars="200"/>
        <w:rPr>
          <w:rFonts w:hint="eastAsia" w:ascii="宋体" w:hAnsi="宋体"/>
          <w:color w:val="auto"/>
          <w:sz w:val="24"/>
        </w:rPr>
      </w:pPr>
      <w:r>
        <w:rPr>
          <w:rFonts w:ascii="宋体" w:hAnsi="宋体"/>
          <w:color w:val="auto"/>
          <w:sz w:val="24"/>
        </w:rPr>
        <w:t>产品质保期≥36个月，自验收合格之日起计算。质保期内，因产品自身设计、材料或工艺缺陷导致的故障，供方应免费维修或更换。</w:t>
      </w:r>
    </w:p>
    <w:p w14:paraId="45608C7B">
      <w:pPr>
        <w:pStyle w:val="26"/>
        <w:numPr>
          <w:ilvl w:val="0"/>
          <w:numId w:val="7"/>
        </w:numPr>
        <w:tabs>
          <w:tab w:val="left" w:pos="567"/>
        </w:tabs>
        <w:spacing w:line="360" w:lineRule="auto"/>
        <w:ind w:firstLine="480" w:firstLineChars="200"/>
        <w:rPr>
          <w:rFonts w:hint="eastAsia" w:ascii="宋体" w:hAnsi="宋体"/>
          <w:color w:val="auto"/>
          <w:sz w:val="24"/>
        </w:rPr>
      </w:pPr>
      <w:r>
        <w:rPr>
          <w:rFonts w:ascii="宋体" w:hAnsi="宋体"/>
          <w:color w:val="auto"/>
          <w:sz w:val="24"/>
        </w:rPr>
        <w:t>质保期外，供方应提供终身有偿维护服务，并以优惠价格供应备品备件。</w:t>
      </w:r>
    </w:p>
    <w:p w14:paraId="513D1E99">
      <w:pPr>
        <w:pStyle w:val="26"/>
        <w:numPr>
          <w:ilvl w:val="0"/>
          <w:numId w:val="7"/>
        </w:numPr>
        <w:tabs>
          <w:tab w:val="left" w:pos="567"/>
        </w:tabs>
        <w:spacing w:line="360" w:lineRule="auto"/>
        <w:ind w:firstLine="480" w:firstLineChars="200"/>
        <w:rPr>
          <w:rFonts w:hint="eastAsia" w:ascii="宋体" w:hAnsi="宋体"/>
          <w:color w:val="auto"/>
          <w:sz w:val="24"/>
        </w:rPr>
      </w:pPr>
      <w:r>
        <w:rPr>
          <w:rFonts w:ascii="宋体" w:hAnsi="宋体"/>
          <w:color w:val="auto"/>
          <w:sz w:val="24"/>
        </w:rPr>
        <w:t>重大故障或紧急情况，供方应承诺在接到通知后4小时内响应，24小时内提供解决方案。</w:t>
      </w:r>
    </w:p>
    <w:p w14:paraId="51C38E96">
      <w:pPr>
        <w:pStyle w:val="25"/>
        <w:tabs>
          <w:tab w:val="left" w:pos="772"/>
        </w:tabs>
        <w:spacing w:after="40"/>
        <w:ind w:left="720" w:hanging="320"/>
        <w:rPr>
          <w:rFonts w:hint="eastAsia" w:eastAsia="黑体"/>
          <w:color w:val="auto"/>
          <w:szCs w:val="21"/>
        </w:rPr>
      </w:pPr>
    </w:p>
    <w:p w14:paraId="5641EB74">
      <w:pPr>
        <w:pStyle w:val="3"/>
        <w:bidi w:val="0"/>
        <w:rPr>
          <w:rFonts w:hint="eastAsia"/>
          <w:lang w:val="en-US" w:eastAsia="zh-CN"/>
        </w:rPr>
      </w:pPr>
      <w:r>
        <w:rPr>
          <w:rFonts w:hint="eastAsia"/>
          <w:lang w:val="en-US" w:eastAsia="zh-CN"/>
        </w:rPr>
        <w:t>七、质量保证承诺</w:t>
      </w:r>
    </w:p>
    <w:p w14:paraId="7BA19B01">
      <w:pPr>
        <w:pStyle w:val="26"/>
        <w:numPr>
          <w:ilvl w:val="0"/>
          <w:numId w:val="8"/>
        </w:numPr>
        <w:tabs>
          <w:tab w:val="left" w:pos="567"/>
        </w:tabs>
        <w:spacing w:line="360" w:lineRule="auto"/>
        <w:rPr>
          <w:rFonts w:hint="eastAsia" w:ascii="宋体" w:hAnsi="宋体"/>
          <w:color w:val="auto"/>
          <w:sz w:val="24"/>
        </w:rPr>
      </w:pPr>
      <w:r>
        <w:rPr>
          <w:rFonts w:hint="eastAsia" w:ascii="宋体" w:hAnsi="宋体"/>
          <w:color w:val="auto"/>
          <w:sz w:val="24"/>
        </w:rPr>
        <w:t>供方保证所供产品为全新正品，各项指标均符合本技术规范书要求。</w:t>
      </w:r>
    </w:p>
    <w:p w14:paraId="01C4787E">
      <w:pPr>
        <w:pStyle w:val="26"/>
        <w:numPr>
          <w:ilvl w:val="0"/>
          <w:numId w:val="8"/>
        </w:numPr>
        <w:tabs>
          <w:tab w:val="left" w:pos="567"/>
        </w:tabs>
        <w:spacing w:line="360" w:lineRule="auto"/>
        <w:rPr>
          <w:rFonts w:hint="eastAsia" w:ascii="宋体" w:hAnsi="宋体"/>
          <w:color w:val="auto"/>
          <w:sz w:val="24"/>
        </w:rPr>
      </w:pPr>
      <w:r>
        <w:rPr>
          <w:rFonts w:hint="eastAsia" w:ascii="宋体" w:hAnsi="宋体"/>
          <w:color w:val="auto"/>
          <w:sz w:val="24"/>
        </w:rPr>
        <w:t>供方保证产品在正常使用条件下，其性能和可靠性达到设计要求。</w:t>
      </w:r>
    </w:p>
    <w:p w14:paraId="5610EA4D">
      <w:pPr>
        <w:pStyle w:val="26"/>
        <w:numPr>
          <w:ilvl w:val="0"/>
          <w:numId w:val="8"/>
        </w:numPr>
        <w:tabs>
          <w:tab w:val="left" w:pos="567"/>
        </w:tabs>
        <w:spacing w:line="360" w:lineRule="auto"/>
        <w:rPr>
          <w:rFonts w:hint="eastAsia" w:ascii="宋体" w:hAnsi="宋体"/>
          <w:color w:val="auto"/>
          <w:sz w:val="24"/>
        </w:rPr>
      </w:pPr>
      <w:r>
        <w:rPr>
          <w:rFonts w:hint="eastAsia" w:ascii="宋体" w:hAnsi="宋体"/>
          <w:color w:val="auto"/>
          <w:sz w:val="24"/>
        </w:rPr>
        <w:t>若因设计、材料、工艺等供方原因导致产品出现质量问题，供方应无条件进行整改或更换，并承担由此产生的相关费用。</w:t>
      </w:r>
    </w:p>
    <w:p w14:paraId="7509FE10">
      <w:pPr>
        <w:pStyle w:val="26"/>
        <w:numPr>
          <w:ilvl w:val="0"/>
          <w:numId w:val="8"/>
        </w:numPr>
        <w:tabs>
          <w:tab w:val="left" w:pos="567"/>
        </w:tabs>
        <w:spacing w:line="360" w:lineRule="auto"/>
        <w:rPr>
          <w:rFonts w:hint="eastAsia" w:ascii="宋体" w:hAnsi="宋体"/>
          <w:color w:val="auto"/>
          <w:sz w:val="24"/>
        </w:rPr>
      </w:pPr>
      <w:r>
        <w:rPr>
          <w:rFonts w:hint="eastAsia" w:ascii="宋体" w:hAnsi="宋体"/>
          <w:color w:val="auto"/>
          <w:sz w:val="24"/>
        </w:rPr>
        <w:t>供方</w:t>
      </w:r>
      <w:r>
        <w:rPr>
          <w:rFonts w:hint="eastAsia" w:ascii="宋体" w:hAnsi="宋体"/>
          <w:color w:val="auto"/>
          <w:sz w:val="24"/>
          <w:lang w:val="en-US" w:eastAsia="zh-CN"/>
        </w:rPr>
        <w:t>应负责硬件设备的出厂测试工作，按照相关技术标准及测试规范开展功能、性能、可靠性等项目测试，并提供完整的《出厂测试报告》，确保交付设备符合技术要求及质量标准。</w:t>
      </w:r>
      <w:bookmarkStart w:id="9" w:name="_GoBack"/>
      <w:bookmarkEnd w:id="9"/>
    </w:p>
    <w:p w14:paraId="61F96FA0">
      <w:pPr>
        <w:rPr>
          <w:rFonts w:ascii="Times New Roman"/>
          <w:b/>
          <w:bCs/>
          <w:color w:val="auto"/>
          <w:szCs w:val="21"/>
        </w:rPr>
      </w:pPr>
      <w:r>
        <w:rPr>
          <w:rFonts w:ascii="Times New Roman"/>
          <w:b/>
          <w:bCs/>
          <w:color w:val="auto"/>
          <w:szCs w:val="21"/>
        </w:rPr>
        <w:br w:type="page"/>
      </w:r>
    </w:p>
    <w:p w14:paraId="393C3D4B">
      <w:pPr>
        <w:pStyle w:val="8"/>
        <w:ind w:left="0"/>
        <w:rPr>
          <w:rFonts w:ascii="Times New Roman"/>
          <w:b/>
          <w:bCs/>
          <w:color w:val="auto"/>
          <w:szCs w:val="21"/>
        </w:rPr>
      </w:pPr>
      <w:r>
        <w:rPr>
          <w:rFonts w:ascii="Times New Roman"/>
          <w:b/>
          <w:bCs/>
          <w:color w:val="auto"/>
          <w:szCs w:val="21"/>
        </w:rPr>
        <w:t>附录</w:t>
      </w:r>
      <w:r>
        <w:rPr>
          <w:rFonts w:hint="eastAsia" w:ascii="Times New Roman"/>
          <w:b/>
          <w:bCs/>
          <w:color w:val="auto"/>
          <w:szCs w:val="21"/>
        </w:rPr>
        <w:t>1：智慧协作主机硬件连接框图</w:t>
      </w:r>
    </w:p>
    <w:p w14:paraId="57083CDD">
      <w:pPr>
        <w:pStyle w:val="9"/>
        <w:rPr>
          <w:color w:val="auto"/>
        </w:rPr>
      </w:pPr>
      <w:r>
        <w:rPr>
          <w:color w:val="auto"/>
        </w:rPr>
        <w:drawing>
          <wp:inline distT="0" distB="0" distL="0" distR="0">
            <wp:extent cx="5670550" cy="4305300"/>
            <wp:effectExtent l="0" t="0" r="13970" b="7620"/>
            <wp:docPr id="174486490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864903" name="图片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670550" cy="4305300"/>
                    </a:xfrm>
                    <a:prstGeom prst="rect">
                      <a:avLst/>
                    </a:prstGeom>
                    <a:noFill/>
                    <a:ln>
                      <a:noFill/>
                    </a:ln>
                  </pic:spPr>
                </pic:pic>
              </a:graphicData>
            </a:graphic>
          </wp:inline>
        </w:drawing>
      </w:r>
    </w:p>
    <w:sectPr>
      <w:headerReference r:id="rId3" w:type="default"/>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72E86">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A045C4">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FA045C4">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C1230">
    <w:pPr>
      <w:pStyle w:val="13"/>
      <w:pBdr>
        <w:bottom w:val="none" w:color="auto" w:sz="0" w:space="1"/>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0F4223"/>
    <w:multiLevelType w:val="singleLevel"/>
    <w:tmpl w:val="B80F4223"/>
    <w:lvl w:ilvl="0" w:tentative="0">
      <w:start w:val="1"/>
      <w:numFmt w:val="decimal"/>
      <w:suff w:val="nothing"/>
      <w:lvlText w:val="%1．"/>
      <w:lvlJc w:val="left"/>
      <w:pPr>
        <w:ind w:left="0" w:firstLine="400"/>
      </w:pPr>
      <w:rPr>
        <w:rFonts w:hint="default"/>
      </w:rPr>
    </w:lvl>
  </w:abstractNum>
  <w:abstractNum w:abstractNumId="1">
    <w:nsid w:val="EE053DDE"/>
    <w:multiLevelType w:val="singleLevel"/>
    <w:tmpl w:val="EE053DDE"/>
    <w:lvl w:ilvl="0" w:tentative="0">
      <w:start w:val="1"/>
      <w:numFmt w:val="decimal"/>
      <w:lvlText w:val="%1."/>
      <w:lvlJc w:val="left"/>
      <w:pPr>
        <w:ind w:left="425" w:hanging="425"/>
      </w:pPr>
      <w:rPr>
        <w:rFonts w:hint="default"/>
      </w:rPr>
    </w:lvl>
  </w:abstractNum>
  <w:abstractNum w:abstractNumId="2">
    <w:nsid w:val="03510BFF"/>
    <w:multiLevelType w:val="singleLevel"/>
    <w:tmpl w:val="03510BFF"/>
    <w:lvl w:ilvl="0" w:tentative="0">
      <w:start w:val="1"/>
      <w:numFmt w:val="decimal"/>
      <w:suff w:val="nothing"/>
      <w:lvlText w:val="%1．"/>
      <w:lvlJc w:val="left"/>
      <w:pPr>
        <w:ind w:left="0" w:firstLine="400"/>
      </w:pPr>
      <w:rPr>
        <w:rFonts w:hint="default"/>
      </w:rPr>
    </w:lvl>
  </w:abstractNum>
  <w:abstractNum w:abstractNumId="3">
    <w:nsid w:val="041F55DE"/>
    <w:multiLevelType w:val="multilevel"/>
    <w:tmpl w:val="041F55DE"/>
    <w:lvl w:ilvl="0" w:tentative="0">
      <w:start w:val="1"/>
      <w:numFmt w:val="decimal"/>
      <w:lvlText w:val="%1)"/>
      <w:lvlJc w:val="left"/>
      <w:pPr>
        <w:ind w:left="1132" w:hanging="440"/>
      </w:pPr>
      <w:rPr>
        <w:rFonts w:hint="default"/>
      </w:rPr>
    </w:lvl>
    <w:lvl w:ilvl="1" w:tentative="0">
      <w:start w:val="1"/>
      <w:numFmt w:val="bullet"/>
      <w:lvlText w:val=""/>
      <w:lvlJc w:val="left"/>
      <w:pPr>
        <w:ind w:left="1572" w:hanging="440"/>
      </w:pPr>
      <w:rPr>
        <w:rFonts w:hint="default" w:ascii="Wingdings" w:hAnsi="Wingdings"/>
      </w:rPr>
    </w:lvl>
    <w:lvl w:ilvl="2" w:tentative="0">
      <w:start w:val="1"/>
      <w:numFmt w:val="bullet"/>
      <w:lvlText w:val=""/>
      <w:lvlJc w:val="left"/>
      <w:pPr>
        <w:ind w:left="2012" w:hanging="440"/>
      </w:pPr>
      <w:rPr>
        <w:rFonts w:hint="default" w:ascii="Wingdings" w:hAnsi="Wingdings"/>
      </w:rPr>
    </w:lvl>
    <w:lvl w:ilvl="3" w:tentative="0">
      <w:start w:val="1"/>
      <w:numFmt w:val="bullet"/>
      <w:lvlText w:val=""/>
      <w:lvlJc w:val="left"/>
      <w:pPr>
        <w:ind w:left="2452" w:hanging="440"/>
      </w:pPr>
      <w:rPr>
        <w:rFonts w:hint="default" w:ascii="Wingdings" w:hAnsi="Wingdings"/>
      </w:rPr>
    </w:lvl>
    <w:lvl w:ilvl="4" w:tentative="0">
      <w:start w:val="1"/>
      <w:numFmt w:val="bullet"/>
      <w:lvlText w:val=""/>
      <w:lvlJc w:val="left"/>
      <w:pPr>
        <w:ind w:left="2892" w:hanging="440"/>
      </w:pPr>
      <w:rPr>
        <w:rFonts w:hint="default" w:ascii="Wingdings" w:hAnsi="Wingdings"/>
      </w:rPr>
    </w:lvl>
    <w:lvl w:ilvl="5" w:tentative="0">
      <w:start w:val="1"/>
      <w:numFmt w:val="bullet"/>
      <w:lvlText w:val=""/>
      <w:lvlJc w:val="left"/>
      <w:pPr>
        <w:ind w:left="3332" w:hanging="440"/>
      </w:pPr>
      <w:rPr>
        <w:rFonts w:hint="default" w:ascii="Wingdings" w:hAnsi="Wingdings"/>
      </w:rPr>
    </w:lvl>
    <w:lvl w:ilvl="6" w:tentative="0">
      <w:start w:val="1"/>
      <w:numFmt w:val="bullet"/>
      <w:lvlText w:val=""/>
      <w:lvlJc w:val="left"/>
      <w:pPr>
        <w:ind w:left="3772" w:hanging="440"/>
      </w:pPr>
      <w:rPr>
        <w:rFonts w:hint="default" w:ascii="Wingdings" w:hAnsi="Wingdings"/>
      </w:rPr>
    </w:lvl>
    <w:lvl w:ilvl="7" w:tentative="0">
      <w:start w:val="1"/>
      <w:numFmt w:val="bullet"/>
      <w:lvlText w:val=""/>
      <w:lvlJc w:val="left"/>
      <w:pPr>
        <w:ind w:left="4212" w:hanging="440"/>
      </w:pPr>
      <w:rPr>
        <w:rFonts w:hint="default" w:ascii="Wingdings" w:hAnsi="Wingdings"/>
      </w:rPr>
    </w:lvl>
    <w:lvl w:ilvl="8" w:tentative="0">
      <w:start w:val="1"/>
      <w:numFmt w:val="bullet"/>
      <w:lvlText w:val=""/>
      <w:lvlJc w:val="left"/>
      <w:pPr>
        <w:ind w:left="4652" w:hanging="440"/>
      </w:pPr>
      <w:rPr>
        <w:rFonts w:hint="default" w:ascii="Wingdings" w:hAnsi="Wingdings"/>
      </w:rPr>
    </w:lvl>
  </w:abstractNum>
  <w:abstractNum w:abstractNumId="4">
    <w:nsid w:val="1FD5EE98"/>
    <w:multiLevelType w:val="singleLevel"/>
    <w:tmpl w:val="1FD5EE98"/>
    <w:lvl w:ilvl="0" w:tentative="0">
      <w:start w:val="1"/>
      <w:numFmt w:val="decimal"/>
      <w:suff w:val="nothing"/>
      <w:lvlText w:val="%1．"/>
      <w:lvlJc w:val="left"/>
      <w:pPr>
        <w:ind w:left="0" w:firstLine="400"/>
      </w:pPr>
      <w:rPr>
        <w:rFonts w:hint="default"/>
      </w:rPr>
    </w:lvl>
  </w:abstractNum>
  <w:abstractNum w:abstractNumId="5">
    <w:nsid w:val="4453580E"/>
    <w:multiLevelType w:val="multilevel"/>
    <w:tmpl w:val="4453580E"/>
    <w:lvl w:ilvl="0" w:tentative="0">
      <w:start w:val="1"/>
      <w:numFmt w:val="decimal"/>
      <w:lvlText w:val="%1)"/>
      <w:lvlJc w:val="left"/>
      <w:pPr>
        <w:ind w:left="1132" w:hanging="440"/>
      </w:pPr>
      <w:rPr>
        <w:rFonts w:hint="default"/>
      </w:rPr>
    </w:lvl>
    <w:lvl w:ilvl="1" w:tentative="0">
      <w:start w:val="1"/>
      <w:numFmt w:val="bullet"/>
      <w:lvlText w:val=""/>
      <w:lvlJc w:val="left"/>
      <w:pPr>
        <w:ind w:left="1572" w:hanging="440"/>
      </w:pPr>
      <w:rPr>
        <w:rFonts w:hint="default" w:ascii="Wingdings" w:hAnsi="Wingdings"/>
      </w:rPr>
    </w:lvl>
    <w:lvl w:ilvl="2" w:tentative="0">
      <w:start w:val="1"/>
      <w:numFmt w:val="bullet"/>
      <w:lvlText w:val=""/>
      <w:lvlJc w:val="left"/>
      <w:pPr>
        <w:ind w:left="2012" w:hanging="440"/>
      </w:pPr>
      <w:rPr>
        <w:rFonts w:hint="default" w:ascii="Wingdings" w:hAnsi="Wingdings"/>
      </w:rPr>
    </w:lvl>
    <w:lvl w:ilvl="3" w:tentative="0">
      <w:start w:val="1"/>
      <w:numFmt w:val="bullet"/>
      <w:lvlText w:val=""/>
      <w:lvlJc w:val="left"/>
      <w:pPr>
        <w:ind w:left="2452" w:hanging="440"/>
      </w:pPr>
      <w:rPr>
        <w:rFonts w:hint="default" w:ascii="Wingdings" w:hAnsi="Wingdings"/>
      </w:rPr>
    </w:lvl>
    <w:lvl w:ilvl="4" w:tentative="0">
      <w:start w:val="1"/>
      <w:numFmt w:val="bullet"/>
      <w:lvlText w:val=""/>
      <w:lvlJc w:val="left"/>
      <w:pPr>
        <w:ind w:left="2892" w:hanging="440"/>
      </w:pPr>
      <w:rPr>
        <w:rFonts w:hint="default" w:ascii="Wingdings" w:hAnsi="Wingdings"/>
      </w:rPr>
    </w:lvl>
    <w:lvl w:ilvl="5" w:tentative="0">
      <w:start w:val="1"/>
      <w:numFmt w:val="bullet"/>
      <w:lvlText w:val=""/>
      <w:lvlJc w:val="left"/>
      <w:pPr>
        <w:ind w:left="3332" w:hanging="440"/>
      </w:pPr>
      <w:rPr>
        <w:rFonts w:hint="default" w:ascii="Wingdings" w:hAnsi="Wingdings"/>
      </w:rPr>
    </w:lvl>
    <w:lvl w:ilvl="6" w:tentative="0">
      <w:start w:val="1"/>
      <w:numFmt w:val="bullet"/>
      <w:lvlText w:val=""/>
      <w:lvlJc w:val="left"/>
      <w:pPr>
        <w:ind w:left="3772" w:hanging="440"/>
      </w:pPr>
      <w:rPr>
        <w:rFonts w:hint="default" w:ascii="Wingdings" w:hAnsi="Wingdings"/>
      </w:rPr>
    </w:lvl>
    <w:lvl w:ilvl="7" w:tentative="0">
      <w:start w:val="1"/>
      <w:numFmt w:val="bullet"/>
      <w:lvlText w:val=""/>
      <w:lvlJc w:val="left"/>
      <w:pPr>
        <w:ind w:left="4212" w:hanging="440"/>
      </w:pPr>
      <w:rPr>
        <w:rFonts w:hint="default" w:ascii="Wingdings" w:hAnsi="Wingdings"/>
      </w:rPr>
    </w:lvl>
    <w:lvl w:ilvl="8" w:tentative="0">
      <w:start w:val="1"/>
      <w:numFmt w:val="bullet"/>
      <w:lvlText w:val=""/>
      <w:lvlJc w:val="left"/>
      <w:pPr>
        <w:ind w:left="4652" w:hanging="440"/>
      </w:pPr>
      <w:rPr>
        <w:rFonts w:hint="default" w:ascii="Wingdings" w:hAnsi="Wingdings"/>
      </w:rPr>
    </w:lvl>
  </w:abstractNum>
  <w:abstractNum w:abstractNumId="6">
    <w:nsid w:val="6774242E"/>
    <w:multiLevelType w:val="multilevel"/>
    <w:tmpl w:val="6774242E"/>
    <w:lvl w:ilvl="0" w:tentative="0">
      <w:start w:val="1"/>
      <w:numFmt w:val="decimal"/>
      <w:lvlText w:val="%1)"/>
      <w:lvlJc w:val="left"/>
      <w:pPr>
        <w:ind w:left="1132" w:hanging="440"/>
      </w:pPr>
    </w:lvl>
    <w:lvl w:ilvl="1" w:tentative="0">
      <w:start w:val="1"/>
      <w:numFmt w:val="lowerLetter"/>
      <w:lvlText w:val="%2)"/>
      <w:lvlJc w:val="left"/>
      <w:pPr>
        <w:ind w:left="1572" w:hanging="440"/>
      </w:pPr>
    </w:lvl>
    <w:lvl w:ilvl="2" w:tentative="0">
      <w:start w:val="1"/>
      <w:numFmt w:val="lowerRoman"/>
      <w:lvlText w:val="%3."/>
      <w:lvlJc w:val="right"/>
      <w:pPr>
        <w:ind w:left="2012" w:hanging="440"/>
      </w:pPr>
    </w:lvl>
    <w:lvl w:ilvl="3" w:tentative="0">
      <w:start w:val="1"/>
      <w:numFmt w:val="decimal"/>
      <w:lvlText w:val="%4."/>
      <w:lvlJc w:val="left"/>
      <w:pPr>
        <w:ind w:left="2452" w:hanging="440"/>
      </w:pPr>
    </w:lvl>
    <w:lvl w:ilvl="4" w:tentative="0">
      <w:start w:val="1"/>
      <w:numFmt w:val="lowerLetter"/>
      <w:lvlText w:val="%5)"/>
      <w:lvlJc w:val="left"/>
      <w:pPr>
        <w:ind w:left="2892" w:hanging="440"/>
      </w:pPr>
    </w:lvl>
    <w:lvl w:ilvl="5" w:tentative="0">
      <w:start w:val="1"/>
      <w:numFmt w:val="lowerRoman"/>
      <w:lvlText w:val="%6."/>
      <w:lvlJc w:val="right"/>
      <w:pPr>
        <w:ind w:left="3332" w:hanging="440"/>
      </w:pPr>
    </w:lvl>
    <w:lvl w:ilvl="6" w:tentative="0">
      <w:start w:val="1"/>
      <w:numFmt w:val="decimal"/>
      <w:lvlText w:val="%7."/>
      <w:lvlJc w:val="left"/>
      <w:pPr>
        <w:ind w:left="3772" w:hanging="440"/>
      </w:pPr>
    </w:lvl>
    <w:lvl w:ilvl="7" w:tentative="0">
      <w:start w:val="1"/>
      <w:numFmt w:val="lowerLetter"/>
      <w:lvlText w:val="%8)"/>
      <w:lvlJc w:val="left"/>
      <w:pPr>
        <w:ind w:left="4212" w:hanging="440"/>
      </w:pPr>
    </w:lvl>
    <w:lvl w:ilvl="8" w:tentative="0">
      <w:start w:val="1"/>
      <w:numFmt w:val="lowerRoman"/>
      <w:lvlText w:val="%9."/>
      <w:lvlJc w:val="right"/>
      <w:pPr>
        <w:ind w:left="4652" w:hanging="440"/>
      </w:pPr>
    </w:lvl>
  </w:abstractNum>
  <w:abstractNum w:abstractNumId="7">
    <w:nsid w:val="6F042E99"/>
    <w:multiLevelType w:val="multilevel"/>
    <w:tmpl w:val="6F042E99"/>
    <w:lvl w:ilvl="0" w:tentative="0">
      <w:start w:val="1"/>
      <w:numFmt w:val="decimal"/>
      <w:lvlText w:val="%1)"/>
      <w:lvlJc w:val="left"/>
      <w:pPr>
        <w:ind w:left="1132" w:hanging="440"/>
      </w:pPr>
      <w:rPr>
        <w:rFonts w:hint="default"/>
      </w:rPr>
    </w:lvl>
    <w:lvl w:ilvl="1" w:tentative="0">
      <w:start w:val="1"/>
      <w:numFmt w:val="bullet"/>
      <w:lvlText w:val=""/>
      <w:lvlJc w:val="left"/>
      <w:pPr>
        <w:ind w:left="1572" w:hanging="440"/>
      </w:pPr>
      <w:rPr>
        <w:rFonts w:hint="default" w:ascii="Wingdings" w:hAnsi="Wingdings"/>
      </w:rPr>
    </w:lvl>
    <w:lvl w:ilvl="2" w:tentative="0">
      <w:start w:val="1"/>
      <w:numFmt w:val="bullet"/>
      <w:lvlText w:val=""/>
      <w:lvlJc w:val="left"/>
      <w:pPr>
        <w:ind w:left="2012" w:hanging="440"/>
      </w:pPr>
      <w:rPr>
        <w:rFonts w:hint="default" w:ascii="Wingdings" w:hAnsi="Wingdings"/>
      </w:rPr>
    </w:lvl>
    <w:lvl w:ilvl="3" w:tentative="0">
      <w:start w:val="1"/>
      <w:numFmt w:val="bullet"/>
      <w:lvlText w:val=""/>
      <w:lvlJc w:val="left"/>
      <w:pPr>
        <w:ind w:left="2452" w:hanging="440"/>
      </w:pPr>
      <w:rPr>
        <w:rFonts w:hint="default" w:ascii="Wingdings" w:hAnsi="Wingdings"/>
      </w:rPr>
    </w:lvl>
    <w:lvl w:ilvl="4" w:tentative="0">
      <w:start w:val="1"/>
      <w:numFmt w:val="bullet"/>
      <w:lvlText w:val=""/>
      <w:lvlJc w:val="left"/>
      <w:pPr>
        <w:ind w:left="2892" w:hanging="440"/>
      </w:pPr>
      <w:rPr>
        <w:rFonts w:hint="default" w:ascii="Wingdings" w:hAnsi="Wingdings"/>
      </w:rPr>
    </w:lvl>
    <w:lvl w:ilvl="5" w:tentative="0">
      <w:start w:val="1"/>
      <w:numFmt w:val="bullet"/>
      <w:lvlText w:val=""/>
      <w:lvlJc w:val="left"/>
      <w:pPr>
        <w:ind w:left="3332" w:hanging="440"/>
      </w:pPr>
      <w:rPr>
        <w:rFonts w:hint="default" w:ascii="Wingdings" w:hAnsi="Wingdings"/>
      </w:rPr>
    </w:lvl>
    <w:lvl w:ilvl="6" w:tentative="0">
      <w:start w:val="1"/>
      <w:numFmt w:val="bullet"/>
      <w:lvlText w:val=""/>
      <w:lvlJc w:val="left"/>
      <w:pPr>
        <w:ind w:left="3772" w:hanging="440"/>
      </w:pPr>
      <w:rPr>
        <w:rFonts w:hint="default" w:ascii="Wingdings" w:hAnsi="Wingdings"/>
      </w:rPr>
    </w:lvl>
    <w:lvl w:ilvl="7" w:tentative="0">
      <w:start w:val="1"/>
      <w:numFmt w:val="bullet"/>
      <w:lvlText w:val=""/>
      <w:lvlJc w:val="left"/>
      <w:pPr>
        <w:ind w:left="4212" w:hanging="440"/>
      </w:pPr>
      <w:rPr>
        <w:rFonts w:hint="default" w:ascii="Wingdings" w:hAnsi="Wingdings"/>
      </w:rPr>
    </w:lvl>
    <w:lvl w:ilvl="8" w:tentative="0">
      <w:start w:val="1"/>
      <w:numFmt w:val="bullet"/>
      <w:lvlText w:val=""/>
      <w:lvlJc w:val="left"/>
      <w:pPr>
        <w:ind w:left="4652" w:hanging="440"/>
      </w:pPr>
      <w:rPr>
        <w:rFonts w:hint="default" w:ascii="Wingdings" w:hAnsi="Wingdings"/>
      </w:rPr>
    </w:lvl>
  </w:abstractNum>
  <w:num w:numId="1">
    <w:abstractNumId w:val="6"/>
  </w:num>
  <w:num w:numId="2">
    <w:abstractNumId w:val="5"/>
  </w:num>
  <w:num w:numId="3">
    <w:abstractNumId w:val="7"/>
  </w:num>
  <w:num w:numId="4">
    <w:abstractNumId w:val="3"/>
  </w:num>
  <w:num w:numId="5">
    <w:abstractNumId w:val="1"/>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CA193A"/>
    <w:rsid w:val="00000980"/>
    <w:rsid w:val="001B6DC2"/>
    <w:rsid w:val="002302E7"/>
    <w:rsid w:val="002A7E22"/>
    <w:rsid w:val="00344358"/>
    <w:rsid w:val="003C60B2"/>
    <w:rsid w:val="00477B04"/>
    <w:rsid w:val="00483A9D"/>
    <w:rsid w:val="004F6A6D"/>
    <w:rsid w:val="005F354F"/>
    <w:rsid w:val="00631871"/>
    <w:rsid w:val="0066142A"/>
    <w:rsid w:val="00737ABA"/>
    <w:rsid w:val="007B7CF4"/>
    <w:rsid w:val="007D68B2"/>
    <w:rsid w:val="007E7CD4"/>
    <w:rsid w:val="008027DE"/>
    <w:rsid w:val="008D5024"/>
    <w:rsid w:val="009534E8"/>
    <w:rsid w:val="00A218ED"/>
    <w:rsid w:val="00BD4B14"/>
    <w:rsid w:val="00C52A5D"/>
    <w:rsid w:val="00D03052"/>
    <w:rsid w:val="00D9630D"/>
    <w:rsid w:val="00E37D6B"/>
    <w:rsid w:val="00EC7C63"/>
    <w:rsid w:val="00F65F1A"/>
    <w:rsid w:val="00F91D24"/>
    <w:rsid w:val="00FF372A"/>
    <w:rsid w:val="049820AD"/>
    <w:rsid w:val="053F1A32"/>
    <w:rsid w:val="05BE1B08"/>
    <w:rsid w:val="06C82E6C"/>
    <w:rsid w:val="06DD0BD4"/>
    <w:rsid w:val="09147420"/>
    <w:rsid w:val="096358C1"/>
    <w:rsid w:val="0C3A1C59"/>
    <w:rsid w:val="0C443816"/>
    <w:rsid w:val="0E0930D4"/>
    <w:rsid w:val="0E2179FD"/>
    <w:rsid w:val="0E5B3904"/>
    <w:rsid w:val="0E61311F"/>
    <w:rsid w:val="13C540FC"/>
    <w:rsid w:val="1425550D"/>
    <w:rsid w:val="14C44951"/>
    <w:rsid w:val="14DB2B41"/>
    <w:rsid w:val="16034BBF"/>
    <w:rsid w:val="1B55538E"/>
    <w:rsid w:val="1F7F2339"/>
    <w:rsid w:val="207F0615"/>
    <w:rsid w:val="213B4094"/>
    <w:rsid w:val="21610EE5"/>
    <w:rsid w:val="25004B0F"/>
    <w:rsid w:val="25C777D7"/>
    <w:rsid w:val="2610010E"/>
    <w:rsid w:val="2CE32D84"/>
    <w:rsid w:val="349814DE"/>
    <w:rsid w:val="35B069A7"/>
    <w:rsid w:val="363253D4"/>
    <w:rsid w:val="37211865"/>
    <w:rsid w:val="38F130BF"/>
    <w:rsid w:val="3B31058A"/>
    <w:rsid w:val="3BBF1BA9"/>
    <w:rsid w:val="3CD70CBD"/>
    <w:rsid w:val="3DCA193A"/>
    <w:rsid w:val="3FBA180C"/>
    <w:rsid w:val="414144B0"/>
    <w:rsid w:val="42812E8D"/>
    <w:rsid w:val="42FC301C"/>
    <w:rsid w:val="49F17862"/>
    <w:rsid w:val="500B71A4"/>
    <w:rsid w:val="53815BD1"/>
    <w:rsid w:val="53C92399"/>
    <w:rsid w:val="54CD7FCD"/>
    <w:rsid w:val="553C2788"/>
    <w:rsid w:val="5A4C4C91"/>
    <w:rsid w:val="5BA2354F"/>
    <w:rsid w:val="5C1E0BC7"/>
    <w:rsid w:val="5C45079E"/>
    <w:rsid w:val="5DA46415"/>
    <w:rsid w:val="60650B72"/>
    <w:rsid w:val="61653AA8"/>
    <w:rsid w:val="64832640"/>
    <w:rsid w:val="64C62CF4"/>
    <w:rsid w:val="66763171"/>
    <w:rsid w:val="6703053B"/>
    <w:rsid w:val="6B43383E"/>
    <w:rsid w:val="6C0A7272"/>
    <w:rsid w:val="6C2D5008"/>
    <w:rsid w:val="6C356B41"/>
    <w:rsid w:val="6DF11F48"/>
    <w:rsid w:val="6ECB0D42"/>
    <w:rsid w:val="6F8F6D53"/>
    <w:rsid w:val="70C4348D"/>
    <w:rsid w:val="72CF1E90"/>
    <w:rsid w:val="74A516CC"/>
    <w:rsid w:val="78A316F6"/>
    <w:rsid w:val="7B4D3ED9"/>
    <w:rsid w:val="7C024A28"/>
    <w:rsid w:val="7D2B0D52"/>
    <w:rsid w:val="7E8D3ED0"/>
    <w:rsid w:val="7F6364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widowControl/>
      <w:spacing w:line="288" w:lineRule="atLeast"/>
      <w:jc w:val="left"/>
      <w:outlineLvl w:val="1"/>
    </w:pPr>
    <w:rPr>
      <w:rFonts w:ascii="微软雅黑" w:hAnsi="微软雅黑"/>
      <w:b/>
      <w:color w:val="auto"/>
      <w:sz w:val="32"/>
      <w:szCs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pPr>
  </w:style>
  <w:style w:type="paragraph" w:styleId="7">
    <w:name w:val="Title"/>
    <w:basedOn w:val="1"/>
    <w:next w:val="1"/>
    <w:qFormat/>
    <w:uiPriority w:val="10"/>
    <w:pPr>
      <w:jc w:val="center"/>
    </w:pPr>
    <w:rPr>
      <w:rFonts w:ascii="宋体"/>
      <w:b/>
      <w:kern w:val="0"/>
      <w:sz w:val="36"/>
      <w:szCs w:val="20"/>
    </w:rPr>
  </w:style>
  <w:style w:type="paragraph" w:styleId="8">
    <w:name w:val="Body Text Indent"/>
    <w:basedOn w:val="1"/>
    <w:next w:val="9"/>
    <w:qFormat/>
    <w:uiPriority w:val="99"/>
    <w:pPr>
      <w:spacing w:after="120"/>
      <w:ind w:left="420"/>
    </w:pPr>
  </w:style>
  <w:style w:type="paragraph" w:styleId="9">
    <w:name w:val="envelope return"/>
    <w:basedOn w:val="1"/>
    <w:qFormat/>
    <w:uiPriority w:val="0"/>
    <w:pPr>
      <w:snapToGrid w:val="0"/>
    </w:pPr>
    <w:rPr>
      <w:rFonts w:ascii="Arial" w:hAnsi="Arial" w:cs="Arial"/>
    </w:rPr>
  </w:style>
  <w:style w:type="paragraph" w:styleId="10">
    <w:name w:val="Plain Text"/>
    <w:basedOn w:val="1"/>
    <w:qFormat/>
    <w:uiPriority w:val="0"/>
    <w:pPr>
      <w:spacing w:line="360" w:lineRule="auto"/>
    </w:pPr>
    <w:rPr>
      <w:rFonts w:ascii="宋体" w:hAnsi="Courier New"/>
      <w:szCs w:val="20"/>
    </w:rPr>
  </w:style>
  <w:style w:type="paragraph" w:styleId="11">
    <w:name w:val="Balloon Text"/>
    <w:basedOn w:val="1"/>
    <w:link w:val="27"/>
    <w:qFormat/>
    <w:uiPriority w:val="0"/>
    <w:rPr>
      <w:sz w:val="18"/>
      <w:szCs w:val="18"/>
    </w:rPr>
  </w:style>
  <w:style w:type="paragraph" w:styleId="12">
    <w:name w:val="footer"/>
    <w:basedOn w:val="1"/>
    <w:link w:val="28"/>
    <w:qFormat/>
    <w:uiPriority w:val="0"/>
    <w:pPr>
      <w:tabs>
        <w:tab w:val="center" w:pos="4153"/>
        <w:tab w:val="right" w:pos="8306"/>
      </w:tabs>
      <w:snapToGrid w:val="0"/>
      <w:jc w:val="left"/>
    </w:pPr>
    <w:rPr>
      <w:sz w:val="18"/>
      <w:szCs w:val="18"/>
    </w:rPr>
  </w:style>
  <w:style w:type="paragraph" w:styleId="1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4">
    <w:name w:val="toc 2"/>
    <w:basedOn w:val="1"/>
    <w:next w:val="1"/>
    <w:qFormat/>
    <w:uiPriority w:val="39"/>
    <w:pPr>
      <w:ind w:left="210"/>
      <w:jc w:val="left"/>
    </w:pPr>
    <w:rPr>
      <w:smallCaps/>
      <w:sz w:val="20"/>
    </w:rPr>
  </w:style>
  <w:style w:type="paragraph" w:styleId="15">
    <w:name w:val="Normal (Web)"/>
    <w:basedOn w:val="1"/>
    <w:qFormat/>
    <w:uiPriority w:val="0"/>
    <w:rPr>
      <w:rFonts w:ascii="Times New Roman" w:hAnsi="Times New Roman"/>
      <w:sz w:val="24"/>
      <w:szCs w:val="24"/>
    </w:rPr>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character" w:styleId="20">
    <w:name w:val="annotation reference"/>
    <w:basedOn w:val="18"/>
    <w:qFormat/>
    <w:uiPriority w:val="0"/>
    <w:rPr>
      <w:sz w:val="21"/>
      <w:szCs w:val="21"/>
    </w:rPr>
  </w:style>
  <w:style w:type="paragraph" w:customStyle="1" w:styleId="21">
    <w:name w:val="列出段落1"/>
    <w:basedOn w:val="1"/>
    <w:qFormat/>
    <w:uiPriority w:val="0"/>
    <w:pPr>
      <w:widowControl/>
      <w:tabs>
        <w:tab w:val="left" w:pos="0"/>
      </w:tabs>
      <w:spacing w:line="360" w:lineRule="auto"/>
      <w:ind w:firstLine="400" w:firstLineChars="200"/>
      <w:jc w:val="center"/>
      <w:outlineLvl w:val="0"/>
    </w:pPr>
    <w:rPr>
      <w:rFonts w:ascii="Times New Roman" w:hAnsi="Times New Roman"/>
      <w:kern w:val="0"/>
      <w:sz w:val="20"/>
      <w:szCs w:val="20"/>
    </w:rPr>
  </w:style>
  <w:style w:type="paragraph" w:customStyle="1" w:styleId="22">
    <w:name w:val="正文表标题"/>
    <w:next w:val="23"/>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3">
    <w:name w:val="段"/>
    <w:qFormat/>
    <w:uiPriority w:val="0"/>
    <w:pPr>
      <w:ind w:firstLine="200" w:firstLineChars="200"/>
      <w:jc w:val="both"/>
    </w:pPr>
    <w:rPr>
      <w:rFonts w:ascii="宋体" w:hAnsi="Times New Roman" w:eastAsia="宋体" w:cs="Times New Roman"/>
      <w:sz w:val="21"/>
      <w:lang w:val="en-US" w:eastAsia="zh-CN" w:bidi="ar-SA"/>
    </w:rPr>
  </w:style>
  <w:style w:type="paragraph" w:styleId="24">
    <w:name w:val="List Paragraph"/>
    <w:basedOn w:val="1"/>
    <w:unhideWhenUsed/>
    <w:qFormat/>
    <w:uiPriority w:val="99"/>
    <w:pPr>
      <w:ind w:firstLine="420" w:firstLineChars="200"/>
    </w:pPr>
  </w:style>
  <w:style w:type="paragraph" w:customStyle="1" w:styleId="25">
    <w:name w:val="Body text|1"/>
    <w:basedOn w:val="1"/>
    <w:qFormat/>
    <w:uiPriority w:val="0"/>
    <w:pPr>
      <w:spacing w:line="360" w:lineRule="auto"/>
    </w:pPr>
    <w:rPr>
      <w:rFonts w:ascii="宋体" w:hAnsi="宋体" w:cs="宋体"/>
      <w:sz w:val="20"/>
      <w:szCs w:val="20"/>
      <w:lang w:val="zh-TW" w:eastAsia="zh-TW" w:bidi="zh-TW"/>
    </w:rPr>
  </w:style>
  <w:style w:type="paragraph" w:customStyle="1" w:styleId="26">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27">
    <w:name w:val="批注框文本 字符"/>
    <w:basedOn w:val="18"/>
    <w:link w:val="11"/>
    <w:qFormat/>
    <w:uiPriority w:val="0"/>
    <w:rPr>
      <w:rFonts w:ascii="Calibri" w:hAnsi="Calibri" w:eastAsia="宋体" w:cs="Times New Roman"/>
      <w:kern w:val="2"/>
      <w:sz w:val="18"/>
      <w:szCs w:val="18"/>
    </w:rPr>
  </w:style>
  <w:style w:type="character" w:customStyle="1" w:styleId="28">
    <w:name w:val="页脚 字符"/>
    <w:basedOn w:val="18"/>
    <w:link w:val="12"/>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2566</Words>
  <Characters>3054</Characters>
  <Lines>22</Lines>
  <Paragraphs>6</Paragraphs>
  <TotalTime>1</TotalTime>
  <ScaleCrop>false</ScaleCrop>
  <LinksUpToDate>false</LinksUpToDate>
  <CharactersWithSpaces>3104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2025-04-23T07:50:00Z</dcterms:created>
  <dc:creator>RxZc.</dc:creator>
  <cp:lastModifiedBy>9D0246C7C83A4F37B1D9855721669258</cp:lastModifiedBy>
  <cp:lastPrinted>2025-04-27T02:41:00Z</cp:lastPrinted>
  <dcterms:modified xsi:type="dcterms:W3CDTF">2026-07-21T00:52:24Z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126E5243D1AC4A6AA187A55DBF39A18A_13</vt:lpwstr>
  </property>
  <property fmtid="{D5CDD505-2E9C-101B-9397-08002B2CF9AE}" pid="4" name="KSOTemplateDocerSaveRecord">
    <vt:lpwstr>eyJoZGlkIjoiM2NhNDJkNDFkM2Q3Y2FjYTEwZjgwZTE1MDgwMDQ5MWMiLCJ1c2VySWQiOiIxMTY2OTIyMTE3In0=</vt:lpwstr>
  </property>
</Properties>
</file>