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kinsoku/>
        <w:autoSpaceDE/>
        <w:autoSpaceDN/>
        <w:adjustRightInd/>
        <w:snapToGrid/>
        <w:spacing w:before="156" w:line="240" w:lineRule="auto"/>
        <w:jc w:val="center"/>
        <w:textAlignment w:val="auto"/>
        <w:rPr>
          <w:rFonts w:hint="eastAsia" w:ascii="黑体" w:hAnsi="黑体" w:eastAsia="黑体" w:cs="黑体"/>
          <w:b w:val="0"/>
          <w:bCs w:val="0"/>
          <w:snapToGrid/>
          <w:color w:val="auto"/>
          <w:spacing w:val="0"/>
          <w:kern w:val="2"/>
          <w:sz w:val="36"/>
          <w:szCs w:val="36"/>
          <w:highlight w:val="none"/>
          <w:lang w:eastAsia="zh-CN"/>
        </w:rPr>
      </w:pPr>
      <w:bookmarkStart w:id="26" w:name="_GoBack"/>
      <w:bookmarkEnd w:id="26"/>
      <w:r>
        <w:rPr>
          <w:rFonts w:hint="eastAsia" w:ascii="黑体" w:hAnsi="黑体" w:eastAsia="黑体" w:cs="黑体"/>
          <w:b w:val="0"/>
          <w:bCs w:val="0"/>
          <w:snapToGrid/>
          <w:color w:val="auto"/>
          <w:spacing w:val="0"/>
          <w:kern w:val="2"/>
          <w:sz w:val="36"/>
          <w:szCs w:val="36"/>
          <w:highlight w:val="none"/>
          <w:lang w:eastAsia="zh-CN"/>
        </w:rPr>
        <w:t>南网人才发展中心</w:t>
      </w:r>
      <w:r>
        <w:rPr>
          <w:rFonts w:hint="eastAsia" w:ascii="黑体" w:hAnsi="黑体" w:eastAsia="黑体" w:cs="黑体"/>
          <w:b w:val="0"/>
          <w:bCs w:val="0"/>
          <w:snapToGrid/>
          <w:color w:val="auto"/>
          <w:spacing w:val="0"/>
          <w:kern w:val="2"/>
          <w:sz w:val="36"/>
          <w:szCs w:val="36"/>
          <w:highlight w:val="none"/>
          <w:lang w:eastAsia="zh-CN"/>
        </w:rPr>
        <w:t>教学楼二楼露台待建展厅结构鉴定技术要求</w:t>
      </w:r>
    </w:p>
    <w:p>
      <w:pPr>
        <w:spacing w:before="140" w:line="224" w:lineRule="auto"/>
        <w:ind w:left="2804"/>
        <w:rPr>
          <w:rFonts w:ascii="仿宋" w:hAnsi="仿宋" w:eastAsia="仿宋" w:cs="仿宋"/>
          <w:sz w:val="43"/>
          <w:szCs w:val="43"/>
        </w:rPr>
      </w:pP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一、项目基本情况</w:t>
      </w:r>
    </w:p>
    <w:p>
      <w:pPr>
        <w:keepNext w:val="0"/>
        <w:keepLines w:val="0"/>
        <w:pageBreakBefore w:val="0"/>
        <w:wordWrap/>
        <w:overflowPunct/>
        <w:topLinePunct w:val="0"/>
        <w:bidi w:val="0"/>
        <w:spacing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本次进行的房屋</w:t>
      </w:r>
      <w:bookmarkStart w:id="0" w:name="OLE_LINK2"/>
      <w:r>
        <w:rPr>
          <w:rFonts w:hint="eastAsia" w:ascii="仿宋_GB2312" w:hAnsi="宋体" w:eastAsia="仿宋_GB2312" w:cs="Times New Roman"/>
          <w:snapToGrid/>
          <w:color w:val="auto"/>
          <w:kern w:val="2"/>
          <w:sz w:val="32"/>
          <w:szCs w:val="32"/>
          <w:highlight w:val="none"/>
          <w:lang w:val="en-US" w:eastAsia="zh-CN" w:bidi="ar-SA"/>
        </w:rPr>
        <w:t>南网人才发展中心</w:t>
      </w:r>
      <w:bookmarkEnd w:id="0"/>
      <w:r>
        <w:rPr>
          <w:rFonts w:hint="eastAsia" w:ascii="仿宋_GB2312" w:hAnsi="宋体" w:eastAsia="仿宋_GB2312" w:cs="Times New Roman"/>
          <w:snapToGrid/>
          <w:color w:val="auto"/>
          <w:kern w:val="2"/>
          <w:sz w:val="32"/>
          <w:szCs w:val="32"/>
          <w:highlight w:val="none"/>
          <w:lang w:val="en-US" w:eastAsia="zh-CN" w:bidi="ar-SA"/>
        </w:rPr>
        <w:t>（广州市黄埔香山路2号）内166平米露台区域，鉴定区域为框架剪力墙结构。</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default"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二、检测鉴定目的及范围</w:t>
      </w:r>
    </w:p>
    <w:p>
      <w:pPr>
        <w:keepNext w:val="0"/>
        <w:keepLines w:val="0"/>
        <w:pageBreakBefore w:val="0"/>
        <w:wordWrap/>
        <w:overflowPunct/>
        <w:topLinePunct w:val="0"/>
        <w:bidi w:val="0"/>
        <w:spacing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现需在教学楼二楼露台加建一层轻钢结构（加建区域详见下图），为了解上述加建区域各直接相关联结构构件的安全状况及结构安全性是否满足安全使用要求，并为下一步的处理提供相关技术资料</w:t>
      </w:r>
      <w:r>
        <w:rPr>
          <w:rFonts w:hint="default" w:ascii="仿宋_GB2312" w:hAnsi="宋体" w:eastAsia="仿宋_GB2312" w:cs="Times New Roman"/>
          <w:snapToGrid/>
          <w:color w:val="auto"/>
          <w:kern w:val="2"/>
          <w:sz w:val="32"/>
          <w:szCs w:val="32"/>
          <w:highlight w:val="none"/>
          <w:lang w:val="en-US" w:eastAsia="zh-CN" w:bidi="ar-SA"/>
        </w:rPr>
        <w:t>和依据，</w:t>
      </w:r>
      <w:r>
        <w:rPr>
          <w:rFonts w:hint="eastAsia" w:ascii="仿宋_GB2312" w:hAnsi="宋体" w:eastAsia="仿宋_GB2312" w:cs="Times New Roman"/>
          <w:snapToGrid/>
          <w:color w:val="auto"/>
          <w:kern w:val="2"/>
          <w:sz w:val="32"/>
          <w:szCs w:val="32"/>
          <w:highlight w:val="none"/>
          <w:lang w:val="en-US" w:eastAsia="zh-CN" w:bidi="ar-SA"/>
        </w:rPr>
        <w:t>结合现场实际情况，本次鉴</w:t>
      </w:r>
      <w:r>
        <w:rPr>
          <w:rFonts w:hint="default" w:ascii="仿宋_GB2312" w:hAnsi="宋体" w:eastAsia="仿宋_GB2312" w:cs="Times New Roman"/>
          <w:snapToGrid/>
          <w:color w:val="auto"/>
          <w:kern w:val="2"/>
          <w:sz w:val="32"/>
          <w:szCs w:val="32"/>
          <w:highlight w:val="none"/>
          <w:lang w:val="en-US" w:eastAsia="zh-CN" w:bidi="ar-SA"/>
        </w:rPr>
        <w:t>定范围为</w:t>
      </w:r>
      <w:r>
        <w:rPr>
          <w:rFonts w:hint="eastAsia" w:ascii="仿宋_GB2312" w:hAnsi="宋体" w:eastAsia="仿宋_GB2312" w:cs="Times New Roman"/>
          <w:snapToGrid/>
          <w:color w:val="auto"/>
          <w:kern w:val="2"/>
          <w:sz w:val="32"/>
          <w:szCs w:val="32"/>
          <w:highlight w:val="none"/>
          <w:lang w:val="en-US" w:eastAsia="zh-CN" w:bidi="ar-SA"/>
        </w:rPr>
        <w:t>加建轻钢结构区域向四周扩大一跨</w:t>
      </w:r>
      <w:r>
        <w:rPr>
          <w:rFonts w:hint="default" w:ascii="仿宋_GB2312" w:hAnsi="宋体" w:eastAsia="仿宋_GB2312" w:cs="Times New Roman"/>
          <w:snapToGrid/>
          <w:color w:val="auto"/>
          <w:kern w:val="2"/>
          <w:sz w:val="32"/>
          <w:szCs w:val="32"/>
          <w:highlight w:val="none"/>
          <w:lang w:val="en-US" w:eastAsia="zh-CN" w:bidi="ar-SA"/>
        </w:rPr>
        <w:t>相关联</w:t>
      </w:r>
      <w:r>
        <w:rPr>
          <w:rFonts w:hint="eastAsia" w:ascii="仿宋_GB2312" w:hAnsi="宋体" w:eastAsia="仿宋_GB2312" w:cs="Times New Roman"/>
          <w:snapToGrid/>
          <w:color w:val="auto"/>
          <w:kern w:val="2"/>
          <w:sz w:val="32"/>
          <w:szCs w:val="32"/>
          <w:highlight w:val="none"/>
          <w:lang w:val="en-US" w:eastAsia="zh-CN" w:bidi="ar-SA"/>
        </w:rPr>
        <w:t>的混凝土柱、梁、板</w:t>
      </w:r>
      <w:r>
        <w:rPr>
          <w:rFonts w:hint="default" w:ascii="仿宋_GB2312" w:hAnsi="宋体" w:eastAsia="仿宋_GB2312" w:cs="Times New Roman"/>
          <w:snapToGrid/>
          <w:color w:val="auto"/>
          <w:kern w:val="2"/>
          <w:sz w:val="32"/>
          <w:szCs w:val="32"/>
          <w:highlight w:val="none"/>
          <w:lang w:val="en-US" w:eastAsia="zh-CN" w:bidi="ar-SA"/>
        </w:rPr>
        <w:t>构件</w:t>
      </w:r>
      <w:r>
        <w:rPr>
          <w:rFonts w:hint="eastAsia" w:ascii="仿宋_GB2312" w:hAnsi="宋体" w:eastAsia="仿宋_GB2312" w:cs="Times New Roman"/>
          <w:snapToGrid/>
          <w:color w:val="auto"/>
          <w:kern w:val="2"/>
          <w:sz w:val="32"/>
          <w:szCs w:val="32"/>
          <w:highlight w:val="none"/>
          <w:lang w:val="en-US" w:eastAsia="zh-CN" w:bidi="ar-SA"/>
        </w:rPr>
        <w:t>（以下简称“检测鉴定区域”）。</w:t>
      </w:r>
    </w:p>
    <w:p>
      <w:pPr>
        <w:keepNext w:val="0"/>
        <w:keepLines w:val="0"/>
        <w:pageBreakBefore w:val="0"/>
        <w:wordWrap/>
        <w:overflowPunct/>
        <w:topLinePunct w:val="0"/>
        <w:bidi w:val="0"/>
        <w:spacing w:line="240" w:lineRule="auto"/>
        <w:ind w:right="0"/>
        <w:jc w:val="both"/>
        <w:rPr>
          <w:rFonts w:hint="eastAsia" w:eastAsia="仿宋"/>
          <w:lang w:eastAsia="zh-CN"/>
        </w:rPr>
      </w:pPr>
      <w:r>
        <w:drawing>
          <wp:inline distT="0" distB="0" distL="114300" distR="114300">
            <wp:extent cx="5825490" cy="2483485"/>
            <wp:effectExtent l="0" t="0" r="1143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825490" cy="2483485"/>
                    </a:xfrm>
                    <a:prstGeom prst="rect">
                      <a:avLst/>
                    </a:prstGeom>
                    <a:noFill/>
                    <a:ln>
                      <a:noFill/>
                    </a:ln>
                  </pic:spPr>
                </pic:pic>
              </a:graphicData>
            </a:graphic>
          </wp:inline>
        </w:drawing>
      </w:r>
    </w:p>
    <w:p>
      <w:pPr>
        <w:keepNext w:val="0"/>
        <w:keepLines w:val="0"/>
        <w:pageBreakBefore w:val="0"/>
        <w:wordWrap/>
        <w:overflowPunct/>
        <w:topLinePunct w:val="0"/>
        <w:bidi w:val="0"/>
        <w:spacing w:line="560" w:lineRule="exact"/>
        <w:ind w:left="0" w:right="0" w:firstLine="640" w:firstLineChars="200"/>
        <w:jc w:val="center"/>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拟鉴定区域（图中红框范围内）</w:t>
      </w:r>
    </w:p>
    <w:p>
      <w:pPr>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outlineLvl w:val="9"/>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三、第三方鉴定机构资质要求</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仿宋_GB2312" w:hAnsi="宋体" w:eastAsia="仿宋_GB2312" w:cs="Times New Roman"/>
          <w:b w:val="0"/>
          <w:bCs w:val="0"/>
          <w:snapToGrid/>
          <w:color w:val="auto"/>
          <w:kern w:val="2"/>
          <w:sz w:val="32"/>
          <w:szCs w:val="32"/>
          <w:highlight w:val="none"/>
          <w:lang w:val="en-US" w:eastAsia="zh-CN" w:bidi="ar-SA"/>
        </w:rPr>
      </w:pPr>
      <w:r>
        <w:rPr>
          <w:rFonts w:hint="eastAsia" w:ascii="仿宋_GB2312" w:hAnsi="宋体" w:eastAsia="仿宋_GB2312" w:cs="Times New Roman"/>
          <w:b w:val="0"/>
          <w:bCs w:val="0"/>
          <w:snapToGrid/>
          <w:color w:val="auto"/>
          <w:kern w:val="2"/>
          <w:sz w:val="32"/>
          <w:szCs w:val="32"/>
          <w:highlight w:val="none"/>
          <w:lang w:val="en-US" w:eastAsia="zh-CN" w:bidi="ar-SA"/>
        </w:rPr>
        <w:t>本次结构鉴定工作必须由独立第三方专业机构实施，机构及人员需满足以下全部要求，采购方有权核验资质原件，资质不符、资料造假一律作废服务资格：</w:t>
      </w:r>
    </w:p>
    <w:p>
      <w:pPr>
        <w:keepNext w:val="0"/>
        <w:keepLines w:val="0"/>
        <w:pageBreakBefore w:val="0"/>
        <w:widowControl/>
        <w:numPr>
          <w:ilvl w:val="-1"/>
          <w:numId w:val="0"/>
        </w:numPr>
        <w:wordWrap/>
        <w:overflowPunct/>
        <w:topLinePunct w:val="0"/>
        <w:bidi w:val="0"/>
        <w:spacing w:after="0" w:line="560" w:lineRule="exact"/>
        <w:ind w:left="0" w:right="0" w:firstLine="643"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1、机构资质：</w:t>
      </w:r>
      <w:r>
        <w:rPr>
          <w:rFonts w:hint="eastAsia" w:ascii="仿宋_GB2312" w:hAnsi="宋体" w:eastAsia="仿宋_GB2312" w:cs="Times New Roman"/>
          <w:snapToGrid/>
          <w:color w:val="auto"/>
          <w:kern w:val="2"/>
          <w:sz w:val="32"/>
          <w:szCs w:val="32"/>
          <w:highlight w:val="none"/>
          <w:lang w:val="en-US" w:eastAsia="zh-CN" w:bidi="ar-SA"/>
        </w:rPr>
        <w:t>具有工商行政管理局核发的有效企业法人营业执照，同时具备以下资质：①质量技术监督部门颁发的CMA计量认证合格证书，且证书在有效期内；②建设行政主管部门颁发的建设工程质量检测机构资质证书（检测范围须包括主体结构工程现场检测），③广州市住房和城乡建设委员会备案并审核通过获得鉴定备案证书。</w:t>
      </w:r>
    </w:p>
    <w:p>
      <w:pPr>
        <w:keepNext w:val="0"/>
        <w:keepLines w:val="0"/>
        <w:pageBreakBefore w:val="0"/>
        <w:widowControl/>
        <w:numPr>
          <w:ilvl w:val="-1"/>
          <w:numId w:val="0"/>
        </w:numPr>
        <w:wordWrap/>
        <w:overflowPunct/>
        <w:topLinePunct w:val="0"/>
        <w:bidi w:val="0"/>
        <w:spacing w:after="0" w:line="560" w:lineRule="exact"/>
        <w:ind w:left="0" w:right="0" w:firstLine="643"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2、人员资质：</w:t>
      </w:r>
      <w:r>
        <w:rPr>
          <w:rFonts w:hint="eastAsia" w:ascii="仿宋_GB2312" w:hAnsi="宋体" w:eastAsia="仿宋_GB2312" w:cs="Times New Roman"/>
          <w:snapToGrid/>
          <w:color w:val="auto"/>
          <w:kern w:val="2"/>
          <w:sz w:val="32"/>
          <w:szCs w:val="32"/>
          <w:highlight w:val="none"/>
          <w:lang w:val="en-US" w:eastAsia="zh-CN" w:bidi="ar-SA"/>
        </w:rPr>
        <w:t>项目负责人应为具有高级工程师及二级注册结构工程师证书以上；需配备一名或以上具有中级工程师或二级注册结构工程师证书作为技术负责人，且技术负责人需配有省（市）鉴员证书。</w:t>
      </w:r>
    </w:p>
    <w:p>
      <w:pPr>
        <w:keepNext w:val="0"/>
        <w:keepLines w:val="0"/>
        <w:pageBreakBefore w:val="0"/>
        <w:numPr>
          <w:ilvl w:val="-1"/>
          <w:numId w:val="0"/>
        </w:numPr>
        <w:wordWrap/>
        <w:overflowPunct/>
        <w:topLinePunct w:val="0"/>
        <w:bidi w:val="0"/>
        <w:spacing w:after="0" w:line="560" w:lineRule="exact"/>
        <w:ind w:left="0" w:right="0" w:firstLine="643"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3、独立性要求：</w:t>
      </w:r>
      <w:r>
        <w:rPr>
          <w:rFonts w:hint="eastAsia" w:ascii="仿宋_GB2312" w:hAnsi="宋体" w:eastAsia="仿宋_GB2312" w:cs="Times New Roman"/>
          <w:snapToGrid/>
          <w:color w:val="auto"/>
          <w:kern w:val="2"/>
          <w:sz w:val="32"/>
          <w:szCs w:val="32"/>
          <w:highlight w:val="none"/>
          <w:lang w:val="en-US" w:eastAsia="zh-CN" w:bidi="ar-SA"/>
        </w:rPr>
        <w:t>机构与本项目建设、设计、施工、校方单位无任何隶属关系、利益关联，全程独立检测、独立验算、独立出具结论，对鉴定结果负责。</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四、本次检测鉴定的依据</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1.《建筑结构检测技术标准》（GB/T50344-2019）；</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2.《建筑变形测量规范》（JGJ8-2016）；</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3.《钻芯法检测混凝土强度技术规程》（JGJ/T384-2016）；</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4.《混凝土中钢筋检测技术规程》（JGJ/T152-2019）；</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5.《混凝土结构设计规范》GB50010-2010（2015版）；</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6.《建筑抗震设计规范》GB50011-2010（2016版）；</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7.《建筑地基基础设计规范》（GB50007-2011）；</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8.《建筑结构荷载规范》（GB50009-2012）；</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9.广东省《建筑结构荷载规范》（DBJ/T15-101-2022）；</w:t>
      </w:r>
    </w:p>
    <w:p>
      <w:pPr>
        <w:keepNext w:val="0"/>
        <w:keepLines w:val="0"/>
        <w:pageBreakBefore w:val="0"/>
        <w:widowControl w:val="0"/>
        <w:wordWrap/>
        <w:overflowPunct/>
        <w:topLinePunct w:val="0"/>
        <w:bidi w:val="0"/>
        <w:spacing w:line="560" w:lineRule="exact"/>
        <w:ind w:left="0" w:right="0" w:rightChars="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10.《民用建筑可靠性鉴定标准》（GB50292-2015）；</w:t>
      </w:r>
    </w:p>
    <w:p>
      <w:pPr>
        <w:keepNext w:val="0"/>
        <w:keepLines w:val="0"/>
        <w:pageBreakBefore w:val="0"/>
        <w:widowControl w:val="0"/>
        <w:wordWrap/>
        <w:overflowPunct/>
        <w:topLinePunct w:val="0"/>
        <w:bidi w:val="0"/>
        <w:spacing w:line="560" w:lineRule="exact"/>
        <w:ind w:left="0" w:right="0" w:rightChars="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11.《既有建筑鉴定与加固通用规范》GB55021-2021；</w:t>
      </w:r>
    </w:p>
    <w:p>
      <w:pPr>
        <w:keepNext w:val="0"/>
        <w:keepLines w:val="0"/>
        <w:pageBreakBefore w:val="0"/>
        <w:wordWrap/>
        <w:overflowPunct/>
        <w:topLinePunct w:val="0"/>
        <w:bidi w:val="0"/>
        <w:adjustRightInd w:val="0"/>
        <w:spacing w:line="560" w:lineRule="exact"/>
        <w:ind w:left="0" w:right="0" w:firstLine="640" w:firstLineChars="200"/>
        <w:textAlignment w:val="auto"/>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12.《建筑抗震鉴定标准》GB50023-2009；</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default"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13</w:t>
      </w:r>
      <w:r>
        <w:rPr>
          <w:rFonts w:hint="default" w:ascii="仿宋_GB2312" w:hAnsi="宋体" w:eastAsia="仿宋_GB2312" w:cs="Times New Roman"/>
          <w:snapToGrid/>
          <w:color w:val="auto"/>
          <w:kern w:val="2"/>
          <w:sz w:val="32"/>
          <w:szCs w:val="32"/>
          <w:highlight w:val="none"/>
          <w:lang w:val="en-US" w:eastAsia="zh-CN" w:bidi="ar-SA"/>
        </w:rPr>
        <w:t>.</w:t>
      </w:r>
      <w:r>
        <w:rPr>
          <w:rFonts w:hint="eastAsia" w:ascii="仿宋_GB2312" w:hAnsi="宋体" w:eastAsia="仿宋_GB2312" w:cs="Times New Roman"/>
          <w:snapToGrid/>
          <w:color w:val="auto"/>
          <w:kern w:val="2"/>
          <w:sz w:val="32"/>
          <w:szCs w:val="32"/>
          <w:highlight w:val="none"/>
          <w:lang w:val="en-US" w:eastAsia="zh-CN" w:bidi="ar-SA"/>
        </w:rPr>
        <w:t>委托单位提供的相关技术资料及其它相关技术标准。</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五、工作内容及其相应方法</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1、房屋的图纸资料情况调查</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①原设计图纸资料调查：调查房屋原建筑、结构设计图纸及验收资料，了解房屋的相关设计参数和设计依据，如设计时间、结构型式、材料强度、设计使用荷载等。</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②调查了解房屋的使用历史：调查了解该部分房屋曾经的使用用途、荷载使用情况及是否进行过加固改造等。</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2、房屋结构构件工作状况全面调查</w:t>
      </w:r>
      <w:r>
        <w:rPr>
          <w:rFonts w:hint="eastAsia" w:ascii="仿宋_GB2312" w:hAnsi="宋体" w:eastAsia="仿宋_GB2312" w:cs="Times New Roman"/>
          <w:b/>
          <w:bCs/>
          <w:snapToGrid/>
          <w:color w:val="auto"/>
          <w:kern w:val="2"/>
          <w:sz w:val="32"/>
          <w:szCs w:val="32"/>
          <w:highlight w:val="none"/>
          <w:lang w:val="en-US" w:eastAsia="zh-CN" w:bidi="ar-SA"/>
        </w:rPr>
        <w:tab/>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采用目测，并利用小锤、卷尺、裂缝放大镜等工具，对该检测鉴定区域结构构件现时的工作状况进行全面的调查，如结构构件的开裂、变形、渗漏、钢筋锈蚀、混凝土保护层剥落等。</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3、房屋图纸测绘</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采用激光测距仪、皮尺、卷尺等工具对检测鉴定区域的轴网尺寸、层高、结构布置及钢筋混凝土构件的截面尺寸等物理参数进行全面测量，绘制该房屋结构平面布置图并与原结构图纸复核。</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4、材料强度检测</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采用现场钻芯取样法对检测鉴定区域钢筋混凝土构件进行抽样，检测混凝土强度，并按相关标准规范对检测结果进行分析评定，拟检测数量参照《建筑结构检测技术标准》（GB/T50344-2019）及现场实际情况综合考虑。</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5、钢筋配置检测</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采用无损的电磁感应法对该检测鉴定区域钢筋混凝土构件的钢筋配置情况进行检测，检测内容为钢筋混凝土柱箍筋、纵筋，梁底筋、箍筋，板底筋，包括钢筋的类别、数量、直径、分布、保护层厚度等，并局部采用人工开凿进行验证。</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6、垂直度检测</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①检查房屋地基基础是否有沉降、塌陷、开裂等损坏现象。</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②采用全站仪，对房屋整体的垂直度进行检测，测量部位为房屋部分外墙角，评定地基基础的工作状况。</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7、结构承载力验算</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根据现场实际检测结果，结合提供的改造方案对检测鉴定区域进行pkpm建模，并依据国家现行建筑结构设计规范，对房屋检测鉴定区域现时结构构件的承载能力进行验算，评定其是否满足国家规范及使用要求。</w:t>
      </w:r>
    </w:p>
    <w:p>
      <w:pPr>
        <w:keepNext w:val="0"/>
        <w:keepLines w:val="0"/>
        <w:pageBreakBefore w:val="0"/>
        <w:wordWrap/>
        <w:overflowPunct/>
        <w:topLinePunct w:val="0"/>
        <w:bidi w:val="0"/>
        <w:spacing w:after="0" w:line="560" w:lineRule="exact"/>
        <w:ind w:left="0" w:right="0" w:firstLine="643" w:firstLineChars="200"/>
        <w:jc w:val="both"/>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8、改造可行性检测鉴定报告编写</w:t>
      </w:r>
    </w:p>
    <w:p>
      <w:pPr>
        <w:keepNext w:val="0"/>
        <w:keepLines w:val="0"/>
        <w:pageBreakBefore w:val="0"/>
        <w:wordWrap/>
        <w:overflowPunct/>
        <w:topLinePunct w:val="0"/>
        <w:bidi w:val="0"/>
        <w:spacing w:after="0"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综合上述检查、检测情况及验算结果，依据《民用建筑可靠性鉴定标准》（GB50292-2015）；《既有建筑鉴定与加固通用规范》GB55021-2021，对检测鉴定区域内房屋改造后结构构件的安全性进行分析评定，出具改造可行性检测鉴定报告，并对不满足国家规范要求及使用要求的构件提出相应的处理建议。</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六、拟投入的仪器设备</w:t>
      </w:r>
    </w:p>
    <w:p>
      <w:pPr>
        <w:keepNext w:val="0"/>
        <w:keepLines w:val="0"/>
        <w:pageBreakBefore w:val="0"/>
        <w:wordWrap/>
        <w:overflowPunct/>
        <w:topLinePunct w:val="0"/>
        <w:bidi w:val="0"/>
        <w:spacing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1.激光测距仪；</w:t>
      </w:r>
    </w:p>
    <w:p>
      <w:pPr>
        <w:keepNext w:val="0"/>
        <w:keepLines w:val="0"/>
        <w:pageBreakBefore w:val="0"/>
        <w:wordWrap/>
        <w:overflowPunct/>
        <w:topLinePunct w:val="0"/>
        <w:bidi w:val="0"/>
        <w:spacing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2.混凝土取芯机；</w:t>
      </w:r>
    </w:p>
    <w:p>
      <w:pPr>
        <w:keepNext w:val="0"/>
        <w:keepLines w:val="0"/>
        <w:pageBreakBefore w:val="0"/>
        <w:wordWrap/>
        <w:overflowPunct/>
        <w:topLinePunct w:val="0"/>
        <w:bidi w:val="0"/>
        <w:spacing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3.钢筋探测仪；</w:t>
      </w:r>
    </w:p>
    <w:p>
      <w:pPr>
        <w:keepNext w:val="0"/>
        <w:keepLines w:val="0"/>
        <w:pageBreakBefore w:val="0"/>
        <w:wordWrap/>
        <w:overflowPunct/>
        <w:topLinePunct w:val="0"/>
        <w:bidi w:val="0"/>
        <w:spacing w:line="560" w:lineRule="exact"/>
        <w:ind w:left="0" w:right="0" w:firstLine="640" w:firstLineChars="200"/>
        <w:jc w:val="both"/>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4.全站仪、线锤、钢尺、卷尺、游标卡尺等。</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七、针对本次工作进度安排</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在提供具备现场工作的条件及提供相关资料前提下：本次房屋检测鉴定总工期约为15个工作日，其中现场检查检测2～3个工作日，混凝土芯样试压5个工作日，检测数据分析、计算及鉴定报告编写、审核7个工作日。</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八、服务费用及付款方式</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1.服务费用：</w:t>
      </w:r>
    </w:p>
    <w:p>
      <w:pPr>
        <w:pStyle w:val="4"/>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参考《广东省物价局关于我省建筑工程质量检测收费问题的复函》（粤价函〔2008〕77号）及《关于印发〈广东省房屋建筑和市政工程质量安全检测收费指导价（第一批）〉和〈广东省既有建筑安全性鉴定收费指导价〉的通知》（粤建检协[2015]8号）的相关规定并</w:t>
      </w:r>
      <w:bookmarkStart w:id="1" w:name="OLE_LINK1"/>
      <w:r>
        <w:rPr>
          <w:rFonts w:hint="eastAsia" w:ascii="仿宋_GB2312" w:hAnsi="宋体" w:eastAsia="仿宋_GB2312" w:cs="Times New Roman"/>
          <w:snapToGrid/>
          <w:color w:val="auto"/>
          <w:kern w:val="2"/>
          <w:sz w:val="32"/>
          <w:szCs w:val="32"/>
          <w:highlight w:val="none"/>
          <w:lang w:val="en-US" w:eastAsia="zh-CN" w:bidi="ar-SA"/>
        </w:rPr>
        <w:t>结合本项目的具体情况</w:t>
      </w:r>
      <w:bookmarkEnd w:id="1"/>
      <w:r>
        <w:rPr>
          <w:rFonts w:hint="eastAsia" w:ascii="仿宋_GB2312" w:hAnsi="宋体" w:eastAsia="仿宋_GB2312" w:cs="Times New Roman"/>
          <w:snapToGrid/>
          <w:color w:val="auto"/>
          <w:kern w:val="2"/>
          <w:sz w:val="32"/>
          <w:szCs w:val="32"/>
          <w:highlight w:val="none"/>
          <w:lang w:val="en-US" w:eastAsia="zh-CN" w:bidi="ar-SA"/>
        </w:rPr>
        <w:t>，本次检测鉴定技术服务费结合本项目的具体情况收取。</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2.支付方式。</w:t>
      </w:r>
    </w:p>
    <w:p>
      <w:pPr>
        <w:pStyle w:val="4"/>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乙方提供正式版纸质报告及发票后甲方在五个工作日内一次性支付全部费用。</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九、需委托方配合的工作</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1、提供该房屋的相关图纸资料（建筑、结构图）；</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2、提供检测用的水电及人字梯或脚手架，高度以人站在上面能够到天花板底为准；</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3、现场需有专人负责协调，提供现场的工作条件；</w:t>
      </w:r>
    </w:p>
    <w:p>
      <w:pPr>
        <w:keepNext w:val="0"/>
        <w:keepLines w:val="0"/>
        <w:pageBreakBefore w:val="0"/>
        <w:wordWrap/>
        <w:overflowPunct/>
        <w:topLinePunct w:val="0"/>
        <w:bidi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4、负责检测后的破损修复。</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default" w:ascii="黑体" w:hAnsi="黑体" w:eastAsia="黑体" w:cs="黑体"/>
          <w:b w:val="0"/>
          <w:bCs/>
          <w:snapToGrid/>
          <w:color w:val="auto"/>
          <w:kern w:val="0"/>
          <w:sz w:val="32"/>
          <w:szCs w:val="32"/>
          <w:highlight w:val="none"/>
          <w:lang w:val="en-US" w:eastAsia="zh-CN"/>
        </w:rPr>
      </w:pPr>
      <w:bookmarkStart w:id="2" w:name="_Toc15890"/>
      <w:bookmarkStart w:id="3" w:name="_Toc15383"/>
      <w:bookmarkStart w:id="4" w:name="_Toc4174"/>
      <w:bookmarkStart w:id="5" w:name="_Toc21810"/>
      <w:bookmarkStart w:id="6" w:name="_Toc11688"/>
      <w:bookmarkStart w:id="7" w:name="_Toc18962"/>
      <w:bookmarkStart w:id="8" w:name="_Toc13235"/>
      <w:r>
        <w:rPr>
          <w:rFonts w:hint="eastAsia" w:ascii="黑体" w:hAnsi="黑体" w:eastAsia="黑体" w:cs="黑体"/>
          <w:b w:val="0"/>
          <w:bCs/>
          <w:snapToGrid/>
          <w:color w:val="auto"/>
          <w:kern w:val="0"/>
          <w:sz w:val="32"/>
          <w:szCs w:val="32"/>
          <w:highlight w:val="none"/>
          <w:lang w:val="en-US" w:eastAsia="zh-CN"/>
        </w:rPr>
        <w:t>十、检测机构责任</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1、按国家、地方的有关技术规范和甲方的要求，完成本合同第五条约定技术服务；</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2、自备检测鉴定需要的各类仪器设备；</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3、按约定时间向甲方提交一式贰份鉴定报告，报告需符合国家规范并加盖乙方资质章，并对报告真实性负责；</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4、对检测数据及报告内容保密，未经同意不得向第三方披露。</w:t>
      </w:r>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十一、安全保证措施</w:t>
      </w:r>
      <w:bookmarkEnd w:id="2"/>
      <w:bookmarkEnd w:id="3"/>
      <w:bookmarkEnd w:id="4"/>
      <w:bookmarkEnd w:id="5"/>
      <w:bookmarkEnd w:id="6"/>
      <w:bookmarkEnd w:id="7"/>
      <w:bookmarkEnd w:id="8"/>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1.建立健全的鉴定安全管理体系，实行安全责任人制度，项目负责人为鉴定安全的第一责任人。</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2.坚持全员的安全教育，努力增强全员的安全意识，掌握必要的安全知识，提高自我保护能力。</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3.进行安全技术交底，开展鉴定工作前，均由技术负责人组织对各技术人员进行安全技术交底，并提出安全技术要求及安全注意事项。</w:t>
      </w:r>
    </w:p>
    <w:p>
      <w:pPr>
        <w:keepNext w:val="0"/>
        <w:keepLines w:val="0"/>
        <w:pageBreakBefore w:val="0"/>
        <w:wordWrap/>
        <w:overflowPunct/>
        <w:topLinePunct w:val="0"/>
        <w:bidi w:val="0"/>
        <w:adjustRightInd w:val="0"/>
        <w:snapToGrid w:val="0"/>
        <w:spacing w:line="560" w:lineRule="exact"/>
        <w:ind w:left="0" w:right="0" w:firstLine="640" w:firstLineChars="200"/>
        <w:outlineLvl w:val="9"/>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4.在鉴定工作中，认真执行广东省颁发的有关用电、防霉、防滑、防雨、防暑降温和防毒等安全措施。</w:t>
      </w:r>
      <w:bookmarkStart w:id="9" w:name="_Toc19743"/>
      <w:bookmarkStart w:id="10" w:name="_Toc31571"/>
      <w:bookmarkStart w:id="11" w:name="_Toc24196"/>
      <w:bookmarkStart w:id="12" w:name="_Toc14867"/>
      <w:bookmarkStart w:id="13" w:name="_Toc14877"/>
    </w:p>
    <w:p>
      <w:pPr>
        <w:pStyle w:val="2"/>
        <w:keepNext w:val="0"/>
        <w:keepLines w:val="0"/>
        <w:pageBreakBefore w:val="0"/>
        <w:widowControl/>
        <w:kinsoku/>
        <w:wordWrap/>
        <w:overflowPunct/>
        <w:topLinePunct w:val="0"/>
        <w:autoSpaceDE/>
        <w:autoSpaceDN/>
        <w:bidi w:val="0"/>
        <w:adjustRightInd/>
        <w:snapToGrid/>
        <w:spacing w:before="0" w:after="0" w:line="560" w:lineRule="exact"/>
        <w:ind w:left="0" w:leftChars="0" w:right="0" w:rightChars="0" w:firstLine="640" w:firstLineChars="200"/>
        <w:jc w:val="left"/>
        <w:textAlignment w:val="auto"/>
        <w:rPr>
          <w:rFonts w:hint="eastAsia" w:ascii="黑体" w:hAnsi="黑体" w:eastAsia="黑体" w:cs="黑体"/>
          <w:b w:val="0"/>
          <w:bCs/>
          <w:snapToGrid/>
          <w:color w:val="auto"/>
          <w:kern w:val="0"/>
          <w:sz w:val="32"/>
          <w:szCs w:val="32"/>
          <w:highlight w:val="none"/>
          <w:lang w:val="en-US" w:eastAsia="zh-CN"/>
        </w:rPr>
      </w:pPr>
      <w:bookmarkStart w:id="14" w:name="_Toc30718"/>
      <w:bookmarkStart w:id="15" w:name="_Toc19262"/>
      <w:bookmarkStart w:id="16" w:name="_Toc23995"/>
      <w:bookmarkStart w:id="17" w:name="_Toc31348"/>
      <w:bookmarkStart w:id="18" w:name="_Toc16077"/>
      <w:bookmarkStart w:id="19" w:name="_Toc20792"/>
      <w:bookmarkStart w:id="20" w:name="_Toc10678"/>
      <w:r>
        <w:rPr>
          <w:rFonts w:hint="eastAsia" w:ascii="黑体" w:hAnsi="黑体" w:eastAsia="黑体" w:cs="黑体"/>
          <w:b w:val="0"/>
          <w:bCs/>
          <w:snapToGrid/>
          <w:color w:val="auto"/>
          <w:kern w:val="0"/>
          <w:sz w:val="32"/>
          <w:szCs w:val="32"/>
          <w:highlight w:val="none"/>
          <w:lang w:val="en-US" w:eastAsia="zh-CN"/>
        </w:rPr>
        <w:t>十二、</w:t>
      </w:r>
      <w:bookmarkEnd w:id="9"/>
      <w:bookmarkEnd w:id="10"/>
      <w:bookmarkEnd w:id="11"/>
      <w:bookmarkEnd w:id="12"/>
      <w:bookmarkEnd w:id="13"/>
      <w:bookmarkStart w:id="21" w:name="_Toc2761"/>
      <w:bookmarkStart w:id="22" w:name="_Toc6132"/>
      <w:bookmarkStart w:id="23" w:name="_Toc221"/>
      <w:bookmarkStart w:id="24" w:name="_Toc1151"/>
      <w:bookmarkStart w:id="25" w:name="_Toc30294"/>
      <w:r>
        <w:rPr>
          <w:rFonts w:hint="eastAsia" w:ascii="黑体" w:hAnsi="黑体" w:eastAsia="黑体" w:cs="黑体"/>
          <w:b w:val="0"/>
          <w:bCs/>
          <w:snapToGrid/>
          <w:color w:val="auto"/>
          <w:kern w:val="0"/>
          <w:sz w:val="32"/>
          <w:szCs w:val="32"/>
          <w:highlight w:val="none"/>
          <w:lang w:val="en-US" w:eastAsia="zh-CN"/>
        </w:rPr>
        <w:t>质量保证措施</w:t>
      </w:r>
      <w:bookmarkEnd w:id="14"/>
      <w:bookmarkEnd w:id="15"/>
      <w:bookmarkEnd w:id="16"/>
      <w:bookmarkEnd w:id="17"/>
      <w:bookmarkEnd w:id="18"/>
      <w:bookmarkEnd w:id="19"/>
      <w:bookmarkEnd w:id="20"/>
      <w:bookmarkEnd w:id="21"/>
      <w:bookmarkEnd w:id="22"/>
      <w:bookmarkEnd w:id="23"/>
      <w:bookmarkEnd w:id="24"/>
      <w:bookmarkEnd w:id="25"/>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1.从人员配备、培训组织上保证：抽调精干人员，组成检测鉴定项目小组，并在检测鉴定工作开始前，对参加本次鉴定工作的人员进行技术培训，以保证鉴定工作的质量，务求达到做好这次鉴定的目的。</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从计划安排上保证：按照实际项目需求，精心制定检测鉴定工作计划和具体实施方案，合理安排各项工作顺序，确保检测鉴定工作完成时间，充分利用有利条件和时间，从各个环节上加快确保本次检测鉴定工作质量和进度，确保总体鉴定工作按时完成。</w:t>
      </w:r>
    </w:p>
    <w:p>
      <w:pPr>
        <w:keepNext w:val="0"/>
        <w:keepLines w:val="0"/>
        <w:pageBreakBefore w:val="0"/>
        <w:wordWrap/>
        <w:overflowPunct/>
        <w:topLinePunct w:val="0"/>
        <w:bidi w:val="0"/>
        <w:adjustRightInd w:val="0"/>
        <w:snapToGrid w:val="0"/>
        <w:spacing w:line="560" w:lineRule="exact"/>
        <w:ind w:left="0" w:right="0" w:firstLine="640" w:firstLineChars="200"/>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从技术上保证：本次鉴定工作由项目负责人及技术负责人全面负责技术和质量管理，负责制定专项检测鉴定工作方案，及时解决检测鉴定中出现的问题，并将相关情况及时与采购方联系沟通，防止出现突发事件引起问题造成不良影响。</w:t>
      </w:r>
    </w:p>
    <w:p>
      <w:pPr>
        <w:keepNext w:val="0"/>
        <w:keepLines w:val="0"/>
        <w:pageBreakBefore w:val="0"/>
        <w:wordWrap/>
        <w:overflowPunct/>
        <w:topLinePunct w:val="0"/>
        <w:bidi w:val="0"/>
        <w:adjustRightInd w:val="0"/>
        <w:snapToGrid w:val="0"/>
        <w:spacing w:line="560" w:lineRule="exact"/>
        <w:ind w:left="0" w:right="0" w:firstLine="640" w:firstLineChars="200"/>
        <w:sectPr>
          <w:headerReference r:id="rId5" w:type="default"/>
          <w:footerReference r:id="rId6" w:type="default"/>
          <w:pgSz w:w="11906" w:h="16839"/>
          <w:pgMar w:top="1440" w:right="1800" w:bottom="1440" w:left="1800" w:header="0" w:footer="987" w:gutter="0"/>
          <w:pgNumType w:fmt="decimal"/>
          <w:cols w:space="720" w:num="1"/>
        </w:sectPr>
      </w:pPr>
      <w:r>
        <w:rPr>
          <w:rFonts w:hint="eastAsia" w:ascii="仿宋_GB2312" w:hAnsi="宋体" w:eastAsia="仿宋_GB2312" w:cs="Times New Roman"/>
          <w:snapToGrid/>
          <w:color w:val="auto"/>
          <w:kern w:val="2"/>
          <w:sz w:val="32"/>
          <w:szCs w:val="32"/>
          <w:highlight w:val="none"/>
          <w:lang w:val="en-US" w:eastAsia="zh-CN" w:bidi="ar-SA"/>
        </w:rPr>
        <w:t>4.从制度上保证：本次检测鉴定工作由项目负责人全面协调指挥，并建立严格的工作制度，落实工作责任制，将任务落实到班组，将责任落实到人，做到定岗、定人、定责、定时、定量。</w:t>
      </w:r>
    </w:p>
    <w:p>
      <w:pPr>
        <w:rPr>
          <w:rFonts w:hint="eastAsia" w:eastAsia="宋体"/>
          <w:lang w:val="en-US" w:eastAsia="zh-CN"/>
        </w:rPr>
      </w:pPr>
    </w:p>
    <w:sectPr>
      <w:footerReference r:id="rId7" w:type="default"/>
      <w:pgSz w:w="11906" w:h="16839"/>
      <w:pgMar w:top="400" w:right="1571" w:bottom="1150" w:left="1416" w:header="0" w:footer="98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99"/>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499"/>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mQyNTU5ZTAyNjE2N2QxMWQ5OTcxNjk1YTgzMDc1MjYifQ=="/>
  </w:docVars>
  <w:rsids>
    <w:rsidRoot w:val="00000000"/>
    <w:rsid w:val="044C5B35"/>
    <w:rsid w:val="08280192"/>
    <w:rsid w:val="09AC74A6"/>
    <w:rsid w:val="0A763B00"/>
    <w:rsid w:val="15D974B7"/>
    <w:rsid w:val="16992946"/>
    <w:rsid w:val="16C65BB5"/>
    <w:rsid w:val="17A150A0"/>
    <w:rsid w:val="194E2B34"/>
    <w:rsid w:val="1EE6018D"/>
    <w:rsid w:val="1F4A2CE5"/>
    <w:rsid w:val="26506B67"/>
    <w:rsid w:val="281D62A2"/>
    <w:rsid w:val="308B0B28"/>
    <w:rsid w:val="31AD7DF1"/>
    <w:rsid w:val="37537F32"/>
    <w:rsid w:val="3F376832"/>
    <w:rsid w:val="46737C29"/>
    <w:rsid w:val="4B3C446B"/>
    <w:rsid w:val="4D872A37"/>
    <w:rsid w:val="518F07D2"/>
    <w:rsid w:val="581B5E45"/>
    <w:rsid w:val="5E604BDD"/>
    <w:rsid w:val="6709431D"/>
    <w:rsid w:val="68CE1045"/>
    <w:rsid w:val="69CC6E5D"/>
    <w:rsid w:val="6CC02E32"/>
    <w:rsid w:val="6EFF4CF5"/>
    <w:rsid w:val="78D336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1"/>
    <w:pPr>
      <w:spacing w:before="1"/>
      <w:ind w:left="115"/>
      <w:outlineLvl w:val="1"/>
    </w:pPr>
    <w:rPr>
      <w:rFonts w:ascii="仿宋" w:hAnsi="仿宋" w:eastAsia="仿宋" w:cs="仿宋"/>
      <w:b/>
      <w:bCs/>
      <w:sz w:val="30"/>
      <w:szCs w:val="3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_Style 1"/>
    <w:basedOn w:val="1"/>
    <w:qFormat/>
    <w:uiPriority w:val="99"/>
    <w:pPr>
      <w:widowControl w:val="0"/>
      <w:spacing w:after="0"/>
      <w:ind w:firstLine="420" w:firstLineChars="20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3046</Words>
  <Characters>3269</Characters>
  <TotalTime>1</TotalTime>
  <ScaleCrop>false</ScaleCrop>
  <LinksUpToDate>false</LinksUpToDate>
  <CharactersWithSpaces>3297</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2025-12-30T17:09:00Z</dcterms:created>
  <dc:creator>麦文杰</dc:creator>
  <cp:lastModifiedBy>56213_sz</cp:lastModifiedBy>
  <cp:lastPrinted>2026-07-20T08:51:00Z</cp:lastPrinted>
  <dcterms:modified xsi:type="dcterms:W3CDTF">2026-07-20T09:09:45Z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2025-12-30T17:14:11Z</vt:filetime>
  </property>
  <property fmtid="{D5CDD505-2E9C-101B-9397-08002B2CF9AE}" pid="4" name="KSOTemplateDocerSaveRecord">
    <vt:lpwstr>eyJoZGlkIjoiYjFlOGMyODk2ZmViMGFkODFlYzkzOTAxOTI1OWEyMGUiLCJ1c2VySWQiOiIyODk2MzU1NDQifQ==</vt:lpwstr>
  </property>
  <property fmtid="{D5CDD505-2E9C-101B-9397-08002B2CF9AE}" pid="5" name="KSOProductBuildVer">
    <vt:lpwstr>2052-11.8.2.12309</vt:lpwstr>
  </property>
  <property fmtid="{D5CDD505-2E9C-101B-9397-08002B2CF9AE}" pid="6" name="ICV">
    <vt:lpwstr>71BDF2D2D4814003ACC12D288E3BF5CA_12</vt:lpwstr>
  </property>
</Properties>
</file>