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C1A2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_GBK" w:hAnsi="方正小标宋_GBK" w:eastAsia="方正小标宋_GBK" w:cs="方正小标宋_GBK"/>
          <w:b w:val="0"/>
          <w:bCs/>
          <w:sz w:val="40"/>
          <w:szCs w:val="40"/>
          <w:lang w:val="en-US" w:eastAsia="zh-CN"/>
        </w:rPr>
      </w:pPr>
      <w:r>
        <w:rPr>
          <w:rFonts w:hint="eastAsia" w:ascii="方正小标宋_GBK" w:hAnsi="方正小标宋_GBK" w:eastAsia="方正小标宋_GBK" w:cs="方正小标宋_GBK"/>
          <w:b w:val="0"/>
          <w:bCs/>
          <w:sz w:val="40"/>
          <w:szCs w:val="40"/>
        </w:rPr>
        <w:t>南方电网产业发展集团有限责任公司青年素质户外拓展项目零星采购</w:t>
      </w:r>
      <w:r>
        <w:rPr>
          <w:rFonts w:hint="eastAsia" w:ascii="方正小标宋_GBK" w:hAnsi="方正小标宋_GBK" w:eastAsia="方正小标宋_GBK" w:cs="方正小标宋_GBK"/>
          <w:b w:val="0"/>
          <w:bCs/>
          <w:sz w:val="40"/>
          <w:szCs w:val="40"/>
          <w:lang w:val="en-US" w:eastAsia="zh-CN"/>
        </w:rPr>
        <w:t>综合最优评分说明</w:t>
      </w:r>
    </w:p>
    <w:p w14:paraId="29570784">
      <w:pPr>
        <w:adjustRightInd w:val="0"/>
        <w:snapToGrid w:val="0"/>
        <w:spacing w:before="156" w:beforeLines="50" w:line="300" w:lineRule="auto"/>
        <w:jc w:val="left"/>
        <w:outlineLvl w:val="0"/>
        <w:rPr>
          <w:rFonts w:hint="eastAsia" w:ascii="宋体" w:hAnsi="宋体" w:eastAsia="宋体" w:cs="宋体"/>
          <w:kern w:val="0"/>
          <w:sz w:val="24"/>
          <w:szCs w:val="24"/>
          <w:highlight w:val="none"/>
          <w:lang w:val="en-US" w:eastAsia="zh-CN" w:bidi="ar-SA"/>
        </w:rPr>
      </w:pPr>
    </w:p>
    <w:p w14:paraId="093CCDB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eastAsia" w:asciiTheme="minorEastAsia" w:hAnsiTheme="minorEastAsia" w:eastAsiaTheme="minorEastAsia" w:cstheme="minorEastAsia"/>
          <w:kern w:val="0"/>
          <w:sz w:val="24"/>
          <w:szCs w:val="24"/>
          <w:highlight w:val="none"/>
          <w:lang w:val="en-US" w:eastAsia="zh-CN" w:bidi="ar-SA"/>
        </w:rPr>
      </w:pPr>
      <w:r>
        <w:rPr>
          <w:rFonts w:hint="eastAsia" w:asciiTheme="minorEastAsia" w:hAnsiTheme="minorEastAsia" w:eastAsiaTheme="minorEastAsia" w:cstheme="minorEastAsia"/>
          <w:kern w:val="0"/>
          <w:sz w:val="24"/>
          <w:szCs w:val="24"/>
          <w:highlight w:val="none"/>
          <w:lang w:val="en-US" w:eastAsia="zh-CN" w:bidi="ar-SA"/>
        </w:rPr>
        <w:t>南方电网产业发展集团有限责任公司青年素质户外拓展项目零星采购选择综合最优者中标，为进一步明确项目综合最优评分标准，特此说明规则：</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4536"/>
        <w:gridCol w:w="1134"/>
      </w:tblGrid>
      <w:tr w14:paraId="3B9A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14:paraId="0223BD24">
            <w:pPr>
              <w:spacing w:line="400" w:lineRule="exact"/>
              <w:jc w:val="center"/>
            </w:pPr>
            <w:r>
              <w:rPr>
                <w:b/>
              </w:rPr>
              <w:t>序号</w:t>
            </w:r>
          </w:p>
        </w:tc>
        <w:tc>
          <w:tcPr>
            <w:tcW w:w="1701" w:type="dxa"/>
            <w:vAlign w:val="center"/>
          </w:tcPr>
          <w:p w14:paraId="51DEE670">
            <w:pPr>
              <w:spacing w:line="400" w:lineRule="exact"/>
              <w:jc w:val="center"/>
            </w:pPr>
            <w:r>
              <w:rPr>
                <w:b/>
              </w:rPr>
              <w:t>详细评审项</w:t>
            </w:r>
          </w:p>
        </w:tc>
        <w:tc>
          <w:tcPr>
            <w:tcW w:w="4536" w:type="dxa"/>
            <w:vAlign w:val="center"/>
          </w:tcPr>
          <w:p w14:paraId="4602DD60">
            <w:pPr>
              <w:spacing w:line="400" w:lineRule="exact"/>
              <w:jc w:val="center"/>
            </w:pPr>
            <w:r>
              <w:rPr>
                <w:b/>
              </w:rPr>
              <w:t>详细评审分项要素</w:t>
            </w:r>
          </w:p>
        </w:tc>
        <w:tc>
          <w:tcPr>
            <w:tcW w:w="1134" w:type="dxa"/>
            <w:vAlign w:val="center"/>
          </w:tcPr>
          <w:p w14:paraId="5F825264">
            <w:pPr>
              <w:spacing w:line="400" w:lineRule="exact"/>
              <w:jc w:val="center"/>
            </w:pPr>
            <w:r>
              <w:rPr>
                <w:b/>
              </w:rPr>
              <w:t>分值</w:t>
            </w:r>
          </w:p>
        </w:tc>
      </w:tr>
      <w:tr w14:paraId="4E57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7C0B643E">
            <w:pPr>
              <w:spacing w:line="400" w:lineRule="exact"/>
              <w:jc w:val="center"/>
            </w:pPr>
            <w:r>
              <w:t>1</w:t>
            </w:r>
          </w:p>
        </w:tc>
        <w:tc>
          <w:tcPr>
            <w:tcW w:w="1701" w:type="dxa"/>
            <w:vAlign w:val="center"/>
          </w:tcPr>
          <w:p w14:paraId="463738F2">
            <w:pPr>
              <w:spacing w:line="400" w:lineRule="exact"/>
              <w:jc w:val="center"/>
              <w:rPr>
                <w:rFonts w:hint="default" w:eastAsiaTheme="minorEastAsia"/>
                <w:lang w:val="en-US" w:eastAsia="zh-CN"/>
              </w:rPr>
            </w:pPr>
            <w:r>
              <w:rPr>
                <w:rFonts w:hint="eastAsia"/>
                <w:lang w:val="en-US" w:eastAsia="zh-CN"/>
              </w:rPr>
              <w:t>营业执照</w:t>
            </w:r>
          </w:p>
        </w:tc>
        <w:tc>
          <w:tcPr>
            <w:tcW w:w="4536" w:type="dxa"/>
            <w:vAlign w:val="center"/>
          </w:tcPr>
          <w:p w14:paraId="5051C380">
            <w:pPr>
              <w:spacing w:line="400" w:lineRule="exact"/>
              <w:jc w:val="left"/>
              <w:rPr>
                <w:rFonts w:hint="default"/>
                <w:lang w:val="en-US"/>
              </w:rPr>
            </w:pPr>
            <w:r>
              <w:rPr>
                <w:rFonts w:hint="eastAsia"/>
                <w:lang w:val="en-US" w:eastAsia="zh-CN"/>
              </w:rPr>
              <w:t>有营业执照此项得分，无营业执照此项不得分。</w:t>
            </w:r>
          </w:p>
        </w:tc>
        <w:tc>
          <w:tcPr>
            <w:tcW w:w="1134" w:type="dxa"/>
            <w:vAlign w:val="center"/>
          </w:tcPr>
          <w:p w14:paraId="42E1F400">
            <w:pPr>
              <w:spacing w:line="400" w:lineRule="exact"/>
              <w:jc w:val="center"/>
            </w:pPr>
            <w:r>
              <w:rPr>
                <w:rFonts w:hint="eastAsia"/>
                <w:lang w:val="en-US" w:eastAsia="zh-CN"/>
              </w:rPr>
              <w:t>10</w:t>
            </w:r>
            <w:r>
              <w:t>.0</w:t>
            </w:r>
          </w:p>
        </w:tc>
      </w:tr>
      <w:tr w14:paraId="157E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6932E444">
            <w:pPr>
              <w:spacing w:line="400" w:lineRule="exact"/>
              <w:jc w:val="center"/>
              <w:rPr>
                <w:rFonts w:hint="eastAsia" w:eastAsiaTheme="minorEastAsia"/>
                <w:lang w:val="en-US" w:eastAsia="zh-CN"/>
              </w:rPr>
            </w:pPr>
            <w:r>
              <w:rPr>
                <w:rFonts w:hint="eastAsia"/>
                <w:lang w:val="en-US" w:eastAsia="zh-CN"/>
              </w:rPr>
              <w:t>2</w:t>
            </w:r>
          </w:p>
        </w:tc>
        <w:tc>
          <w:tcPr>
            <w:tcW w:w="1701" w:type="dxa"/>
            <w:vAlign w:val="center"/>
          </w:tcPr>
          <w:p w14:paraId="76B91C7D">
            <w:pPr>
              <w:spacing w:line="400" w:lineRule="exact"/>
              <w:jc w:val="center"/>
              <w:rPr>
                <w:rFonts w:hint="default" w:ascii="宋体" w:hAnsi="宋体" w:cs="宋体" w:eastAsiaTheme="minorEastAsia"/>
                <w:szCs w:val="21"/>
                <w:lang w:val="en-US" w:eastAsia="zh-CN"/>
              </w:rPr>
            </w:pPr>
            <w:r>
              <w:rPr>
                <w:rFonts w:hint="eastAsia" w:ascii="宋体" w:hAnsi="宋体" w:eastAsia="宋体" w:cs="宋体"/>
                <w:sz w:val="21"/>
                <w:szCs w:val="21"/>
                <w:highlight w:val="none"/>
                <w:lang w:val="en-US" w:eastAsia="zh-CN"/>
              </w:rPr>
              <w:t>策划方案</w:t>
            </w:r>
          </w:p>
        </w:tc>
        <w:tc>
          <w:tcPr>
            <w:tcW w:w="4536" w:type="dxa"/>
            <w:vAlign w:val="center"/>
          </w:tcPr>
          <w:p w14:paraId="72D584AF">
            <w:pPr>
              <w:spacing w:line="400" w:lineRule="exact"/>
              <w:jc w:val="left"/>
              <w:rPr>
                <w:rFonts w:hint="eastAsia" w:eastAsiaTheme="minorEastAsia"/>
                <w:lang w:eastAsia="zh-CN"/>
              </w:rPr>
            </w:pPr>
            <w:r>
              <w:rPr>
                <w:rFonts w:hint="eastAsia"/>
              </w:rPr>
              <w:t>供应商按指定范围提供活动策划方案</w:t>
            </w:r>
            <w:r>
              <w:rPr>
                <w:rFonts w:hint="eastAsia"/>
                <w:lang w:eastAsia="zh-CN"/>
              </w:rPr>
              <w:t>，并附带现场图片，包括</w:t>
            </w:r>
            <w:r>
              <w:rPr>
                <w:rFonts w:hint="eastAsia"/>
                <w:lang w:val="en-US" w:eastAsia="zh-CN"/>
              </w:rPr>
              <w:t>服饰道具、</w:t>
            </w:r>
            <w:r>
              <w:rPr>
                <w:rFonts w:hint="eastAsia"/>
                <w:lang w:eastAsia="zh-CN"/>
              </w:rPr>
              <w:t>活动场地布置方案等：</w:t>
            </w:r>
          </w:p>
          <w:p w14:paraId="2E64FA2B">
            <w:pPr>
              <w:spacing w:line="400" w:lineRule="exact"/>
              <w:jc w:val="left"/>
              <w:rPr>
                <w:rFonts w:hint="eastAsia"/>
              </w:rPr>
            </w:pPr>
            <w:r>
              <w:rPr>
                <w:rFonts w:hint="eastAsia"/>
              </w:rPr>
              <w:t>对供应商提供的</w:t>
            </w:r>
            <w:r>
              <w:rPr>
                <w:rFonts w:hint="eastAsia"/>
                <w:lang w:val="en-US" w:eastAsia="zh-CN"/>
              </w:rPr>
              <w:t>活动</w:t>
            </w:r>
            <w:r>
              <w:rPr>
                <w:rFonts w:hint="eastAsia"/>
              </w:rPr>
              <w:t>方案进行综合比较</w:t>
            </w:r>
          </w:p>
          <w:p w14:paraId="13A37B8F">
            <w:pPr>
              <w:spacing w:line="400" w:lineRule="exact"/>
              <w:jc w:val="left"/>
              <w:rPr>
                <w:rFonts w:hint="eastAsia"/>
              </w:rPr>
            </w:pPr>
            <w:r>
              <w:rPr>
                <w:rFonts w:hint="eastAsia"/>
              </w:rPr>
              <w:t>最优的，得</w:t>
            </w:r>
            <w:r>
              <w:rPr>
                <w:rFonts w:hint="eastAsia"/>
                <w:lang w:val="en-US" w:eastAsia="zh-CN"/>
              </w:rPr>
              <w:t>26</w:t>
            </w:r>
            <w:r>
              <w:rPr>
                <w:rFonts w:hint="eastAsia"/>
              </w:rPr>
              <w:t>-</w:t>
            </w:r>
            <w:r>
              <w:rPr>
                <w:rFonts w:hint="eastAsia"/>
                <w:lang w:val="en-US" w:eastAsia="zh-CN"/>
              </w:rPr>
              <w:t>4</w:t>
            </w:r>
            <w:r>
              <w:rPr>
                <w:rFonts w:hint="eastAsia"/>
              </w:rPr>
              <w:t>0分；</w:t>
            </w:r>
          </w:p>
          <w:p w14:paraId="6B873B07">
            <w:pPr>
              <w:spacing w:line="400" w:lineRule="exact"/>
              <w:jc w:val="left"/>
              <w:rPr>
                <w:rFonts w:hint="eastAsia"/>
              </w:rPr>
            </w:pPr>
            <w:r>
              <w:rPr>
                <w:rFonts w:hint="eastAsia"/>
              </w:rPr>
              <w:t>较优的，得</w:t>
            </w:r>
            <w:r>
              <w:rPr>
                <w:rFonts w:hint="eastAsia"/>
                <w:lang w:val="en-US" w:eastAsia="zh-CN"/>
              </w:rPr>
              <w:t>10</w:t>
            </w:r>
            <w:r>
              <w:rPr>
                <w:rFonts w:hint="eastAsia"/>
              </w:rPr>
              <w:t>-</w:t>
            </w:r>
            <w:r>
              <w:rPr>
                <w:rFonts w:hint="eastAsia"/>
                <w:lang w:val="en-US" w:eastAsia="zh-CN"/>
              </w:rPr>
              <w:t>25</w:t>
            </w:r>
            <w:r>
              <w:rPr>
                <w:rFonts w:hint="eastAsia"/>
              </w:rPr>
              <w:t>分；</w:t>
            </w:r>
          </w:p>
          <w:p w14:paraId="265E06ED">
            <w:pPr>
              <w:spacing w:line="400" w:lineRule="exact"/>
              <w:jc w:val="left"/>
              <w:rPr>
                <w:rFonts w:hint="eastAsia"/>
              </w:rPr>
            </w:pPr>
            <w:r>
              <w:rPr>
                <w:rFonts w:hint="eastAsia"/>
              </w:rPr>
              <w:t>一般的，得0-</w:t>
            </w:r>
            <w:r>
              <w:rPr>
                <w:rFonts w:hint="eastAsia"/>
                <w:lang w:val="en-US" w:eastAsia="zh-CN"/>
              </w:rPr>
              <w:t>10</w:t>
            </w:r>
            <w:r>
              <w:rPr>
                <w:rFonts w:hint="eastAsia"/>
              </w:rPr>
              <w:t>分；</w:t>
            </w:r>
          </w:p>
        </w:tc>
        <w:tc>
          <w:tcPr>
            <w:tcW w:w="1134" w:type="dxa"/>
            <w:vAlign w:val="center"/>
          </w:tcPr>
          <w:p w14:paraId="0A2C7E40">
            <w:pPr>
              <w:spacing w:line="400" w:lineRule="exact"/>
              <w:jc w:val="center"/>
              <w:rPr>
                <w:rFonts w:hint="default"/>
                <w:lang w:val="en-US" w:eastAsia="zh-CN"/>
              </w:rPr>
            </w:pPr>
            <w:r>
              <w:rPr>
                <w:rFonts w:hint="eastAsia"/>
                <w:lang w:val="en-US" w:eastAsia="zh-CN"/>
              </w:rPr>
              <w:t>40.0</w:t>
            </w:r>
          </w:p>
        </w:tc>
      </w:tr>
      <w:tr w14:paraId="13A7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78956F35">
            <w:pPr>
              <w:spacing w:line="400" w:lineRule="exact"/>
              <w:jc w:val="center"/>
              <w:rPr>
                <w:rFonts w:hint="eastAsia" w:eastAsiaTheme="minorEastAsia"/>
                <w:lang w:eastAsia="zh-CN"/>
              </w:rPr>
            </w:pPr>
            <w:r>
              <w:rPr>
                <w:rFonts w:hint="eastAsia"/>
                <w:lang w:val="en-US" w:eastAsia="zh-CN"/>
              </w:rPr>
              <w:t>3</w:t>
            </w:r>
          </w:p>
        </w:tc>
        <w:tc>
          <w:tcPr>
            <w:tcW w:w="1701" w:type="dxa"/>
            <w:vAlign w:val="center"/>
          </w:tcPr>
          <w:p w14:paraId="70974B27">
            <w:pPr>
              <w:spacing w:line="400" w:lineRule="exact"/>
              <w:jc w:val="center"/>
              <w:rPr>
                <w:rFonts w:hint="eastAsia" w:eastAsiaTheme="minorEastAsia"/>
                <w:lang w:eastAsia="zh-CN"/>
              </w:rPr>
            </w:pPr>
            <w:r>
              <w:rPr>
                <w:rFonts w:hint="eastAsia"/>
                <w:lang w:val="en-US" w:eastAsia="zh-CN"/>
              </w:rPr>
              <w:t>服务质量</w:t>
            </w:r>
          </w:p>
        </w:tc>
        <w:tc>
          <w:tcPr>
            <w:tcW w:w="4536" w:type="dxa"/>
            <w:vAlign w:val="center"/>
          </w:tcPr>
          <w:p w14:paraId="59F0051A">
            <w:pPr>
              <w:spacing w:line="400" w:lineRule="exact"/>
              <w:jc w:val="left"/>
              <w:rPr>
                <w:rFonts w:hint="eastAsia"/>
                <w:lang w:val="en-US" w:eastAsia="zh-CN"/>
              </w:rPr>
            </w:pPr>
            <w:r>
              <w:rPr>
                <w:rFonts w:hint="eastAsia"/>
                <w:lang w:val="en-US" w:eastAsia="zh-CN"/>
              </w:rPr>
              <w:t>供应商需提供准确、及时的优质活动服务保障，</w:t>
            </w:r>
            <w:r>
              <w:rPr>
                <w:rFonts w:hint="eastAsia"/>
              </w:rPr>
              <w:t>对供应商提供的</w:t>
            </w:r>
            <w:r>
              <w:rPr>
                <w:rFonts w:hint="eastAsia"/>
                <w:lang w:val="en-US" w:eastAsia="zh-CN"/>
              </w:rPr>
              <w:t>服务保障安排进行横向比较：</w:t>
            </w:r>
          </w:p>
          <w:p w14:paraId="16682E2E">
            <w:pPr>
              <w:spacing w:line="400" w:lineRule="exact"/>
              <w:jc w:val="left"/>
              <w:rPr>
                <w:rFonts w:hint="eastAsia"/>
              </w:rPr>
            </w:pPr>
            <w:r>
              <w:rPr>
                <w:rFonts w:hint="eastAsia"/>
              </w:rPr>
              <w:t>最优的，得</w:t>
            </w:r>
            <w:r>
              <w:rPr>
                <w:rFonts w:hint="eastAsia"/>
                <w:lang w:val="en-US" w:eastAsia="zh-CN"/>
              </w:rPr>
              <w:t>15</w:t>
            </w:r>
            <w:r>
              <w:rPr>
                <w:rFonts w:hint="eastAsia"/>
              </w:rPr>
              <w:t>-</w:t>
            </w:r>
            <w:r>
              <w:rPr>
                <w:rFonts w:hint="eastAsia"/>
                <w:lang w:val="en-US" w:eastAsia="zh-CN"/>
              </w:rPr>
              <w:t>2</w:t>
            </w:r>
            <w:r>
              <w:rPr>
                <w:rFonts w:hint="eastAsia"/>
              </w:rPr>
              <w:t>0分；</w:t>
            </w:r>
          </w:p>
          <w:p w14:paraId="3E11168B">
            <w:pPr>
              <w:spacing w:line="400" w:lineRule="exact"/>
              <w:jc w:val="left"/>
              <w:rPr>
                <w:rFonts w:hint="eastAsia"/>
              </w:rPr>
            </w:pPr>
            <w:r>
              <w:rPr>
                <w:rFonts w:hint="eastAsia"/>
              </w:rPr>
              <w:t>较优的，得</w:t>
            </w:r>
            <w:r>
              <w:rPr>
                <w:rFonts w:hint="eastAsia"/>
                <w:lang w:val="en-US" w:eastAsia="zh-CN"/>
              </w:rPr>
              <w:t>8</w:t>
            </w:r>
            <w:r>
              <w:rPr>
                <w:rFonts w:hint="eastAsia"/>
              </w:rPr>
              <w:t>-</w:t>
            </w:r>
            <w:r>
              <w:rPr>
                <w:rFonts w:hint="eastAsia"/>
                <w:lang w:val="en-US" w:eastAsia="zh-CN"/>
              </w:rPr>
              <w:t>14</w:t>
            </w:r>
            <w:r>
              <w:rPr>
                <w:rFonts w:hint="eastAsia"/>
              </w:rPr>
              <w:t>分；</w:t>
            </w:r>
          </w:p>
          <w:p w14:paraId="7D358BE7">
            <w:pPr>
              <w:spacing w:line="400" w:lineRule="exact"/>
              <w:jc w:val="left"/>
            </w:pPr>
            <w:r>
              <w:rPr>
                <w:rFonts w:hint="eastAsia"/>
              </w:rPr>
              <w:t>一般的，得0-</w:t>
            </w:r>
            <w:r>
              <w:rPr>
                <w:rFonts w:hint="eastAsia"/>
                <w:lang w:val="en-US" w:eastAsia="zh-CN"/>
              </w:rPr>
              <w:t>7</w:t>
            </w:r>
            <w:r>
              <w:rPr>
                <w:rFonts w:hint="eastAsia"/>
              </w:rPr>
              <w:t>分；</w:t>
            </w:r>
          </w:p>
        </w:tc>
        <w:tc>
          <w:tcPr>
            <w:tcW w:w="1134" w:type="dxa"/>
            <w:vAlign w:val="center"/>
          </w:tcPr>
          <w:p w14:paraId="6FC96429">
            <w:pPr>
              <w:spacing w:line="400" w:lineRule="exact"/>
              <w:jc w:val="center"/>
            </w:pPr>
            <w:r>
              <w:rPr>
                <w:rFonts w:hint="eastAsia"/>
                <w:lang w:val="en-US" w:eastAsia="zh-CN"/>
              </w:rPr>
              <w:t>20</w:t>
            </w:r>
            <w:r>
              <w:t>.0</w:t>
            </w:r>
          </w:p>
        </w:tc>
      </w:tr>
      <w:tr w14:paraId="280C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42603288">
            <w:pPr>
              <w:spacing w:line="400" w:lineRule="exact"/>
              <w:jc w:val="center"/>
              <w:rPr>
                <w:rFonts w:hint="eastAsia" w:eastAsiaTheme="minorEastAsia"/>
                <w:lang w:eastAsia="zh-CN"/>
              </w:rPr>
            </w:pPr>
            <w:r>
              <w:rPr>
                <w:rFonts w:hint="eastAsia"/>
                <w:lang w:val="en-US" w:eastAsia="zh-CN"/>
              </w:rPr>
              <w:t>4</w:t>
            </w:r>
          </w:p>
        </w:tc>
        <w:tc>
          <w:tcPr>
            <w:tcW w:w="1701" w:type="dxa"/>
            <w:vAlign w:val="center"/>
          </w:tcPr>
          <w:p w14:paraId="74E29264">
            <w:pPr>
              <w:spacing w:line="400" w:lineRule="exact"/>
              <w:jc w:val="center"/>
            </w:pPr>
            <w:r>
              <w:rPr>
                <w:rFonts w:hint="eastAsia"/>
                <w:lang w:val="en-US" w:eastAsia="zh-CN"/>
              </w:rPr>
              <w:t>价格得分</w:t>
            </w:r>
          </w:p>
        </w:tc>
        <w:tc>
          <w:tcPr>
            <w:tcW w:w="4536" w:type="dxa"/>
            <w:vAlign w:val="center"/>
          </w:tcPr>
          <w:p w14:paraId="68B1032A">
            <w:pPr>
              <w:spacing w:line="400" w:lineRule="exact"/>
              <w:jc w:val="left"/>
              <w:rPr>
                <w:rFonts w:hint="eastAsia"/>
              </w:rPr>
            </w:pPr>
            <w:r>
              <w:rPr>
                <w:rFonts w:hint="eastAsia"/>
              </w:rPr>
              <w:t>1）以评标基准价作为计算各有效投标价得分的基础，当有效投标报价等于评标基准价时得20分；有效投标报价与评标基准价相比，每上偏1%扣</w:t>
            </w:r>
            <w:r>
              <w:rPr>
                <w:rFonts w:hint="eastAsia"/>
                <w:lang w:val="en-US" w:eastAsia="zh-CN"/>
              </w:rPr>
              <w:t>1</w:t>
            </w:r>
            <w:r>
              <w:rPr>
                <w:rFonts w:hint="eastAsia"/>
              </w:rPr>
              <w:t>分，每下偏1%扣</w:t>
            </w:r>
            <w:r>
              <w:rPr>
                <w:rFonts w:hint="eastAsia"/>
                <w:lang w:val="en-US" w:eastAsia="zh-CN"/>
              </w:rPr>
              <w:t>1</w:t>
            </w:r>
            <w:r>
              <w:rPr>
                <w:rFonts w:hint="eastAsia"/>
              </w:rPr>
              <w:t>分</w:t>
            </w:r>
            <w:r>
              <w:rPr>
                <w:rFonts w:hint="eastAsia"/>
                <w:lang w:eastAsia="zh-CN"/>
              </w:rPr>
              <w:t>，</w:t>
            </w:r>
            <w:r>
              <w:rPr>
                <w:rFonts w:hint="eastAsia"/>
                <w:lang w:val="en-US" w:eastAsia="zh-CN"/>
              </w:rPr>
              <w:t>偏差值X%，X值取整</w:t>
            </w:r>
            <w:r>
              <w:rPr>
                <w:rFonts w:hint="eastAsia"/>
              </w:rPr>
              <w:t>。最多扣</w:t>
            </w:r>
            <w:r>
              <w:rPr>
                <w:rFonts w:hint="eastAsia"/>
                <w:lang w:val="en-US" w:eastAsia="zh-CN"/>
              </w:rPr>
              <w:t>3</w:t>
            </w:r>
            <w:r>
              <w:rPr>
                <w:rFonts w:hint="eastAsia"/>
              </w:rPr>
              <w:t>0分。</w:t>
            </w:r>
          </w:p>
          <w:p w14:paraId="09B19595">
            <w:pPr>
              <w:spacing w:line="400" w:lineRule="exact"/>
              <w:jc w:val="left"/>
              <w:rPr>
                <w:rFonts w:hint="default" w:eastAsiaTheme="minorEastAsia"/>
                <w:lang w:val="en-US" w:eastAsia="zh-CN"/>
              </w:rPr>
            </w:pPr>
            <w:r>
              <w:rPr>
                <w:rFonts w:hint="eastAsia"/>
              </w:rPr>
              <w:t>2）评标基准价计算方法：当通过初步评审的投标价中的有效投标人大于5名时，去掉一个最高价和一个最低价，取余下有效投标价的算术平均值的作为评标基准价。当通过初步评审的有效投标人小于或等于5名时，取所有入围的有效投标价的算术平均值的作为评标</w:t>
            </w:r>
            <w:bookmarkStart w:id="0" w:name="_GoBack"/>
            <w:bookmarkEnd w:id="0"/>
            <w:r>
              <w:rPr>
                <w:rFonts w:hint="eastAsia"/>
              </w:rPr>
              <w:t>基准价。</w:t>
            </w:r>
          </w:p>
        </w:tc>
        <w:tc>
          <w:tcPr>
            <w:tcW w:w="1134" w:type="dxa"/>
            <w:vAlign w:val="center"/>
          </w:tcPr>
          <w:p w14:paraId="6C0E8ADD">
            <w:pPr>
              <w:spacing w:line="400" w:lineRule="exact"/>
              <w:jc w:val="center"/>
              <w:rPr>
                <w:rFonts w:hint="default" w:eastAsiaTheme="minorEastAsia"/>
                <w:lang w:val="en-US" w:eastAsia="zh-CN"/>
              </w:rPr>
            </w:pPr>
            <w:r>
              <w:rPr>
                <w:rFonts w:hint="eastAsia"/>
                <w:lang w:val="en-US" w:eastAsia="zh-CN"/>
              </w:rPr>
              <w:t>30.0</w:t>
            </w:r>
          </w:p>
        </w:tc>
      </w:tr>
    </w:tbl>
    <w:p w14:paraId="4AB0E4D7">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宋体" w:hAnsi="宋体" w:eastAsia="宋体" w:cs="宋体"/>
          <w:kern w:val="0"/>
          <w:sz w:val="24"/>
          <w:szCs w:val="24"/>
          <w:highlight w:val="none"/>
          <w:lang w:val="en-US" w:eastAsia="zh-CN" w:bidi="ar-SA"/>
        </w:rPr>
        <w:t>根据计算得分最高作为综合最优中标单位，如果得分最高中出现同分，得分最高中策划方案得分高者作为综合最优中标单位。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062CC"/>
    <w:rsid w:val="03C510A1"/>
    <w:rsid w:val="097D4E3A"/>
    <w:rsid w:val="0A344A84"/>
    <w:rsid w:val="0C7B5426"/>
    <w:rsid w:val="0D022BEF"/>
    <w:rsid w:val="14F12B9F"/>
    <w:rsid w:val="162714E3"/>
    <w:rsid w:val="19D82804"/>
    <w:rsid w:val="206C2341"/>
    <w:rsid w:val="21847374"/>
    <w:rsid w:val="225A3080"/>
    <w:rsid w:val="22BD5D1E"/>
    <w:rsid w:val="2775537A"/>
    <w:rsid w:val="2D173FB9"/>
    <w:rsid w:val="300D3525"/>
    <w:rsid w:val="3A140947"/>
    <w:rsid w:val="3C330A0C"/>
    <w:rsid w:val="3C4A51DC"/>
    <w:rsid w:val="3D883C97"/>
    <w:rsid w:val="3DA51953"/>
    <w:rsid w:val="3E0C45C4"/>
    <w:rsid w:val="40606D93"/>
    <w:rsid w:val="415E3C62"/>
    <w:rsid w:val="41C94B1E"/>
    <w:rsid w:val="47C470B9"/>
    <w:rsid w:val="52991B89"/>
    <w:rsid w:val="58720617"/>
    <w:rsid w:val="60576485"/>
    <w:rsid w:val="68371D28"/>
    <w:rsid w:val="6E910B04"/>
    <w:rsid w:val="77167337"/>
    <w:rsid w:val="79FC4BE4"/>
    <w:rsid w:val="7BCD0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Body Text First Indent"/>
    <w:basedOn w:val="1"/>
    <w:qFormat/>
    <w:uiPriority w:val="0"/>
    <w:pPr>
      <w:adjustRightInd/>
      <w:ind w:firstLine="560" w:firstLineChars="200"/>
      <w:jc w:val="left"/>
      <w:textAlignment w:val="auto"/>
    </w:pPr>
    <w:rPr>
      <w:rFonts w:ascii="Arial" w:hAnsi="Arial"/>
      <w:kern w:val="2"/>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656</Words>
  <Characters>706</Characters>
  <Lines>0</Lines>
  <Paragraphs>0</Paragraphs>
  <TotalTime>2</TotalTime>
  <ScaleCrop>false</ScaleCrop>
  <LinksUpToDate>false</LinksUpToDate>
  <CharactersWithSpaces>706</CharactersWithSpaces>
  <Application>WPS Office_12.9.0.22552_F1E327BC-269C-435d-A152-05C5408002CA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2025-02-07T08:12:00Z</dcterms:created>
  <dc:creator>zhouwu</dc:creator>
  <cp:lastModifiedBy>李蓝特</cp:lastModifiedBy>
  <cp:lastPrinted>2025-06-03T07:37:00Z</cp:lastPrinted>
  <dcterms:modified xsi:type="dcterms:W3CDTF">2026-07-22T02:58:52Z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2052-12.9.0.22552</vt:lpwstr>
  </property>
  <property fmtid="{D5CDD505-2E9C-101B-9397-08002B2CF9AE}" pid="3" name="ICV">
    <vt:lpwstr>8260F52D11F94232B4EA256BE44865A0_13</vt:lpwstr>
  </property>
  <property fmtid="{D5CDD505-2E9C-101B-9397-08002B2CF9AE}" pid="4" name="KSOTemplateDocerSaveRecord">
    <vt:lpwstr>eyJoZGlkIjoiODhkNDZhNTlhOWYzZGM0YTlmOGNjOTc2NTg3ZTU4MTEiLCJ1c2VySWQiOiIzODUwMjM2MDQifQ==</vt:lpwstr>
  </property>
</Properties>
</file>