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hint="eastAsia" w:eastAsia="黑体"/>
          <w:b/>
          <w:sz w:val="52"/>
        </w:rPr>
      </w:pPr>
      <w:r>
        <w:rPr>
          <w:rFonts w:hint="eastAsia" w:eastAsia="黑体"/>
          <w:b/>
          <w:sz w:val="52"/>
        </w:rPr>
        <w:t>变压器用辐射制冷散热涂层技术研究</w:t>
      </w:r>
    </w:p>
    <w:p>
      <w:pPr>
        <w:adjustRightInd w:val="0"/>
        <w:snapToGrid w:val="0"/>
        <w:jc w:val="center"/>
        <w:rPr>
          <w:rFonts w:eastAsia="黑体"/>
          <w:b/>
          <w:sz w:val="52"/>
        </w:rPr>
      </w:pPr>
      <w:r>
        <w:rPr>
          <w:rFonts w:eastAsia="黑体"/>
          <w:b/>
          <w:sz w:val="52"/>
        </w:rPr>
        <w:t>技术规范书</w:t>
      </w:r>
    </w:p>
    <w:p>
      <w:pPr>
        <w:adjustRightInd w:val="0"/>
        <w:snapToGrid w:val="0"/>
        <w:rPr>
          <w:sz w:val="28"/>
          <w:szCs w:val="36"/>
        </w:rPr>
      </w:pPr>
    </w:p>
    <w:p>
      <w:pPr>
        <w:pStyle w:val="2"/>
      </w:pPr>
    </w:p>
    <w:p>
      <w:pPr>
        <w:adjustRightInd w:val="0"/>
        <w:snapToGrid w:val="0"/>
        <w:rPr>
          <w:sz w:val="28"/>
          <w:szCs w:val="36"/>
        </w:rPr>
      </w:pPr>
    </w:p>
    <w:p>
      <w:pPr>
        <w:pStyle w:val="2"/>
        <w:rPr>
          <w:sz w:val="28"/>
          <w:szCs w:val="36"/>
        </w:rPr>
      </w:pPr>
    </w:p>
    <w:p>
      <w:pPr>
        <w:pStyle w:val="2"/>
        <w:rPr>
          <w:sz w:val="28"/>
          <w:szCs w:val="36"/>
        </w:rPr>
      </w:pPr>
    </w:p>
    <w:p>
      <w:pPr>
        <w:pStyle w:val="2"/>
        <w:rPr>
          <w:sz w:val="28"/>
          <w:szCs w:val="36"/>
        </w:rPr>
      </w:pPr>
    </w:p>
    <w:p>
      <w:pPr>
        <w:adjustRightInd w:val="0"/>
        <w:snapToGrid w:val="0"/>
        <w:rPr>
          <w:sz w:val="28"/>
          <w:szCs w:val="36"/>
        </w:rPr>
      </w:pPr>
    </w:p>
    <w:p>
      <w:pPr>
        <w:adjustRightInd w:val="0"/>
        <w:snapToGrid w:val="0"/>
        <w:rPr>
          <w:sz w:val="28"/>
          <w:szCs w:val="36"/>
        </w:rPr>
      </w:pPr>
    </w:p>
    <w:p>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sz w:val="24"/>
        </w:rPr>
        <w:t>《</w:t>
      </w:r>
      <w:bookmarkStart w:id="0" w:name="OLE_LINK1"/>
      <w:r>
        <w:rPr>
          <w:rFonts w:hint="eastAsia"/>
          <w:sz w:val="24"/>
        </w:rPr>
        <w:t>变压器用辐射制冷散热涂层技术研究</w:t>
      </w:r>
      <w:bookmarkEnd w:id="0"/>
      <w:r>
        <w:rPr>
          <w:rFonts w:hint="eastAsia"/>
          <w:sz w:val="24"/>
        </w:rPr>
        <w:t>》</w:t>
      </w:r>
      <w:r>
        <w:rPr>
          <w:rFonts w:hint="eastAsia"/>
          <w:sz w:val="24"/>
          <w:lang w:val="en-US" w:eastAsia="zh-CN"/>
        </w:rPr>
        <w:t>职工</w:t>
      </w:r>
      <w:r>
        <w:rPr>
          <w:rFonts w:hint="eastAsia" w:asciiTheme="minorEastAsia" w:hAnsiTheme="minorEastAsia" w:eastAsiaTheme="minorEastAsia" w:cstheme="minorEastAsia"/>
          <w:sz w:val="24"/>
        </w:rPr>
        <w:t>创新项目，提出了一种无需额外能耗的散热手段，可有效降低变压器在高负荷运行条件下的表面温度。通过提升变压器的自然散热能力，可显著改善其运行稳定性和安全裕度，延缓绝缘材料老化，延长设备使用寿命。投标方应针对自身特点，根据本技术规范书所描述的具体要求，提供完整的解决方案。</w:t>
      </w:r>
    </w:p>
    <w:p>
      <w:pPr>
        <w:rPr>
          <w:rFonts w:hint="eastAsia" w:asciiTheme="minorEastAsia" w:hAnsiTheme="minorEastAsia" w:eastAsiaTheme="minorEastAsia" w:cstheme="minorEastAsia"/>
          <w:sz w:val="24"/>
        </w:rPr>
      </w:pPr>
      <w:bookmarkStart w:id="1" w:name="_Toc26376"/>
      <w:bookmarkStart w:id="2" w:name="_Toc155114607"/>
      <w:bookmarkStart w:id="3" w:name="_Toc241911995"/>
      <w:r>
        <w:rPr>
          <w:rFonts w:hint="eastAsia" w:asciiTheme="minorEastAsia" w:hAnsiTheme="minorEastAsia" w:eastAsiaTheme="minorEastAsia" w:cstheme="minorEastAsia"/>
          <w:sz w:val="24"/>
        </w:rPr>
        <w:t>1.2 本技术规范书提出的是最低限度的技术要求，投标方应保证提供符合本技术规范书和相关国际、国内标准的优质管理咨询服务。对国家有关安全、环保等强制性标准，必须满足其要求。如果规范书所使用的标准与投标方所执行的标准不一致时，按较高标准执行。</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任何与本技术规范书或标准的偏差只有在得到招标方的书面批准后方能认可。</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在合同签订之后，招标方有权提出因规范标准和规程变化而产生的一些补充要求，具体项目及内容由双方共同商定。</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1.5 投标人编制应标文件时，可以提出不同的建议方案，但建议方案必须满足但不限于本技术规范书所阐述的全部要求，应标文件要求文字详细、数据准确、表述及图示清晰明确，具有针对性。</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 本技术规范书仅提出基本的技术需求，不保证对一切技术细节做出规定，也不保证已充分引述有关标准和技术条文，投标方须根据需求目标提供进一步具体的可满足要求的服务内容。</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 投标方在应标文件中应如实反映与本技术规范书的技术差异。如果投标方没有提出技术差异，招标方即认为投标方所提供的服务完全满足本技术规范书的要求，在执行合同的过程中，招标方发现投标方提供的服务与其应标技术规范书的条文存在差异，招标方有权利要求中止合同。</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 投标方应充分理解本技术规范书并按本技术规范书的具体条款、格式要求填写应标的技术文件，如发现应标的技术文件条款、格式不符合本技术规范书的要求，则认为应标不严肃，在评标时将有不同程度的扣分。</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 本技术规范书未尽事宜，由招标方与投标方双方协商确定。</w:t>
      </w:r>
    </w:p>
    <w:p>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2 </w:t>
      </w:r>
      <w:bookmarkEnd w:id="1"/>
      <w:bookmarkStart w:id="4" w:name="_Toc531004264"/>
      <w:bookmarkStart w:id="5" w:name="_Toc531004210"/>
      <w:bookmarkStart w:id="6" w:name="_Toc441483964"/>
      <w:r>
        <w:rPr>
          <w:rFonts w:hint="eastAsia" w:ascii="黑体" w:hAnsi="黑体" w:eastAsia="黑体" w:cs="黑体"/>
          <w:b/>
          <w:bCs/>
          <w:sz w:val="28"/>
          <w:szCs w:val="36"/>
        </w:rPr>
        <w:t>项目有关内容</w:t>
      </w:r>
      <w:bookmarkEnd w:id="4"/>
      <w:bookmarkEnd w:id="5"/>
      <w:bookmarkEnd w:id="6"/>
    </w:p>
    <w:p>
      <w:pPr>
        <w:rPr>
          <w:rFonts w:hint="eastAsia" w:asciiTheme="minorEastAsia" w:hAnsiTheme="minorEastAsia" w:eastAsiaTheme="minorEastAsia" w:cstheme="minorEastAsia"/>
          <w:sz w:val="24"/>
        </w:rPr>
      </w:pPr>
      <w:bookmarkStart w:id="7" w:name="_Toc309593188"/>
      <w:bookmarkStart w:id="8" w:name="_Toc309805583"/>
      <w:bookmarkStart w:id="9" w:name="_Toc312827019"/>
      <w:bookmarkStart w:id="10" w:name="_Toc309593259"/>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7"/>
      <w:bookmarkEnd w:id="8"/>
      <w:bookmarkEnd w:id="9"/>
      <w:bookmarkEnd w:id="10"/>
    </w:p>
    <w:p>
      <w:pPr>
        <w:ind w:firstLine="480" w:firstLineChars="200"/>
        <w:rPr>
          <w:rFonts w:hint="eastAsia" w:asciiTheme="minorEastAsia" w:hAnsiTheme="minorEastAsia" w:eastAsiaTheme="minorEastAsia" w:cstheme="minorEastAsia"/>
          <w:sz w:val="24"/>
        </w:rPr>
      </w:pPr>
      <w:r>
        <w:rPr>
          <w:rFonts w:hint="eastAsia"/>
          <w:sz w:val="24"/>
        </w:rPr>
        <w:t>变压器用辐射制冷散热涂层技术研究</w:t>
      </w:r>
    </w:p>
    <w:p>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2"/>
    <w:bookmarkEnd w:id="3"/>
    <w:p>
      <w:pPr>
        <w:ind w:firstLine="480" w:firstLineChars="200"/>
        <w:rPr>
          <w:rFonts w:hint="eastAsia" w:eastAsia="宋体"/>
          <w:sz w:val="24"/>
          <w:lang w:eastAsia="zh-CN"/>
        </w:rPr>
      </w:pPr>
      <w:bookmarkStart w:id="11" w:name="_Toc384340980"/>
      <w:bookmarkStart w:id="12" w:name="_Toc20556"/>
      <w:bookmarkStart w:id="13" w:name="_Toc22304900"/>
      <w:bookmarkStart w:id="14" w:name="_Toc39753999"/>
      <w:bookmarkStart w:id="15" w:name="_Toc39753342"/>
      <w:r>
        <w:rPr>
          <w:rFonts w:hint="eastAsia" w:eastAsia="宋体"/>
          <w:sz w:val="24"/>
          <w:lang w:eastAsia="zh-CN"/>
        </w:rPr>
        <w:t>开展变压器用辐射制冷散热涂层技术研究，提升变压器的自然散热能力。研究内容如下：</w:t>
      </w:r>
    </w:p>
    <w:p>
      <w:pPr>
        <w:ind w:firstLine="480" w:firstLineChars="200"/>
        <w:rPr>
          <w:rFonts w:hint="eastAsia" w:eastAsia="宋体"/>
          <w:sz w:val="24"/>
          <w:lang w:eastAsia="zh-CN"/>
        </w:rPr>
      </w:pPr>
      <w:r>
        <w:rPr>
          <w:rFonts w:hint="eastAsia" w:eastAsia="宋体"/>
          <w:sz w:val="24"/>
          <w:lang w:eastAsia="zh-CN"/>
        </w:rPr>
        <w:t>针对变压器典型服役环境及其长期高负荷运行条件下的散热需求，围绕辐射制冷技术在电力装备领域的应用，开展面向变压器高效散热的辐射制冷涂层基础与关键技术研究。结合变压器在广西地区所承受的太阳辐照、环境温度及对流条件，系统分析其表面热积聚特征与散热瓶颈，明确辐射制冷涂层在高太阳反射率与高红外辐射率方面的性能需求。</w:t>
      </w:r>
    </w:p>
    <w:p>
      <w:pPr>
        <w:ind w:firstLine="480" w:firstLineChars="200"/>
        <w:rPr>
          <w:rFonts w:hint="eastAsia" w:eastAsia="宋体"/>
          <w:sz w:val="24"/>
          <w:lang w:eastAsia="zh-CN"/>
        </w:rPr>
      </w:pPr>
      <w:r>
        <w:rPr>
          <w:rFonts w:hint="eastAsia" w:eastAsia="宋体"/>
          <w:sz w:val="24"/>
          <w:lang w:eastAsia="zh-CN"/>
        </w:rPr>
        <w:t>围绕辐射制冷涂层的核心功能单元，重点研究功能填料的材料体系及其微观结构对涂层光学性能的调控规律。通过调控填料的材质组成、粒径分布、形貌特征及多尺度结构，深入分析其对太阳光谱（0.3–2.5 μm）反射行为及大气窗口波段（8–13 μm）红外辐射特性的影响机理，揭示多重散射、选择性发射等微观过程在辐射制冷中的作用机制。</w:t>
      </w:r>
    </w:p>
    <w:p>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1"/>
      <w:bookmarkEnd w:id="12"/>
      <w:bookmarkEnd w:id="13"/>
      <w:bookmarkEnd w:id="14"/>
      <w:bookmarkEnd w:id="15"/>
      <w:r>
        <w:rPr>
          <w:rFonts w:hint="eastAsia" w:ascii="黑体" w:hAnsi="黑体" w:eastAsia="黑体" w:cs="黑体"/>
          <w:b/>
          <w:bCs/>
          <w:sz w:val="28"/>
          <w:szCs w:val="36"/>
        </w:rPr>
        <w:t>总体要求</w:t>
      </w:r>
    </w:p>
    <w:p>
      <w:pPr>
        <w:adjustRightInd w:val="0"/>
        <w:snapToGrid w:val="0"/>
        <w:rPr>
          <w:rFonts w:asciiTheme="minorEastAsia" w:hAnsiTheme="minorEastAsia" w:eastAsiaTheme="minorEastAsia" w:cstheme="minorEastAsia"/>
          <w:sz w:val="24"/>
        </w:rPr>
      </w:pPr>
      <w:bookmarkStart w:id="16" w:name="_Toc241912000"/>
      <w:bookmarkStart w:id="17" w:name="_Toc482581219"/>
      <w:bookmarkStart w:id="18" w:name="_Toc455373921"/>
      <w:bookmarkStart w:id="19" w:name="_Toc459534976"/>
      <w:bookmarkStart w:id="20" w:name="_Toc114253693"/>
      <w:bookmarkStart w:id="21" w:name="_Toc448828694"/>
      <w:bookmarkStart w:id="22" w:name="_Toc457979127"/>
      <w:bookmarkStart w:id="23" w:name="_Toc455543289"/>
      <w:bookmarkStart w:id="24" w:name="_Toc146182538"/>
      <w:bookmarkStart w:id="25" w:name="_Toc155114612"/>
      <w:bookmarkStart w:id="26" w:name="_Toc457986926"/>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HG/T 4770-2014《电力变压器用防腐涂料》</w:t>
      </w:r>
    </w:p>
    <w:p>
      <w:pPr>
        <w:adjustRightInd w:val="0"/>
        <w:snapToGrid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T/CNCIA 01036-2024《变压器用无溶剂防腐涂料》</w:t>
      </w:r>
    </w:p>
    <w:p>
      <w:pPr>
        <w:pStyle w:val="10"/>
        <w:ind w:left="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25261《建筑用反射隔热涂料》</w:t>
      </w:r>
    </w:p>
    <w:p>
      <w:pPr>
        <w:rPr>
          <w:rFonts w:hint="eastAsia" w:asciiTheme="minorEastAsia" w:hAnsiTheme="minorEastAsia" w:eastAsiaTheme="minorEastAsia" w:cstheme="minorEastAsia"/>
          <w:kern w:val="2"/>
          <w:sz w:val="24"/>
        </w:rPr>
      </w:pPr>
      <w:r>
        <w:rPr>
          <w:rFonts w:hint="eastAsia" w:asciiTheme="minorEastAsia" w:hAnsiTheme="minorEastAsia" w:eastAsiaTheme="minorEastAsia" w:cstheme="minorEastAsia"/>
          <w:kern w:val="2"/>
          <w:sz w:val="24"/>
        </w:rPr>
        <w:t xml:space="preserve"> HG/T 4362-2012《工业设备及管道用反射隔热涂料》</w:t>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GB/T 35465-2017《建筑用反射隔热涂料性能测试方法》</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 30981.2-2025《涂料中有害物质限量 第2部分：工业涂料》</w:t>
      </w:r>
    </w:p>
    <w:p>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pPr>
        <w:snapToGrid w:val="0"/>
        <w:spacing w:before="120"/>
        <w:rPr>
          <w:rFonts w:ascii="黑体" w:hAnsi="黑体" w:eastAsia="黑体" w:cs="黑体"/>
          <w:b/>
          <w:bCs/>
          <w:sz w:val="28"/>
          <w:szCs w:val="36"/>
        </w:rPr>
      </w:pPr>
      <w:bookmarkStart w:id="27" w:name="_Toc282993253"/>
      <w:bookmarkStart w:id="28" w:name="_Toc32408"/>
      <w:bookmarkStart w:id="29" w:name="_Toc39754002"/>
      <w:bookmarkStart w:id="30" w:name="_Toc384340984"/>
      <w:bookmarkStart w:id="31" w:name="_Toc22304904"/>
      <w:bookmarkStart w:id="32" w:name="_Toc39753345"/>
      <w:r>
        <w:rPr>
          <w:rFonts w:hint="eastAsia" w:ascii="黑体" w:hAnsi="黑体" w:eastAsia="黑体" w:cs="黑体"/>
          <w:b/>
          <w:bCs/>
          <w:sz w:val="28"/>
          <w:szCs w:val="36"/>
        </w:rPr>
        <w:t>4 技术要求</w:t>
      </w:r>
      <w:bookmarkEnd w:id="27"/>
      <w:bookmarkEnd w:id="28"/>
      <w:bookmarkEnd w:id="29"/>
      <w:bookmarkEnd w:id="30"/>
      <w:bookmarkEnd w:id="31"/>
      <w:bookmarkEnd w:id="32"/>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pPr>
              <w:spacing w:line="240" w:lineRule="auto"/>
              <w:jc w:val="center"/>
              <w:rPr>
                <w:rFonts w:ascii="宋体" w:hAnsi="宋体" w:cs="宋体"/>
                <w:b/>
                <w:bCs/>
                <w:szCs w:val="21"/>
              </w:rPr>
            </w:pPr>
            <w:r>
              <w:rPr>
                <w:rFonts w:hint="eastAsia" w:ascii="宋体" w:hAnsi="宋体" w:cs="宋体"/>
                <w:b/>
                <w:bCs/>
                <w:szCs w:val="21"/>
              </w:rPr>
              <w:t>时间要求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ascii="宋体" w:hAnsi="宋体" w:cs="宋体"/>
                <w:szCs w:val="21"/>
              </w:rPr>
            </w:pPr>
            <w:r>
              <w:rPr>
                <w:rFonts w:hint="eastAsia" w:ascii="宋体" w:hAnsi="宋体" w:cs="宋体"/>
                <w:szCs w:val="21"/>
              </w:rPr>
              <w:t>1</w:t>
            </w:r>
          </w:p>
        </w:tc>
        <w:tc>
          <w:tcPr>
            <w:tcW w:w="2985" w:type="dxa"/>
            <w:shd w:val="clear" w:color="auto" w:fill="auto"/>
            <w:vAlign w:val="center"/>
          </w:tcPr>
          <w:p>
            <w:pPr>
              <w:spacing w:line="240" w:lineRule="auto"/>
              <w:jc w:val="center"/>
              <w:rPr>
                <w:rFonts w:ascii="宋体" w:hAnsi="宋体" w:cs="宋体"/>
                <w:szCs w:val="21"/>
              </w:rPr>
            </w:pPr>
            <w:r>
              <w:rPr>
                <w:rFonts w:hint="eastAsia" w:ascii="宋体" w:hAnsi="宋体" w:cs="宋体"/>
                <w:szCs w:val="21"/>
              </w:rPr>
              <w:t>开发</w:t>
            </w:r>
            <w:bookmarkStart w:id="33" w:name="OLE_LINK2"/>
            <w:r>
              <w:rPr>
                <w:rFonts w:hint="eastAsia" w:ascii="宋体" w:hAnsi="宋体" w:cs="宋体"/>
                <w:szCs w:val="21"/>
              </w:rPr>
              <w:t>一种变压器散热涂料，</w:t>
            </w:r>
            <w:bookmarkStart w:id="34" w:name="OLE_LINK3"/>
            <w:r>
              <w:rPr>
                <w:rFonts w:hint="eastAsia" w:ascii="宋体" w:hAnsi="宋体" w:cs="宋体"/>
                <w:szCs w:val="21"/>
              </w:rPr>
              <w:t>能够提升变压器的自然散热能力</w:t>
            </w:r>
            <w:bookmarkEnd w:id="34"/>
            <w:r>
              <w:rPr>
                <w:rFonts w:hint="eastAsia" w:ascii="宋体" w:hAnsi="宋体" w:cs="宋体"/>
                <w:szCs w:val="21"/>
              </w:rPr>
              <w:t>，并编写研究报告一份</w:t>
            </w:r>
            <w:bookmarkEnd w:id="33"/>
            <w:r>
              <w:rPr>
                <w:rFonts w:hint="eastAsia" w:ascii="宋体" w:hAnsi="宋体" w:cs="宋体"/>
                <w:szCs w:val="21"/>
              </w:rPr>
              <w:t>。</w:t>
            </w:r>
          </w:p>
        </w:tc>
        <w:tc>
          <w:tcPr>
            <w:tcW w:w="2363" w:type="dxa"/>
            <w:shd w:val="clear" w:color="auto" w:fill="auto"/>
            <w:vAlign w:val="center"/>
          </w:tcPr>
          <w:p>
            <w:pPr>
              <w:spacing w:line="240" w:lineRule="auto"/>
              <w:jc w:val="center"/>
              <w:rPr>
                <w:rFonts w:ascii="宋体" w:hAnsi="宋体" w:cs="宋体"/>
                <w:szCs w:val="21"/>
              </w:rPr>
            </w:pPr>
            <w:r>
              <w:rPr>
                <w:rFonts w:hint="eastAsia" w:ascii="宋体" w:hAnsi="宋体" w:cs="宋体"/>
                <w:szCs w:val="21"/>
              </w:rPr>
              <w:t>一种变压器散热涂料，研究报告一份</w:t>
            </w:r>
          </w:p>
        </w:tc>
        <w:tc>
          <w:tcPr>
            <w:tcW w:w="2357" w:type="dxa"/>
            <w:vAlign w:val="center"/>
          </w:tcPr>
          <w:p>
            <w:pPr>
              <w:spacing w:line="240" w:lineRule="auto"/>
              <w:jc w:val="center"/>
              <w:rPr>
                <w:rFonts w:ascii="宋体" w:hAnsi="宋体" w:cs="宋体"/>
              </w:rPr>
            </w:pPr>
            <w:r>
              <w:rPr>
                <w:rFonts w:hint="eastAsia" w:asciiTheme="minorEastAsia" w:hAnsiTheme="minorEastAsia" w:cstheme="minorEastAsia"/>
                <w:szCs w:val="21"/>
              </w:rPr>
              <w:t>2026年</w:t>
            </w:r>
            <w:r>
              <w:rPr>
                <w:rFonts w:hint="eastAsia" w:asciiTheme="minorEastAsia" w:hAnsiTheme="minorEastAsia" w:cstheme="minorEastAsia"/>
                <w:szCs w:val="21"/>
                <w:lang w:val="en-US" w:eastAsia="zh-CN"/>
              </w:rPr>
              <w:t>11</w:t>
            </w:r>
            <w:r>
              <w:rPr>
                <w:rFonts w:hint="eastAsia" w:asciiTheme="minorEastAsia" w:hAnsiTheme="minorEastAsia" w:cstheme="minorEastAsia"/>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ascii="宋体" w:hAnsi="宋体" w:cs="宋体"/>
                <w:szCs w:val="21"/>
                <w:highlight w:val="none"/>
              </w:rPr>
            </w:pPr>
            <w:r>
              <w:rPr>
                <w:rFonts w:hint="eastAsia" w:ascii="宋体" w:hAnsi="宋体" w:cs="宋体"/>
                <w:szCs w:val="21"/>
                <w:highlight w:val="none"/>
              </w:rPr>
              <w:t>2</w:t>
            </w:r>
          </w:p>
        </w:tc>
        <w:tc>
          <w:tcPr>
            <w:tcW w:w="2985" w:type="dxa"/>
            <w:shd w:val="clear" w:color="auto" w:fill="auto"/>
            <w:vAlign w:val="center"/>
          </w:tcPr>
          <w:p>
            <w:pPr>
              <w:spacing w:line="240" w:lineRule="auto"/>
              <w:jc w:val="left"/>
              <w:rPr>
                <w:rFonts w:ascii="宋体" w:hAnsi="宋体" w:cs="宋体"/>
                <w:szCs w:val="21"/>
                <w:highlight w:val="none"/>
              </w:rPr>
            </w:pPr>
            <w:r>
              <w:rPr>
                <w:rFonts w:hint="eastAsia" w:ascii="宋体" w:hAnsi="宋体" w:cs="宋体"/>
                <w:szCs w:val="21"/>
                <w:highlight w:val="none"/>
                <w:lang w:val="en-US" w:eastAsia="zh-CN"/>
              </w:rPr>
              <w:t>配合编写专利申请材料</w:t>
            </w:r>
            <w:r>
              <w:rPr>
                <w:rFonts w:hint="eastAsia" w:ascii="宋体" w:hAnsi="宋体" w:cs="宋体"/>
                <w:szCs w:val="21"/>
                <w:highlight w:val="none"/>
              </w:rPr>
              <w:t>。</w:t>
            </w:r>
          </w:p>
        </w:tc>
        <w:tc>
          <w:tcPr>
            <w:tcW w:w="2363" w:type="dxa"/>
            <w:shd w:val="clear" w:color="auto" w:fill="auto"/>
            <w:vAlign w:val="center"/>
          </w:tcPr>
          <w:p>
            <w:pPr>
              <w:spacing w:line="240" w:lineRule="auto"/>
              <w:jc w:val="center"/>
              <w:rPr>
                <w:rFonts w:ascii="宋体" w:hAnsi="宋体" w:cs="宋体"/>
                <w:szCs w:val="21"/>
                <w:highlight w:val="none"/>
              </w:rPr>
            </w:pPr>
            <w:r>
              <w:rPr>
                <w:rFonts w:hint="eastAsia" w:ascii="宋体" w:hAnsi="宋体" w:cs="宋体"/>
                <w:sz w:val="21"/>
                <w:szCs w:val="21"/>
                <w:lang w:val="en-US" w:eastAsia="zh-CN"/>
              </w:rPr>
              <w:t>发明</w:t>
            </w:r>
            <w:r>
              <w:rPr>
                <w:rFonts w:hint="eastAsia" w:ascii="宋体" w:hAnsi="宋体" w:eastAsia="宋体" w:cs="宋体"/>
                <w:sz w:val="21"/>
                <w:szCs w:val="21"/>
              </w:rPr>
              <w:t>专利受理通知书</w:t>
            </w:r>
          </w:p>
        </w:tc>
        <w:tc>
          <w:tcPr>
            <w:tcW w:w="2357" w:type="dxa"/>
            <w:vAlign w:val="center"/>
          </w:tcPr>
          <w:p>
            <w:pPr>
              <w:spacing w:line="240" w:lineRule="auto"/>
              <w:jc w:val="center"/>
              <w:rPr>
                <w:rFonts w:asciiTheme="minorEastAsia" w:hAnsiTheme="minorEastAsia" w:eastAsiaTheme="minorEastAsia" w:cstheme="minorEastAsia"/>
                <w:szCs w:val="21"/>
                <w:highlight w:val="none"/>
              </w:rPr>
            </w:pPr>
            <w:r>
              <w:rPr>
                <w:rFonts w:hint="eastAsia" w:asciiTheme="minorEastAsia" w:hAnsiTheme="minorEastAsia" w:cstheme="minorEastAsia"/>
                <w:szCs w:val="21"/>
                <w:highlight w:val="none"/>
              </w:rPr>
              <w:t>2026年12月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pPr>
              <w:spacing w:line="240" w:lineRule="auto"/>
              <w:jc w:val="center"/>
              <w:rPr>
                <w:rFonts w:ascii="宋体" w:hAnsi="宋体" w:cs="宋体"/>
                <w:szCs w:val="21"/>
              </w:rPr>
            </w:pPr>
            <w:r>
              <w:rPr>
                <w:rFonts w:hint="eastAsia" w:ascii="宋体" w:hAnsi="宋体" w:cs="宋体"/>
                <w:szCs w:val="21"/>
              </w:rPr>
              <w:t>3</w:t>
            </w:r>
          </w:p>
        </w:tc>
        <w:tc>
          <w:tcPr>
            <w:tcW w:w="2985" w:type="dxa"/>
            <w:shd w:val="clear" w:color="auto" w:fill="auto"/>
            <w:vAlign w:val="center"/>
          </w:tcPr>
          <w:p>
            <w:pPr>
              <w:spacing w:line="240" w:lineRule="auto"/>
              <w:jc w:val="left"/>
              <w:rPr>
                <w:rFonts w:ascii="宋体" w:hAnsi="宋体" w:cs="宋体"/>
                <w:szCs w:val="21"/>
              </w:rPr>
            </w:pPr>
            <w:r>
              <w:rPr>
                <w:rFonts w:hint="eastAsia" w:ascii="宋体" w:hAnsi="宋体" w:cs="宋体"/>
                <w:szCs w:val="21"/>
              </w:rPr>
              <w:t>项目验收检查</w:t>
            </w:r>
          </w:p>
        </w:tc>
        <w:tc>
          <w:tcPr>
            <w:tcW w:w="2363" w:type="dxa"/>
            <w:shd w:val="clear" w:color="auto" w:fill="auto"/>
            <w:vAlign w:val="center"/>
          </w:tcPr>
          <w:p>
            <w:pPr>
              <w:spacing w:line="240" w:lineRule="auto"/>
              <w:jc w:val="left"/>
              <w:rPr>
                <w:rFonts w:ascii="宋体" w:hAnsi="宋体" w:cs="宋体"/>
              </w:rPr>
            </w:pPr>
            <w:r>
              <w:rPr>
                <w:rFonts w:hint="eastAsia" w:ascii="宋体" w:hAnsi="宋体" w:cs="宋体"/>
              </w:rPr>
              <w:t>完成项目全部验收内容</w:t>
            </w:r>
          </w:p>
        </w:tc>
        <w:tc>
          <w:tcPr>
            <w:tcW w:w="2357" w:type="dxa"/>
            <w:vAlign w:val="center"/>
          </w:tcPr>
          <w:p>
            <w:pPr>
              <w:spacing w:line="240" w:lineRule="auto"/>
              <w:jc w:val="center"/>
              <w:rPr>
                <w:rFonts w:asciiTheme="minorEastAsia" w:hAnsiTheme="minorEastAsia" w:eastAsiaTheme="minorEastAsia" w:cstheme="minorEastAsia"/>
                <w:szCs w:val="21"/>
              </w:rPr>
            </w:pPr>
            <w:r>
              <w:rPr>
                <w:rFonts w:hint="eastAsia" w:asciiTheme="minorEastAsia" w:hAnsiTheme="minorEastAsia" w:cstheme="minorEastAsia"/>
                <w:szCs w:val="21"/>
              </w:rPr>
              <w:t>2026年12月</w:t>
            </w:r>
          </w:p>
        </w:tc>
      </w:tr>
      <w:bookmarkEnd w:id="16"/>
      <w:bookmarkEnd w:id="17"/>
      <w:bookmarkEnd w:id="18"/>
      <w:bookmarkEnd w:id="19"/>
      <w:bookmarkEnd w:id="20"/>
      <w:bookmarkEnd w:id="21"/>
      <w:bookmarkEnd w:id="22"/>
      <w:bookmarkEnd w:id="23"/>
      <w:bookmarkEnd w:id="24"/>
      <w:bookmarkEnd w:id="25"/>
      <w:bookmarkEnd w:id="26"/>
    </w:tbl>
    <w:p>
      <w:pPr>
        <w:spacing w:before="300" w:after="120" w:line="288" w:lineRule="auto"/>
        <w:ind w:left="0"/>
        <w:jc w:val="left"/>
        <w:outlineLvl w:val="2"/>
        <w:rPr>
          <w:rFonts w:hint="eastAsia" w:ascii="宋体" w:hAnsi="宋体" w:eastAsia="宋体" w:cs="宋体"/>
          <w:b w:val="0"/>
          <w:bCs/>
          <w:color w:val="auto"/>
          <w:sz w:val="24"/>
          <w:szCs w:val="24"/>
        </w:rPr>
      </w:pPr>
      <w:bookmarkStart w:id="35" w:name="heading_15"/>
      <w:bookmarkStart w:id="36" w:name="_Toc441483969"/>
      <w:bookmarkStart w:id="37" w:name="_Toc309805604"/>
      <w:bookmarkStart w:id="38" w:name="_Toc312827040"/>
      <w:bookmarkStart w:id="39" w:name="_Toc309593280"/>
      <w:bookmarkStart w:id="40" w:name="_Toc309593209"/>
      <w:bookmarkStart w:id="41" w:name="_Toc531004269"/>
      <w:bookmarkStart w:id="42" w:name="_Toc531004215"/>
      <w:bookmarkStart w:id="43" w:name="_Toc18633"/>
      <w:r>
        <w:rPr>
          <w:rFonts w:hint="eastAsia" w:ascii="宋体" w:hAnsi="宋体" w:eastAsia="宋体" w:cs="宋体"/>
          <w:b w:val="0"/>
          <w:bCs/>
          <w:color w:val="auto"/>
          <w:sz w:val="24"/>
          <w:szCs w:val="24"/>
        </w:rPr>
        <w:t xml:space="preserve">4.2 </w:t>
      </w:r>
      <w:r>
        <w:rPr>
          <w:rFonts w:hint="eastAsia" w:ascii="宋体" w:hAnsi="宋体" w:cs="宋体"/>
          <w:b w:val="0"/>
          <w:bCs/>
          <w:color w:val="auto"/>
          <w:sz w:val="24"/>
          <w:szCs w:val="24"/>
          <w:lang w:val="en-US" w:eastAsia="zh-CN"/>
        </w:rPr>
        <w:t>成果</w:t>
      </w:r>
      <w:r>
        <w:rPr>
          <w:rFonts w:hint="eastAsia" w:ascii="宋体" w:hAnsi="宋体" w:eastAsia="宋体" w:cs="宋体"/>
          <w:b w:val="0"/>
          <w:bCs/>
          <w:color w:val="auto"/>
          <w:sz w:val="24"/>
          <w:szCs w:val="24"/>
        </w:rPr>
        <w:t>整体</w:t>
      </w:r>
      <w:r>
        <w:rPr>
          <w:rFonts w:hint="eastAsia" w:ascii="宋体" w:hAnsi="宋体" w:cs="宋体"/>
          <w:b w:val="0"/>
          <w:bCs/>
          <w:color w:val="auto"/>
          <w:sz w:val="24"/>
          <w:szCs w:val="24"/>
          <w:lang w:val="en-US" w:eastAsia="zh-CN"/>
        </w:rPr>
        <w:t>开发</w:t>
      </w:r>
      <w:r>
        <w:rPr>
          <w:rFonts w:hint="eastAsia" w:ascii="宋体" w:hAnsi="宋体" w:eastAsia="宋体" w:cs="宋体"/>
          <w:b w:val="0"/>
          <w:bCs/>
          <w:color w:val="auto"/>
          <w:sz w:val="24"/>
          <w:szCs w:val="24"/>
        </w:rPr>
        <w:t>通用要求</w:t>
      </w:r>
      <w:bookmarkEnd w:id="35"/>
    </w:p>
    <w:p>
      <w:pPr>
        <w:spacing w:before="260" w:after="120" w:line="288" w:lineRule="auto"/>
        <w:ind w:left="0"/>
        <w:jc w:val="left"/>
        <w:outlineLvl w:val="3"/>
        <w:rPr>
          <w:rFonts w:hint="eastAsia" w:ascii="宋体" w:hAnsi="宋体" w:eastAsia="宋体" w:cs="宋体"/>
          <w:b w:val="0"/>
          <w:bCs/>
          <w:color w:val="auto"/>
          <w:sz w:val="24"/>
          <w:szCs w:val="24"/>
        </w:rPr>
      </w:pPr>
      <w:bookmarkStart w:id="44" w:name="heading_16"/>
      <w:r>
        <w:rPr>
          <w:rFonts w:hint="eastAsia" w:ascii="宋体" w:hAnsi="宋体" w:eastAsia="宋体" w:cs="宋体"/>
          <w:b w:val="0"/>
          <w:bCs/>
          <w:color w:val="auto"/>
          <w:sz w:val="24"/>
          <w:szCs w:val="24"/>
        </w:rPr>
        <w:t xml:space="preserve">4.2.1 </w:t>
      </w:r>
      <w:bookmarkStart w:id="45" w:name="OLE_LINK8"/>
      <w:r>
        <w:rPr>
          <w:rFonts w:hint="eastAsia" w:ascii="宋体" w:hAnsi="宋体" w:eastAsia="宋体" w:cs="宋体"/>
          <w:b w:val="0"/>
          <w:bCs/>
          <w:color w:val="auto"/>
          <w:sz w:val="24"/>
          <w:szCs w:val="24"/>
        </w:rPr>
        <w:t>可靠性与稳定性</w:t>
      </w:r>
      <w:bookmarkEnd w:id="44"/>
      <w:bookmarkEnd w:id="45"/>
    </w:p>
    <w:p>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bookmarkStart w:id="46" w:name="OLE_LINK4"/>
      <w:r>
        <w:rPr>
          <w:rFonts w:hint="eastAsia" w:ascii="宋体" w:hAnsi="宋体" w:cs="宋体"/>
          <w:b w:val="0"/>
          <w:bCs/>
          <w:color w:val="auto"/>
          <w:sz w:val="24"/>
          <w:szCs w:val="24"/>
          <w:lang w:val="en-US" w:eastAsia="zh-CN"/>
        </w:rPr>
        <w:t>散热涂料</w:t>
      </w:r>
      <w:bookmarkEnd w:id="46"/>
      <w:r>
        <w:rPr>
          <w:rFonts w:hint="eastAsia" w:ascii="宋体" w:hAnsi="宋体" w:cs="宋体"/>
          <w:b w:val="0"/>
          <w:bCs/>
          <w:color w:val="auto"/>
          <w:sz w:val="24"/>
          <w:szCs w:val="24"/>
          <w:lang w:val="en-US" w:eastAsia="zh-CN"/>
        </w:rPr>
        <w:t>能够在</w:t>
      </w:r>
      <w:r>
        <w:rPr>
          <w:rFonts w:hint="eastAsia" w:ascii="宋体" w:hAnsi="宋体" w:eastAsia="宋体" w:cs="宋体"/>
          <w:b w:val="0"/>
          <w:bCs/>
          <w:color w:val="auto"/>
          <w:sz w:val="24"/>
          <w:szCs w:val="24"/>
        </w:rPr>
        <w:t>长期户外高低温、潮湿、积污工况下结构不失效；</w:t>
      </w:r>
    </w:p>
    <w:p>
      <w:pPr>
        <w:numPr>
          <w:ilvl w:val="0"/>
          <w:numId w:val="0"/>
        </w:numPr>
        <w:spacing w:before="120" w:after="120" w:line="288" w:lineRule="auto"/>
        <w:ind w:left="0" w:leftChars="0"/>
        <w:jc w:val="left"/>
        <w:rPr>
          <w:rFonts w:hint="eastAsia" w:ascii="宋体" w:hAnsi="宋体" w:eastAsia="宋体" w:cs="宋体"/>
          <w:b w:val="0"/>
          <w:bCs/>
          <w:color w:val="auto"/>
          <w:sz w:val="24"/>
          <w:szCs w:val="24"/>
          <w:lang w:val="en-US" w:eastAsia="zh-CN"/>
        </w:rPr>
      </w:pPr>
      <w:bookmarkStart w:id="47" w:name="OLE_LINK6"/>
      <w:r>
        <w:rPr>
          <w:rFonts w:hint="eastAsia" w:ascii="宋体" w:hAnsi="宋体" w:eastAsia="宋体" w:cs="宋体"/>
          <w:b w:val="0"/>
          <w:bCs/>
          <w:color w:val="auto"/>
          <w:kern w:val="2"/>
          <w:sz w:val="24"/>
          <w:szCs w:val="24"/>
          <w:lang w:val="en-US" w:eastAsia="zh-CN" w:bidi="ar-SA"/>
        </w:rPr>
        <w:t>2.</w:t>
      </w:r>
      <w:bookmarkStart w:id="48" w:name="OLE_LINK5"/>
      <w:r>
        <w:rPr>
          <w:rFonts w:hint="eastAsia" w:ascii="宋体" w:hAnsi="宋体" w:cs="宋体"/>
          <w:b w:val="0"/>
          <w:bCs/>
          <w:color w:val="auto"/>
          <w:sz w:val="24"/>
          <w:szCs w:val="24"/>
          <w:lang w:val="en-US" w:eastAsia="zh-CN"/>
        </w:rPr>
        <w:t>散热涂</w:t>
      </w:r>
      <w:bookmarkEnd w:id="48"/>
      <w:r>
        <w:rPr>
          <w:rFonts w:hint="eastAsia" w:ascii="宋体" w:hAnsi="宋体" w:eastAsia="宋体" w:cs="宋体"/>
          <w:b w:val="0"/>
          <w:bCs/>
          <w:color w:val="auto"/>
          <w:sz w:val="24"/>
          <w:szCs w:val="24"/>
          <w:lang w:val="en-US" w:eastAsia="zh-CN"/>
        </w:rPr>
        <w:t>料能够提升变压器的自然散热能力；</w:t>
      </w:r>
    </w:p>
    <w:bookmarkEnd w:id="47"/>
    <w:p>
      <w:pPr>
        <w:numPr>
          <w:ilvl w:val="0"/>
          <w:numId w:val="0"/>
        </w:numPr>
        <w:spacing w:before="120" w:after="120" w:line="288" w:lineRule="auto"/>
        <w:ind w:left="0" w:leftChars="0"/>
        <w:jc w:val="left"/>
        <w:rPr>
          <w:rFonts w:hint="eastAsia" w:ascii="宋体" w:hAnsi="宋体" w:eastAsia="宋体" w:cs="宋体"/>
          <w:b w:val="0"/>
          <w:bCs/>
          <w:color w:val="auto"/>
          <w:sz w:val="24"/>
          <w:szCs w:val="24"/>
          <w:lang w:val="en-US" w:eastAsia="zh-CN"/>
        </w:rPr>
      </w:pPr>
      <w:bookmarkStart w:id="49" w:name="heading_17"/>
      <w:r>
        <w:rPr>
          <w:rFonts w:hint="eastAsia" w:ascii="宋体" w:hAnsi="宋体" w:eastAsia="宋体" w:cs="宋体"/>
          <w:b w:val="0"/>
          <w:bCs/>
          <w:color w:val="auto"/>
          <w:kern w:val="2"/>
          <w:sz w:val="24"/>
          <w:szCs w:val="24"/>
          <w:lang w:val="en-US" w:eastAsia="zh-CN" w:bidi="ar-SA"/>
        </w:rPr>
        <w:t>2.</w:t>
      </w:r>
      <w:r>
        <w:rPr>
          <w:rFonts w:hint="eastAsia" w:ascii="宋体" w:hAnsi="宋体" w:cs="宋体"/>
          <w:b w:val="0"/>
          <w:bCs/>
          <w:color w:val="auto"/>
          <w:sz w:val="24"/>
          <w:szCs w:val="24"/>
          <w:lang w:val="en-US" w:eastAsia="zh-CN"/>
        </w:rPr>
        <w:t>散热涂</w:t>
      </w:r>
      <w:r>
        <w:rPr>
          <w:rFonts w:hint="eastAsia" w:ascii="宋体" w:hAnsi="宋体" w:eastAsia="宋体" w:cs="宋体"/>
          <w:b w:val="0"/>
          <w:bCs/>
          <w:color w:val="auto"/>
          <w:sz w:val="24"/>
          <w:szCs w:val="24"/>
          <w:lang w:val="en-US" w:eastAsia="zh-CN"/>
        </w:rPr>
        <w:t>料不破坏、腐蚀变压器本体。</w:t>
      </w:r>
    </w:p>
    <w:p>
      <w:pPr>
        <w:spacing w:before="260" w:after="120" w:line="288" w:lineRule="auto"/>
        <w:ind w:left="0"/>
        <w:jc w:val="left"/>
        <w:outlineLvl w:val="3"/>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 xml:space="preserve">4.2.2 </w:t>
      </w:r>
      <w:bookmarkEnd w:id="49"/>
      <w:r>
        <w:rPr>
          <w:rFonts w:hint="eastAsia" w:ascii="宋体" w:hAnsi="宋体" w:cs="宋体"/>
          <w:b w:val="0"/>
          <w:bCs/>
          <w:color w:val="auto"/>
          <w:sz w:val="24"/>
          <w:szCs w:val="24"/>
          <w:lang w:val="en-US" w:eastAsia="zh-CN"/>
        </w:rPr>
        <w:t>环保性</w:t>
      </w:r>
    </w:p>
    <w:p>
      <w:pPr>
        <w:numPr>
          <w:ilvl w:val="0"/>
          <w:numId w:val="0"/>
        </w:numPr>
        <w:spacing w:before="120" w:after="120" w:line="288" w:lineRule="auto"/>
        <w:ind w:left="0" w:leftChars="0"/>
        <w:jc w:val="left"/>
        <w:rPr>
          <w:rFonts w:hint="eastAsia" w:ascii="宋体" w:hAnsi="宋体" w:eastAsia="宋体" w:cs="宋体"/>
          <w:b w:val="0"/>
          <w:bCs/>
          <w:color w:val="auto"/>
          <w:sz w:val="24"/>
          <w:szCs w:val="24"/>
          <w:lang w:eastAsia="zh-CN"/>
        </w:rPr>
      </w:pPr>
      <w:r>
        <w:rPr>
          <w:rFonts w:hint="eastAsia" w:ascii="宋体" w:hAnsi="宋体" w:eastAsia="宋体" w:cs="宋体"/>
          <w:b w:val="0"/>
          <w:bCs/>
          <w:color w:val="auto"/>
          <w:kern w:val="2"/>
          <w:sz w:val="24"/>
          <w:szCs w:val="24"/>
          <w:lang w:val="en-US" w:eastAsia="zh-CN" w:bidi="ar-SA"/>
        </w:rPr>
        <w:t>1.</w:t>
      </w:r>
      <w:r>
        <w:rPr>
          <w:rFonts w:hint="eastAsia" w:ascii="宋体" w:hAnsi="宋体" w:cs="宋体"/>
          <w:b w:val="0"/>
          <w:bCs/>
          <w:color w:val="auto"/>
          <w:sz w:val="24"/>
          <w:szCs w:val="24"/>
          <w:lang w:val="en-US" w:eastAsia="zh-CN"/>
        </w:rPr>
        <w:t>散热涂符合环保要求、无有毒气体挥发，不污染站内空气，雨水冲刷不会污染土壤、地下水</w:t>
      </w:r>
      <w:r>
        <w:rPr>
          <w:rFonts w:hint="eastAsia" w:ascii="宋体" w:hAnsi="宋体" w:cs="宋体"/>
          <w:b w:val="0"/>
          <w:bCs/>
          <w:color w:val="auto"/>
          <w:sz w:val="24"/>
          <w:szCs w:val="24"/>
          <w:lang w:eastAsia="zh-CN"/>
        </w:rPr>
        <w:t>。</w:t>
      </w:r>
    </w:p>
    <w:p>
      <w:pPr>
        <w:rPr>
          <w:rFonts w:ascii="宋体" w:hAnsi="宋体" w:cs="宋体"/>
          <w:sz w:val="24"/>
        </w:rPr>
      </w:pPr>
      <w:bookmarkStart w:id="50"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50"/>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w:t>
      </w:r>
      <w:r>
        <w:rPr>
          <w:rFonts w:hint="eastAsia"/>
          <w:sz w:val="24"/>
          <w:lang w:val="en-US" w:eastAsia="zh-CN"/>
        </w:rPr>
        <w:t>项目研究</w:t>
      </w:r>
      <w:r>
        <w:rPr>
          <w:rFonts w:hint="eastAsia"/>
          <w:sz w:val="24"/>
        </w:rPr>
        <w:t>、审核、主要原材料选用、重大技术变更等关键技术环节工作。投标方应在设备研发、制造主要技术节点通知招标方技术团队参与</w:t>
      </w:r>
      <w:r>
        <w:rPr>
          <w:rFonts w:hint="eastAsia" w:hAnsi="宋体"/>
          <w:sz w:val="24"/>
        </w:rPr>
        <w:t>。</w:t>
      </w:r>
    </w:p>
    <w:p>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pPr>
        <w:pStyle w:val="8"/>
        <w:rPr>
          <w:rFonts w:hAnsi="宋体"/>
          <w:sz w:val="24"/>
        </w:rPr>
      </w:pPr>
      <w:r>
        <w:rPr>
          <w:rFonts w:hint="eastAsia" w:ascii="Times New Roman" w:hAnsi="Times New Roman"/>
          <w:sz w:val="24"/>
        </w:rPr>
        <w:t>（1）沟通项目所需资料的收集</w:t>
      </w:r>
      <w:r>
        <w:rPr>
          <w:rFonts w:hint="eastAsia" w:hAnsi="宋体"/>
          <w:sz w:val="24"/>
        </w:rPr>
        <w:t>。</w:t>
      </w:r>
    </w:p>
    <w:p>
      <w:pPr>
        <w:pStyle w:val="8"/>
        <w:rPr>
          <w:rFonts w:hAnsi="宋体"/>
          <w:sz w:val="24"/>
        </w:rPr>
      </w:pPr>
      <w:r>
        <w:rPr>
          <w:rFonts w:hint="eastAsia" w:ascii="Times New Roman" w:hAnsi="Times New Roman"/>
          <w:sz w:val="24"/>
        </w:rPr>
        <w:t>（2）沟通项目进度信息。</w:t>
      </w:r>
    </w:p>
    <w:p>
      <w:pPr>
        <w:pStyle w:val="8"/>
        <w:rPr>
          <w:rFonts w:hAnsi="宋体"/>
          <w:sz w:val="24"/>
        </w:rPr>
      </w:pPr>
      <w:r>
        <w:rPr>
          <w:rFonts w:hint="eastAsia" w:ascii="Times New Roman" w:hAnsi="Times New Roman"/>
          <w:sz w:val="24"/>
        </w:rPr>
        <w:t>（3）协商解决项目执行过程中遇到的问题。</w:t>
      </w:r>
    </w:p>
    <w:p>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pPr>
        <w:spacing w:line="360" w:lineRule="auto"/>
        <w:ind w:left="6" w:leftChars="3" w:firstLine="480" w:firstLineChars="200"/>
        <w:rPr>
          <w:sz w:val="24"/>
        </w:rPr>
      </w:pPr>
      <w:r>
        <w:rPr>
          <w:rFonts w:hint="eastAsia"/>
          <w:sz w:val="24"/>
        </w:rPr>
        <w:t>投标方</w:t>
      </w:r>
      <w:r>
        <w:rPr>
          <w:sz w:val="24"/>
        </w:rPr>
        <w:t>技术文件应包括：</w:t>
      </w:r>
    </w:p>
    <w:p>
      <w:pPr>
        <w:spacing w:line="360" w:lineRule="auto"/>
        <w:ind w:left="6" w:leftChars="3" w:firstLine="480" w:firstLineChars="200"/>
        <w:rPr>
          <w:sz w:val="24"/>
        </w:rPr>
      </w:pPr>
      <w:r>
        <w:rPr>
          <w:sz w:val="24"/>
        </w:rPr>
        <w:t>（1）</w:t>
      </w:r>
      <w:r>
        <w:rPr>
          <w:rFonts w:ascii="宋体" w:hAnsi="宋体" w:cs="宋体"/>
          <w:sz w:val="24"/>
        </w:rPr>
        <w:t>提供完整的系统设计方案、</w:t>
      </w:r>
      <w:r>
        <w:rPr>
          <w:rFonts w:hint="eastAsia" w:ascii="宋体" w:hAnsi="宋体" w:cs="宋体"/>
          <w:sz w:val="24"/>
        </w:rPr>
        <w:t>系统架构说明，数据库设计说明</w:t>
      </w:r>
      <w:r>
        <w:rPr>
          <w:rFonts w:ascii="宋体" w:hAnsi="宋体" w:cs="宋体"/>
          <w:sz w:val="24"/>
        </w:rPr>
        <w:t>、数据流转逻辑及实施方案与计划</w:t>
      </w:r>
      <w:r>
        <w:rPr>
          <w:rFonts w:hint="eastAsia" w:ascii="宋体" w:hAnsi="宋体" w:cs="宋体"/>
          <w:sz w:val="24"/>
          <w:lang w:eastAsia="zh-CN"/>
        </w:rPr>
        <w:t>；</w:t>
      </w:r>
    </w:p>
    <w:p>
      <w:pPr>
        <w:spacing w:line="360" w:lineRule="auto"/>
        <w:ind w:left="6" w:leftChars="3" w:firstLine="480" w:firstLineChars="200"/>
        <w:rPr>
          <w:rFonts w:hint="eastAsia" w:eastAsia="宋体"/>
          <w:sz w:val="24"/>
          <w:lang w:eastAsia="zh-CN"/>
        </w:rPr>
      </w:pPr>
      <w:r>
        <w:rPr>
          <w:sz w:val="24"/>
        </w:rPr>
        <w:t>（2）预期目标和成果，主要技术难点、创新点及解决措施</w:t>
      </w:r>
      <w:r>
        <w:rPr>
          <w:rFonts w:hint="eastAsia"/>
          <w:sz w:val="24"/>
          <w:lang w:eastAsia="zh-CN"/>
        </w:rPr>
        <w:t>。</w:t>
      </w:r>
    </w:p>
    <w:p>
      <w:pPr>
        <w:pStyle w:val="4"/>
        <w:numPr>
          <w:ilvl w:val="0"/>
          <w:numId w:val="0"/>
        </w:numPr>
        <w:rPr>
          <w:rFonts w:hint="eastAsia" w:ascii="黑体" w:hAnsi="黑体" w:eastAsia="黑体" w:cs="黑体"/>
          <w:b/>
          <w:bCs/>
          <w:kern w:val="2"/>
          <w:sz w:val="28"/>
          <w:szCs w:val="36"/>
          <w:lang w:val="en-US" w:eastAsia="zh-CN" w:bidi="ar-SA"/>
        </w:rPr>
      </w:pPr>
      <w:bookmarkStart w:id="51" w:name="_Toc12192"/>
      <w:bookmarkStart w:id="52" w:name="_Toc12135"/>
      <w:bookmarkStart w:id="53" w:name="_Toc309805603"/>
      <w:bookmarkStart w:id="54" w:name="_Toc23520"/>
      <w:bookmarkStart w:id="55" w:name="_Toc312827039"/>
      <w:bookmarkStart w:id="56" w:name="_Toc26448179"/>
      <w:bookmarkStart w:id="57" w:name="_Toc309593208"/>
      <w:bookmarkStart w:id="58" w:name="_Toc14774"/>
      <w:bookmarkStart w:id="59" w:name="_Toc309593279"/>
      <w:r>
        <w:rPr>
          <w:rFonts w:hint="eastAsia" w:ascii="黑体" w:hAnsi="黑体" w:eastAsia="黑体" w:cs="黑体"/>
          <w:b/>
          <w:bCs/>
          <w:kern w:val="2"/>
          <w:sz w:val="28"/>
          <w:szCs w:val="36"/>
          <w:lang w:val="en-US" w:eastAsia="zh-CN" w:bidi="ar-SA"/>
        </w:rPr>
        <w:t>6.※工期进度要求</w:t>
      </w:r>
      <w:bookmarkEnd w:id="51"/>
      <w:bookmarkEnd w:id="52"/>
      <w:bookmarkEnd w:id="53"/>
      <w:bookmarkEnd w:id="54"/>
      <w:bookmarkEnd w:id="55"/>
      <w:bookmarkEnd w:id="56"/>
      <w:bookmarkEnd w:id="57"/>
      <w:bookmarkEnd w:id="58"/>
      <w:bookmarkEnd w:id="59"/>
    </w:p>
    <w:p>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pPr>
              <w:jc w:val="center"/>
              <w:rPr>
                <w:b/>
                <w:sz w:val="24"/>
              </w:rPr>
            </w:pPr>
            <w:r>
              <w:rPr>
                <w:b/>
                <w:sz w:val="24"/>
              </w:rPr>
              <w:t>任务名称</w:t>
            </w:r>
          </w:p>
        </w:tc>
        <w:tc>
          <w:tcPr>
            <w:tcW w:w="1734" w:type="dxa"/>
            <w:noWrap w:val="0"/>
            <w:vAlign w:val="center"/>
          </w:tcPr>
          <w:p>
            <w:pPr>
              <w:jc w:val="center"/>
              <w:rPr>
                <w:b/>
                <w:sz w:val="24"/>
              </w:rPr>
            </w:pPr>
            <w:r>
              <w:rPr>
                <w:b/>
                <w:sz w:val="24"/>
              </w:rPr>
              <w:t>工作时间</w:t>
            </w:r>
          </w:p>
        </w:tc>
        <w:tc>
          <w:tcPr>
            <w:tcW w:w="5358" w:type="dxa"/>
            <w:noWrap w:val="0"/>
            <w:vAlign w:val="center"/>
          </w:tcPr>
          <w:p>
            <w:pPr>
              <w:tabs>
                <w:tab w:val="left" w:pos="859"/>
              </w:tabs>
              <w:ind w:left="111" w:leftChars="53" w:firstLine="7" w:firstLineChars="3"/>
              <w:jc w:val="center"/>
              <w:rPr>
                <w:b/>
                <w:sz w:val="24"/>
              </w:rPr>
            </w:pPr>
            <w:r>
              <w:rPr>
                <w:b/>
                <w:sz w:val="24"/>
              </w:rPr>
              <w:t>主要内容及交付项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center"/>
          </w:tcPr>
          <w:p>
            <w:pPr>
              <w:pStyle w:val="54"/>
              <w:snapToGrid w:val="0"/>
              <w:rPr>
                <w:rFonts w:hint="default" w:ascii="Times New Roman" w:eastAsia="宋体"/>
                <w:kern w:val="2"/>
                <w:sz w:val="21"/>
                <w:szCs w:val="21"/>
                <w:lang w:val="en-US" w:eastAsia="zh-CN"/>
              </w:rPr>
            </w:pPr>
            <w:r>
              <w:rPr>
                <w:rFonts w:hint="eastAsia" w:ascii="Times New Roman" w:eastAsia="宋体"/>
                <w:kern w:val="2"/>
                <w:sz w:val="21"/>
                <w:szCs w:val="21"/>
                <w:lang w:eastAsia="zh-CN"/>
              </w:rPr>
              <w:t>需求调研</w:t>
            </w:r>
            <w:r>
              <w:rPr>
                <w:rFonts w:hint="eastAsia" w:ascii="Times New Roman" w:eastAsia="宋体"/>
                <w:kern w:val="2"/>
                <w:sz w:val="21"/>
                <w:szCs w:val="21"/>
                <w:lang w:val="en-US" w:eastAsia="zh-CN"/>
              </w:rPr>
              <w:t>与分析</w:t>
            </w:r>
          </w:p>
        </w:tc>
        <w:tc>
          <w:tcPr>
            <w:tcW w:w="1734" w:type="dxa"/>
            <w:noWrap w:val="0"/>
            <w:vAlign w:val="center"/>
          </w:tcPr>
          <w:p>
            <w:pPr>
              <w:adjustRightInd w:val="0"/>
              <w:snapToGrid w:val="0"/>
              <w:spacing w:line="400" w:lineRule="exact"/>
              <w:ind w:right="72"/>
              <w:jc w:val="center"/>
              <w:textAlignment w:val="center"/>
              <w:rPr>
                <w:szCs w:val="21"/>
              </w:rPr>
            </w:pPr>
            <w:r>
              <w:rPr>
                <w:rFonts w:hint="eastAsia"/>
                <w:szCs w:val="21"/>
              </w:rPr>
              <w:t>采购结果确定后</w:t>
            </w:r>
            <w:r>
              <w:rPr>
                <w:rFonts w:hint="eastAsia"/>
                <w:szCs w:val="21"/>
                <w:lang w:val="en-US" w:eastAsia="zh-CN"/>
              </w:rPr>
              <w:t>2</w:t>
            </w:r>
            <w:r>
              <w:rPr>
                <w:rFonts w:hint="eastAsia"/>
                <w:szCs w:val="21"/>
              </w:rPr>
              <w:t>月内</w:t>
            </w:r>
          </w:p>
        </w:tc>
        <w:tc>
          <w:tcPr>
            <w:tcW w:w="5358" w:type="dxa"/>
            <w:noWrap w:val="0"/>
            <w:vAlign w:val="center"/>
          </w:tcPr>
          <w:p>
            <w:pPr>
              <w:pStyle w:val="54"/>
              <w:snapToGrid w:val="0"/>
              <w:rPr>
                <w:rFonts w:hint="eastAsia" w:ascii="宋体" w:hAnsi="宋体" w:eastAsia="宋体" w:cs="宋体"/>
                <w:b/>
                <w:kern w:val="2"/>
                <w:sz w:val="21"/>
                <w:szCs w:val="21"/>
              </w:rPr>
            </w:pPr>
            <w:r>
              <w:rPr>
                <w:rFonts w:hint="eastAsia" w:ascii="宋体" w:hAnsi="宋体" w:eastAsia="宋体" w:cs="宋体"/>
                <w:b/>
                <w:kern w:val="2"/>
                <w:sz w:val="21"/>
                <w:szCs w:val="21"/>
              </w:rPr>
              <w:t>主要内容：</w:t>
            </w:r>
          </w:p>
          <w:p>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调研</w:t>
            </w:r>
            <w:bookmarkStart w:id="60" w:name="OLE_LINK7"/>
            <w:r>
              <w:rPr>
                <w:rFonts w:hint="eastAsia" w:ascii="Times New Roman" w:eastAsia="宋体" w:cs="Times New Roman"/>
                <w:kern w:val="2"/>
                <w:sz w:val="21"/>
                <w:szCs w:val="21"/>
                <w:lang w:val="en-US" w:eastAsia="zh-CN"/>
              </w:rPr>
              <w:t>变压器散热</w:t>
            </w:r>
            <w:bookmarkEnd w:id="60"/>
            <w:r>
              <w:rPr>
                <w:rFonts w:hint="eastAsia" w:ascii="Times New Roman" w:eastAsia="宋体" w:cs="Times New Roman"/>
                <w:kern w:val="2"/>
                <w:sz w:val="21"/>
                <w:szCs w:val="21"/>
                <w:lang w:val="en-US" w:eastAsia="zh-CN"/>
              </w:rPr>
              <w:t>性能情况，提出解决措施</w:t>
            </w:r>
            <w:r>
              <w:rPr>
                <w:rFonts w:hint="eastAsia" w:ascii="Times New Roman" w:eastAsia="宋体" w:cs="Times New Roman"/>
                <w:kern w:val="2"/>
                <w:sz w:val="21"/>
                <w:szCs w:val="21"/>
              </w:rPr>
              <w:t>。</w:t>
            </w:r>
          </w:p>
          <w:p>
            <w:pPr>
              <w:pStyle w:val="54"/>
              <w:snapToGrid w:val="0"/>
              <w:rPr>
                <w:rFonts w:ascii="Times New Roman" w:eastAsia="宋体"/>
                <w:b/>
                <w:kern w:val="2"/>
                <w:sz w:val="21"/>
                <w:szCs w:val="21"/>
              </w:rPr>
            </w:pPr>
            <w:r>
              <w:rPr>
                <w:rFonts w:hint="eastAsia" w:ascii="宋体" w:hAnsi="宋体" w:eastAsia="宋体" w:cs="宋体"/>
                <w:b/>
                <w:kern w:val="2"/>
                <w:sz w:val="21"/>
                <w:szCs w:val="21"/>
              </w:rPr>
              <w:t>交付项</w:t>
            </w:r>
            <w:r>
              <w:rPr>
                <w:rFonts w:hint="eastAsia" w:ascii="宋体" w:hAnsi="宋体" w:eastAsia="宋体" w:cs="宋体"/>
                <w:kern w:val="2"/>
                <w:sz w:val="21"/>
                <w:szCs w:val="21"/>
              </w:rPr>
              <w:t>：研究报告一份。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center"/>
          </w:tcPr>
          <w:p>
            <w:pPr>
              <w:pStyle w:val="54"/>
              <w:snapToGrid w:val="0"/>
              <w:rPr>
                <w:rFonts w:hint="default" w:ascii="Times New Roman" w:eastAsia="宋体" w:cs="Times New Roman"/>
                <w:kern w:val="2"/>
                <w:sz w:val="21"/>
                <w:szCs w:val="21"/>
                <w:highlight w:val="none"/>
                <w:lang w:val="en-US"/>
              </w:rPr>
            </w:pPr>
            <w:bookmarkStart w:id="61" w:name="OLE_LINK9"/>
            <w:r>
              <w:rPr>
                <w:rFonts w:hint="eastAsia" w:ascii="Times New Roman" w:eastAsia="宋体" w:cs="Times New Roman"/>
                <w:kern w:val="2"/>
                <w:sz w:val="21"/>
                <w:szCs w:val="21"/>
                <w:lang w:val="en-US" w:eastAsia="zh-CN"/>
              </w:rPr>
              <w:t>变压器散热涂料</w:t>
            </w:r>
            <w:bookmarkEnd w:id="61"/>
            <w:r>
              <w:rPr>
                <w:rFonts w:hint="eastAsia" w:ascii="Times New Roman" w:eastAsia="宋体" w:cs="Times New Roman"/>
                <w:kern w:val="2"/>
                <w:sz w:val="21"/>
                <w:szCs w:val="21"/>
                <w:lang w:val="en-US" w:eastAsia="zh-CN"/>
              </w:rPr>
              <w:t>开发</w:t>
            </w:r>
          </w:p>
        </w:tc>
        <w:tc>
          <w:tcPr>
            <w:tcW w:w="1734" w:type="dxa"/>
            <w:noWrap w:val="0"/>
            <w:vAlign w:val="center"/>
          </w:tcPr>
          <w:p>
            <w:pPr>
              <w:spacing w:line="264" w:lineRule="auto"/>
              <w:jc w:val="center"/>
              <w:rPr>
                <w:sz w:val="24"/>
              </w:rPr>
            </w:pPr>
            <w:r>
              <w:rPr>
                <w:rFonts w:hint="eastAsia"/>
                <w:szCs w:val="21"/>
              </w:rPr>
              <w:t>采购结果确定后</w:t>
            </w:r>
            <w:r>
              <w:rPr>
                <w:rFonts w:hint="eastAsia"/>
                <w:szCs w:val="21"/>
                <w:lang w:val="en-US" w:eastAsia="zh-CN"/>
              </w:rPr>
              <w:t>3</w:t>
            </w:r>
            <w:r>
              <w:rPr>
                <w:rFonts w:hint="eastAsia"/>
                <w:szCs w:val="21"/>
              </w:rPr>
              <w:t>月内</w:t>
            </w:r>
          </w:p>
        </w:tc>
        <w:tc>
          <w:tcPr>
            <w:tcW w:w="5358" w:type="dxa"/>
            <w:noWrap w:val="0"/>
            <w:vAlign w:val="center"/>
          </w:tcPr>
          <w:p>
            <w:pPr>
              <w:pStyle w:val="54"/>
              <w:snapToGrid w:val="0"/>
              <w:rPr>
                <w:rFonts w:ascii="Times New Roman" w:eastAsia="宋体"/>
                <w:b/>
                <w:kern w:val="2"/>
                <w:sz w:val="21"/>
                <w:szCs w:val="21"/>
              </w:rPr>
            </w:pPr>
            <w:r>
              <w:rPr>
                <w:rFonts w:ascii="Times New Roman" w:eastAsia="宋体"/>
                <w:b/>
                <w:kern w:val="2"/>
                <w:sz w:val="21"/>
                <w:szCs w:val="21"/>
              </w:rPr>
              <w:t>主要内容：</w:t>
            </w:r>
          </w:p>
          <w:p>
            <w:pPr>
              <w:pStyle w:val="54"/>
              <w:snapToGrid w:val="0"/>
              <w:rPr>
                <w:rFonts w:hint="eastAsia" w:ascii="Times New Roman" w:eastAsia="宋体" w:cs="Times New Roman"/>
                <w:kern w:val="2"/>
                <w:sz w:val="21"/>
                <w:szCs w:val="21"/>
                <w:lang w:val="en-US" w:eastAsia="zh-CN"/>
              </w:rPr>
            </w:pPr>
            <w:r>
              <w:rPr>
                <w:rFonts w:hint="eastAsia" w:ascii="Times New Roman" w:eastAsia="宋体" w:cs="Times New Roman"/>
                <w:kern w:val="2"/>
                <w:sz w:val="21"/>
                <w:szCs w:val="21"/>
                <w:lang w:val="en-US" w:eastAsia="zh-CN"/>
              </w:rPr>
              <w:t>开发</w:t>
            </w:r>
            <w:bookmarkStart w:id="62" w:name="OLE_LINK10"/>
            <w:r>
              <w:rPr>
                <w:rFonts w:hint="eastAsia" w:ascii="Times New Roman" w:eastAsia="宋体" w:cs="Times New Roman"/>
                <w:kern w:val="2"/>
                <w:sz w:val="21"/>
                <w:szCs w:val="21"/>
                <w:lang w:val="en-US" w:eastAsia="zh-CN"/>
              </w:rPr>
              <w:t>一种变压器散热涂料</w:t>
            </w:r>
            <w:bookmarkEnd w:id="62"/>
            <w:r>
              <w:rPr>
                <w:rFonts w:hint="eastAsia" w:ascii="Times New Roman" w:eastAsia="宋体" w:cs="Times New Roman"/>
                <w:kern w:val="2"/>
                <w:sz w:val="21"/>
                <w:szCs w:val="21"/>
                <w:lang w:val="en-US" w:eastAsia="zh-CN"/>
              </w:rPr>
              <w:t>，满足可靠性、稳定性与环保性的要求</w:t>
            </w:r>
            <w:r>
              <w:rPr>
                <w:rFonts w:hint="default" w:ascii="Times New Roman" w:eastAsia="宋体" w:cs="Times New Roman"/>
                <w:kern w:val="2"/>
                <w:sz w:val="21"/>
                <w:szCs w:val="21"/>
                <w:lang w:val="en-US" w:eastAsia="zh-CN"/>
              </w:rPr>
              <w:t>。</w:t>
            </w:r>
          </w:p>
          <w:p>
            <w:pPr>
              <w:pStyle w:val="54"/>
              <w:snapToGrid w:val="0"/>
              <w:rPr>
                <w:rFonts w:hint="eastAsia" w:ascii="Times New Roman" w:eastAsia="宋体"/>
              </w:rPr>
            </w:pPr>
            <w:r>
              <w:rPr>
                <w:rFonts w:ascii="Times New Roman" w:eastAsia="宋体"/>
                <w:b/>
                <w:kern w:val="2"/>
                <w:sz w:val="21"/>
                <w:szCs w:val="21"/>
              </w:rPr>
              <w:t>交付项：</w:t>
            </w:r>
            <w:bookmarkStart w:id="63" w:name="OLE_LINK14"/>
            <w:r>
              <w:rPr>
                <w:rFonts w:hint="eastAsia" w:ascii="Times New Roman" w:eastAsia="宋体" w:cs="Times New Roman"/>
                <w:kern w:val="2"/>
                <w:sz w:val="21"/>
                <w:szCs w:val="21"/>
                <w:lang w:val="en-US" w:eastAsia="zh-CN"/>
              </w:rPr>
              <w:t>一种变压器散热涂料</w:t>
            </w:r>
            <w:bookmarkEnd w:id="63"/>
            <w:r>
              <w:rPr>
                <w:rFonts w:hint="eastAsia" w:ascii="Times New Roman" w:eastAsia="宋体" w:cs="Times New Roman"/>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center"/>
          </w:tcPr>
          <w:p>
            <w:pPr>
              <w:pStyle w:val="54"/>
              <w:snapToGrid w:val="0"/>
              <w:rPr>
                <w:rFonts w:ascii="Times New Roman" w:eastAsia="宋体" w:cs="Times New Roman"/>
                <w:kern w:val="2"/>
                <w:sz w:val="21"/>
                <w:szCs w:val="21"/>
                <w:highlight w:val="none"/>
              </w:rPr>
            </w:pPr>
            <w:r>
              <w:rPr>
                <w:rFonts w:hint="eastAsia" w:ascii="Times New Roman" w:eastAsia="宋体" w:cs="Times New Roman"/>
                <w:kern w:val="2"/>
                <w:sz w:val="21"/>
                <w:szCs w:val="21"/>
                <w:lang w:val="en-US" w:eastAsia="zh-CN"/>
              </w:rPr>
              <w:t>现场试用与优化</w:t>
            </w:r>
          </w:p>
        </w:tc>
        <w:tc>
          <w:tcPr>
            <w:tcW w:w="1734" w:type="dxa"/>
            <w:noWrap w:val="0"/>
            <w:vAlign w:val="center"/>
          </w:tcPr>
          <w:p>
            <w:pPr>
              <w:adjustRightInd w:val="0"/>
              <w:snapToGrid w:val="0"/>
              <w:spacing w:line="288" w:lineRule="auto"/>
              <w:ind w:right="72"/>
              <w:jc w:val="center"/>
              <w:rPr>
                <w:sz w:val="24"/>
              </w:rPr>
            </w:pPr>
            <w:r>
              <w:rPr>
                <w:rFonts w:hint="eastAsia"/>
                <w:szCs w:val="21"/>
              </w:rPr>
              <w:t>采购结果确定后</w:t>
            </w:r>
            <w:r>
              <w:rPr>
                <w:rFonts w:hint="eastAsia"/>
                <w:szCs w:val="21"/>
                <w:lang w:val="en-US" w:eastAsia="zh-CN"/>
              </w:rPr>
              <w:t>5</w:t>
            </w:r>
            <w:r>
              <w:rPr>
                <w:rFonts w:hint="eastAsia"/>
                <w:szCs w:val="21"/>
              </w:rPr>
              <w:t>月内</w:t>
            </w:r>
          </w:p>
        </w:tc>
        <w:tc>
          <w:tcPr>
            <w:tcW w:w="5358" w:type="dxa"/>
            <w:noWrap w:val="0"/>
            <w:vAlign w:val="center"/>
          </w:tcPr>
          <w:p>
            <w:pPr>
              <w:pStyle w:val="54"/>
              <w:snapToGrid w:val="0"/>
              <w:rPr>
                <w:rFonts w:ascii="Times New Roman" w:eastAsia="宋体"/>
                <w:b/>
                <w:kern w:val="2"/>
                <w:sz w:val="21"/>
                <w:szCs w:val="21"/>
              </w:rPr>
            </w:pPr>
            <w:r>
              <w:rPr>
                <w:rFonts w:ascii="Times New Roman" w:eastAsia="宋体"/>
                <w:b/>
                <w:kern w:val="2"/>
                <w:sz w:val="21"/>
                <w:szCs w:val="21"/>
              </w:rPr>
              <w:t>主要内容：</w:t>
            </w:r>
          </w:p>
          <w:p>
            <w:pPr>
              <w:pStyle w:val="54"/>
              <w:numPr>
                <w:ilvl w:val="0"/>
                <w:numId w:val="2"/>
              </w:numPr>
              <w:snapToGrid w:val="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现场试用；</w:t>
            </w:r>
            <w:r>
              <w:rPr>
                <w:rFonts w:hint="eastAsia" w:ascii="Calibri" w:hAnsi="Calibri" w:eastAsia="宋体" w:cs="Times New Roman"/>
                <w:kern w:val="2"/>
                <w:sz w:val="21"/>
                <w:szCs w:val="21"/>
                <w:lang w:val="en-US" w:eastAsia="zh-CN" w:bidi="ar-SA"/>
              </w:rPr>
              <w:br w:type="textWrapping"/>
            </w:r>
            <w:r>
              <w:rPr>
                <w:rFonts w:hint="default" w:ascii="Calibri" w:hAnsi="Calibri" w:eastAsia="宋体" w:cs="Times New Roman"/>
                <w:kern w:val="2"/>
                <w:sz w:val="21"/>
                <w:szCs w:val="21"/>
                <w:lang w:val="en-US" w:eastAsia="zh-CN" w:bidi="ar-SA"/>
              </w:rPr>
              <w:t>（2）</w:t>
            </w:r>
            <w:r>
              <w:rPr>
                <w:rFonts w:hint="eastAsia" w:ascii="Calibri" w:hAnsi="Calibri" w:eastAsia="宋体" w:cs="Times New Roman"/>
                <w:kern w:val="2"/>
                <w:sz w:val="21"/>
                <w:szCs w:val="21"/>
                <w:lang w:val="en-US" w:eastAsia="zh-CN" w:bidi="ar-SA"/>
              </w:rPr>
              <w:t>收集现场试用反馈，优化指标；</w:t>
            </w:r>
            <w:r>
              <w:rPr>
                <w:rFonts w:hint="eastAsia" w:ascii="Calibri" w:hAnsi="Calibri" w:eastAsia="宋体" w:cs="Times New Roman"/>
                <w:kern w:val="2"/>
                <w:sz w:val="21"/>
                <w:szCs w:val="21"/>
                <w:lang w:val="en-US" w:eastAsia="zh-CN" w:bidi="ar-SA"/>
              </w:rPr>
              <w:br w:type="textWrapping"/>
            </w:r>
            <w:r>
              <w:rPr>
                <w:rFonts w:hint="default" w:ascii="Calibri" w:hAnsi="Calibri" w:eastAsia="宋体" w:cs="Times New Roman"/>
                <w:kern w:val="2"/>
                <w:sz w:val="21"/>
                <w:szCs w:val="21"/>
                <w:lang w:val="en-US" w:eastAsia="zh-CN" w:bidi="ar-SA"/>
              </w:rPr>
              <w:t>（3）</w:t>
            </w:r>
            <w:r>
              <w:rPr>
                <w:rFonts w:hint="eastAsia" w:ascii="Calibri" w:hAnsi="Calibri" w:eastAsia="宋体" w:cs="Times New Roman"/>
                <w:kern w:val="2"/>
                <w:sz w:val="21"/>
                <w:szCs w:val="21"/>
                <w:lang w:val="en-US" w:eastAsia="zh-CN" w:bidi="ar-SA"/>
              </w:rPr>
              <w:t>完成最终定材料开发。</w:t>
            </w:r>
          </w:p>
          <w:p>
            <w:pPr>
              <w:pStyle w:val="54"/>
              <w:numPr>
                <w:ilvl w:val="0"/>
                <w:numId w:val="0"/>
              </w:numPr>
              <w:snapToGrid w:val="0"/>
              <w:rPr>
                <w:rFonts w:hint="default" w:ascii="Times New Roman" w:eastAsia="宋体"/>
                <w:kern w:val="2"/>
                <w:sz w:val="21"/>
                <w:szCs w:val="21"/>
                <w:lang w:val="en-US" w:eastAsia="zh-CN"/>
              </w:rPr>
            </w:pPr>
            <w:r>
              <w:rPr>
                <w:rFonts w:ascii="Times New Roman" w:eastAsia="宋体"/>
                <w:b/>
                <w:kern w:val="2"/>
                <w:sz w:val="21"/>
                <w:szCs w:val="21"/>
              </w:rPr>
              <w:t>交付项：</w:t>
            </w:r>
            <w:r>
              <w:rPr>
                <w:rFonts w:hint="eastAsia" w:ascii="Times New Roman" w:eastAsia="宋体" w:cs="Times New Roman"/>
                <w:kern w:val="2"/>
                <w:sz w:val="21"/>
                <w:szCs w:val="21"/>
                <w:lang w:val="en-US" w:eastAsia="zh-CN"/>
              </w:rPr>
              <w:t>一种变压器散热涂料。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pPr>
              <w:pStyle w:val="54"/>
              <w:snapToGrid w:val="0"/>
              <w:rPr>
                <w:rFonts w:ascii="Times New Roman"/>
                <w:highlight w:val="none"/>
              </w:rPr>
            </w:pPr>
            <w:r>
              <w:rPr>
                <w:rFonts w:ascii="Times New Roman" w:eastAsia="宋体"/>
                <w:kern w:val="2"/>
                <w:sz w:val="21"/>
                <w:szCs w:val="21"/>
                <w:highlight w:val="none"/>
              </w:rPr>
              <w:t>项目验收</w:t>
            </w:r>
          </w:p>
        </w:tc>
        <w:tc>
          <w:tcPr>
            <w:tcW w:w="1734" w:type="dxa"/>
            <w:noWrap w:val="0"/>
            <w:vAlign w:val="center"/>
          </w:tcPr>
          <w:p>
            <w:pPr>
              <w:adjustRightInd w:val="0"/>
              <w:snapToGrid w:val="0"/>
              <w:spacing w:line="400" w:lineRule="exact"/>
              <w:ind w:right="72"/>
              <w:jc w:val="center"/>
              <w:textAlignment w:val="center"/>
              <w:rPr>
                <w:sz w:val="24"/>
                <w:highlight w:val="none"/>
              </w:rPr>
            </w:pPr>
            <w:r>
              <w:rPr>
                <w:szCs w:val="21"/>
                <w:highlight w:val="none"/>
              </w:rPr>
              <w:t>202</w:t>
            </w:r>
            <w:r>
              <w:rPr>
                <w:rFonts w:hint="eastAsia"/>
                <w:szCs w:val="21"/>
                <w:highlight w:val="none"/>
                <w:lang w:val="en-US" w:eastAsia="zh-CN"/>
              </w:rPr>
              <w:t>6</w:t>
            </w:r>
            <w:r>
              <w:rPr>
                <w:szCs w:val="21"/>
                <w:highlight w:val="none"/>
              </w:rPr>
              <w:t>年</w:t>
            </w:r>
            <w:r>
              <w:rPr>
                <w:rFonts w:hint="eastAsia"/>
                <w:szCs w:val="21"/>
                <w:highlight w:val="none"/>
                <w:lang w:val="en-US" w:eastAsia="zh-CN"/>
              </w:rPr>
              <w:t>12</w:t>
            </w:r>
            <w:r>
              <w:rPr>
                <w:szCs w:val="21"/>
                <w:highlight w:val="none"/>
              </w:rPr>
              <w:t>月</w:t>
            </w:r>
          </w:p>
        </w:tc>
        <w:tc>
          <w:tcPr>
            <w:tcW w:w="5358" w:type="dxa"/>
            <w:noWrap w:val="0"/>
            <w:vAlign w:val="center"/>
          </w:tcPr>
          <w:p>
            <w:pPr>
              <w:pStyle w:val="54"/>
              <w:snapToGrid w:val="0"/>
              <w:rPr>
                <w:rFonts w:ascii="Times New Roman" w:eastAsia="宋体"/>
                <w:kern w:val="2"/>
                <w:sz w:val="21"/>
                <w:szCs w:val="21"/>
                <w:highlight w:val="none"/>
              </w:rPr>
            </w:pPr>
            <w:r>
              <w:rPr>
                <w:rFonts w:ascii="Times New Roman" w:eastAsia="宋体"/>
                <w:b/>
                <w:kern w:val="2"/>
                <w:sz w:val="21"/>
                <w:szCs w:val="21"/>
                <w:highlight w:val="none"/>
              </w:rPr>
              <w:t>主要内容</w:t>
            </w:r>
            <w:r>
              <w:rPr>
                <w:rFonts w:ascii="Times New Roman" w:eastAsia="宋体"/>
                <w:kern w:val="2"/>
                <w:sz w:val="21"/>
                <w:szCs w:val="21"/>
                <w:highlight w:val="none"/>
              </w:rPr>
              <w:t>：项目结题验收。</w:t>
            </w:r>
          </w:p>
          <w:p>
            <w:pPr>
              <w:pStyle w:val="54"/>
              <w:snapToGrid w:val="0"/>
              <w:rPr>
                <w:rFonts w:hint="eastAsia" w:ascii="Times New Roman" w:eastAsia="宋体"/>
                <w:highlight w:val="none"/>
                <w:lang w:eastAsia="zh-CN"/>
              </w:rPr>
            </w:pPr>
            <w:bookmarkStart w:id="64" w:name="OLE_LINK13"/>
            <w:r>
              <w:rPr>
                <w:rFonts w:ascii="Times New Roman" w:eastAsia="宋体"/>
                <w:b/>
                <w:kern w:val="2"/>
                <w:sz w:val="21"/>
                <w:szCs w:val="21"/>
                <w:highlight w:val="none"/>
              </w:rPr>
              <w:t>交付项</w:t>
            </w:r>
            <w:r>
              <w:rPr>
                <w:rFonts w:ascii="Times New Roman" w:eastAsia="宋体"/>
                <w:kern w:val="2"/>
                <w:sz w:val="21"/>
                <w:szCs w:val="21"/>
                <w:highlight w:val="none"/>
              </w:rPr>
              <w:t>：</w:t>
            </w:r>
            <w:bookmarkEnd w:id="64"/>
            <w:bookmarkStart w:id="66" w:name="_GoBack"/>
            <w:bookmarkEnd w:id="66"/>
            <w:r>
              <w:rPr>
                <w:rFonts w:hint="eastAsia" w:ascii="Times New Roman" w:eastAsia="宋体" w:cs="Times New Roman"/>
                <w:kern w:val="2"/>
                <w:sz w:val="21"/>
                <w:szCs w:val="21"/>
              </w:rPr>
              <w:t>研究报告</w:t>
            </w:r>
            <w:bookmarkStart w:id="65" w:name="OLE_LINK12"/>
            <w:r>
              <w:rPr>
                <w:rFonts w:hint="eastAsia" w:ascii="Times New Roman" w:eastAsia="宋体" w:cs="Times New Roman"/>
                <w:kern w:val="2"/>
                <w:sz w:val="21"/>
                <w:szCs w:val="21"/>
                <w:lang w:eastAsia="zh-CN"/>
              </w:rPr>
              <w:t>、</w:t>
            </w:r>
            <w:bookmarkEnd w:id="65"/>
            <w:r>
              <w:rPr>
                <w:rFonts w:hint="eastAsia" w:ascii="Times New Roman" w:eastAsia="宋体" w:cs="Times New Roman"/>
                <w:kern w:val="2"/>
                <w:sz w:val="21"/>
                <w:szCs w:val="21"/>
              </w:rPr>
              <w:t>技术资料、专利申报材料</w:t>
            </w:r>
            <w:r>
              <w:rPr>
                <w:rFonts w:hint="eastAsia" w:ascii="Times New Roman" w:eastAsia="宋体" w:cs="Times New Roman"/>
                <w:kern w:val="2"/>
                <w:sz w:val="21"/>
                <w:szCs w:val="21"/>
                <w:lang w:eastAsia="zh-CN"/>
              </w:rPr>
              <w:t>。</w:t>
            </w:r>
          </w:p>
        </w:tc>
      </w:tr>
    </w:tbl>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6"/>
      <w:bookmarkEnd w:id="37"/>
      <w:bookmarkEnd w:id="38"/>
      <w:bookmarkEnd w:id="39"/>
      <w:bookmarkEnd w:id="40"/>
      <w:bookmarkEnd w:id="41"/>
      <w:bookmarkEnd w:id="42"/>
    </w:p>
    <w:p>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3"/>
    </w:p>
    <w:p>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10BDFC"/>
    <w:multiLevelType w:val="singleLevel"/>
    <w:tmpl w:val="CC10BDFC"/>
    <w:lvl w:ilvl="0" w:tentative="0">
      <w:start w:val="1"/>
      <w:numFmt w:val="decimal"/>
      <w:suff w:val="nothing"/>
      <w:lvlText w:val="（%1）"/>
      <w:lvlJc w:val="left"/>
    </w:lvl>
  </w:abstractNum>
  <w:abstractNum w:abstractNumId="1">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1DB3BCB"/>
    <w:rsid w:val="04340829"/>
    <w:rsid w:val="06D27AF8"/>
    <w:rsid w:val="06F2484F"/>
    <w:rsid w:val="0A210078"/>
    <w:rsid w:val="0C030754"/>
    <w:rsid w:val="0CA05D46"/>
    <w:rsid w:val="0DC92799"/>
    <w:rsid w:val="0F966A31"/>
    <w:rsid w:val="10550F6F"/>
    <w:rsid w:val="108C7B1C"/>
    <w:rsid w:val="128F30ED"/>
    <w:rsid w:val="12BD66DE"/>
    <w:rsid w:val="13132954"/>
    <w:rsid w:val="163A1216"/>
    <w:rsid w:val="166F3EB8"/>
    <w:rsid w:val="191A5617"/>
    <w:rsid w:val="1A0A5C1B"/>
    <w:rsid w:val="1BD511FB"/>
    <w:rsid w:val="1F8A11CF"/>
    <w:rsid w:val="20F20322"/>
    <w:rsid w:val="22431066"/>
    <w:rsid w:val="23D05B4F"/>
    <w:rsid w:val="27FA20BD"/>
    <w:rsid w:val="28677108"/>
    <w:rsid w:val="28745080"/>
    <w:rsid w:val="2AEE2FCE"/>
    <w:rsid w:val="2C0D5456"/>
    <w:rsid w:val="2C4C628B"/>
    <w:rsid w:val="2D630FAE"/>
    <w:rsid w:val="2DB575CA"/>
    <w:rsid w:val="2E9A689E"/>
    <w:rsid w:val="2F036DE8"/>
    <w:rsid w:val="2F7722A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D3F13B6"/>
    <w:rsid w:val="4DFF75F2"/>
    <w:rsid w:val="52420D12"/>
    <w:rsid w:val="52813094"/>
    <w:rsid w:val="56061A78"/>
    <w:rsid w:val="5643156F"/>
    <w:rsid w:val="57AF48B9"/>
    <w:rsid w:val="592823C4"/>
    <w:rsid w:val="592C035C"/>
    <w:rsid w:val="5981212C"/>
    <w:rsid w:val="5B187842"/>
    <w:rsid w:val="5D615387"/>
    <w:rsid w:val="61C27952"/>
    <w:rsid w:val="6212562E"/>
    <w:rsid w:val="62DB3950"/>
    <w:rsid w:val="62F53AC8"/>
    <w:rsid w:val="637B25C6"/>
    <w:rsid w:val="63D72C4E"/>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7"/>
    <w:next w:val="7"/>
    <w:qFormat/>
    <w:uiPriority w:val="99"/>
    <w:pPr>
      <w:ind w:firstLine="880" w:firstLineChars="200"/>
    </w:pPr>
    <w:rPr>
      <w:rFonts w:ascii="仿宋_GB2312" w:hAnsi="仿宋_GB2312" w:eastAsia="仿宋_GB2312" w:cs="Arial"/>
      <w:sz w:val="32"/>
      <w:szCs w:val="20"/>
    </w:rPr>
  </w:style>
  <w:style w:type="paragraph" w:styleId="7">
    <w:name w:val="Title"/>
    <w:basedOn w:val="1"/>
    <w:next w:val="1"/>
    <w:qFormat/>
    <w:uiPriority w:val="99"/>
    <w:pPr>
      <w:spacing w:before="240" w:after="60"/>
      <w:jc w:val="center"/>
      <w:outlineLvl w:val="0"/>
    </w:pPr>
    <w:rPr>
      <w:rFonts w:ascii="Arial" w:hAnsi="Arial"/>
      <w:b/>
      <w:bCs/>
      <w:sz w:val="32"/>
      <w:szCs w:val="32"/>
    </w:r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5169</Words>
  <Characters>5407</Characters>
  <Lines>122</Lines>
  <Paragraphs>127</Paragraphs>
  <TotalTime>397</TotalTime>
  <ScaleCrop>false</ScaleCrop>
  <LinksUpToDate>false</LinksUpToDate>
  <CharactersWithSpaces>5494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nnj_chenguang</cp:lastModifiedBy>
  <dcterms:modified xsi:type="dcterms:W3CDTF">2026-07-21T07:45:00Z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846D771A1C804E7ABDBA40EDA58AA39A</vt:lpwstr>
  </property>
  <property fmtid="{D5CDD505-2E9C-101B-9397-08002B2CF9AE}" pid="4" name="KSOTemplateDocerSaveRecord">
    <vt:lpwstr>eyJoZGlkIjoiNmY3MTJkMmE3Zjc0ZDdmZWZhMmM3NDVjMjU0NDU1NjMiLCJ1c2VySWQiOiI0Mzk0MDkwMTkifQ==</vt:lpwstr>
  </property>
</Properties>
</file>