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6634B8FD">
      <w:pPr>
        <w:adjustRightInd w:val="0"/>
        <w:snapToGrid w:val="0"/>
        <w:jc w:val="center"/>
        <w:rPr>
          <w:rFonts w:hint="eastAsia" w:eastAsia="黑体"/>
          <w:b/>
          <w:sz w:val="52"/>
        </w:rPr>
      </w:pPr>
      <w:r>
        <w:rPr>
          <w:rFonts w:hint="eastAsia" w:eastAsia="黑体"/>
          <w:b/>
          <w:sz w:val="52"/>
        </w:rPr>
        <w:t>高压断路器拉杆行程测量装置</w:t>
      </w:r>
    </w:p>
    <w:p w14:paraId="25D16481">
      <w:pPr>
        <w:adjustRightInd w:val="0"/>
        <w:snapToGrid w:val="0"/>
        <w:jc w:val="center"/>
        <w:rPr>
          <w:rFonts w:eastAsia="黑体"/>
          <w:b/>
          <w:sz w:val="52"/>
        </w:rPr>
      </w:pPr>
      <w:r>
        <w:rPr>
          <w:rFonts w:eastAsia="黑体"/>
          <w:b/>
          <w:sz w:val="52"/>
        </w:rPr>
        <w:t>技术规范书</w:t>
      </w:r>
    </w:p>
    <w:p w14:paraId="6D097E34">
      <w:pPr>
        <w:adjustRightInd w:val="0"/>
        <w:snapToGrid w:val="0"/>
        <w:rPr>
          <w:sz w:val="28"/>
          <w:szCs w:val="36"/>
        </w:rPr>
      </w:pPr>
    </w:p>
    <w:p w14:paraId="24228B6F">
      <w:pPr>
        <w:pStyle w:val="11"/>
      </w:pPr>
    </w:p>
    <w:p w14:paraId="622D7099">
      <w:pPr>
        <w:adjustRightInd w:val="0"/>
        <w:snapToGrid w:val="0"/>
        <w:rPr>
          <w:sz w:val="28"/>
          <w:szCs w:val="36"/>
        </w:rPr>
      </w:pPr>
    </w:p>
    <w:p w14:paraId="5031AAA0">
      <w:pPr>
        <w:pStyle w:val="11"/>
        <w:rPr>
          <w:sz w:val="28"/>
          <w:szCs w:val="36"/>
        </w:rPr>
      </w:pPr>
    </w:p>
    <w:p w14:paraId="44932D83">
      <w:pPr>
        <w:pStyle w:val="11"/>
        <w:rPr>
          <w:sz w:val="28"/>
          <w:szCs w:val="36"/>
        </w:rPr>
      </w:pPr>
    </w:p>
    <w:p w14:paraId="125B6D53">
      <w:pPr>
        <w:pStyle w:val="11"/>
        <w:rPr>
          <w:sz w:val="28"/>
          <w:szCs w:val="36"/>
        </w:rPr>
      </w:pPr>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高压断路器拉杆行程测量装置》研发、试制、现场试验、验收及交付全过程，明确工具设计、材料、结构、性能、试验、交付、售后全维度最低技术要求，投标方需提供完全满足本规范要求的成套工具及配套技术资料。</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531004210"/>
      <w:bookmarkStart w:id="4" w:name="_Toc531004264"/>
      <w:bookmarkStart w:id="5" w:name="_Toc441483964"/>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09593188"/>
      <w:bookmarkStart w:id="7" w:name="_Toc309805583"/>
      <w:bookmarkStart w:id="8" w:name="_Toc309593259"/>
      <w:bookmarkStart w:id="9" w:name="_Toc312827019"/>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39238C9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一种高压断路器拉杆行程测量装置的研制</w:t>
      </w:r>
    </w:p>
    <w:p w14:paraId="0063F22A">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1"/>
    <w:bookmarkEnd w:id="2"/>
    <w:p w14:paraId="20DBEF13">
      <w:pPr>
        <w:rPr>
          <w:rFonts w:hint="eastAsia" w:asciiTheme="minorEastAsia" w:hAnsiTheme="minorEastAsia" w:eastAsiaTheme="minorEastAsia" w:cstheme="minorEastAsia"/>
          <w:sz w:val="24"/>
        </w:rPr>
      </w:pPr>
      <w:bookmarkStart w:id="10" w:name="_Toc39753999"/>
      <w:bookmarkStart w:id="11" w:name="_Toc22304900"/>
      <w:bookmarkStart w:id="12" w:name="_Toc20556"/>
      <w:bookmarkStart w:id="13" w:name="_Toc39753342"/>
      <w:bookmarkStart w:id="14" w:name="_Toc384340980"/>
      <w:r>
        <w:rPr>
          <w:rFonts w:hint="eastAsia" w:asciiTheme="minorEastAsia" w:hAnsiTheme="minorEastAsia" w:eastAsiaTheme="minorEastAsia" w:cstheme="minorEastAsia"/>
          <w:sz w:val="24"/>
        </w:rPr>
        <w:t>本项目</w:t>
      </w:r>
      <w:r>
        <w:rPr>
          <w:rFonts w:hint="eastAsia" w:asciiTheme="minorEastAsia" w:hAnsiTheme="minorEastAsia" w:eastAsiaTheme="minorEastAsia" w:cstheme="minorEastAsia"/>
          <w:sz w:val="24"/>
          <w:lang w:val="en-US" w:eastAsia="zh-CN"/>
        </w:rPr>
        <w:t>主要依托高压断路器</w:t>
      </w:r>
      <w:r>
        <w:rPr>
          <w:rFonts w:hint="eastAsia" w:asciiTheme="minorEastAsia" w:hAnsiTheme="minorEastAsia" w:eastAsiaTheme="minorEastAsia" w:cstheme="minorEastAsia"/>
          <w:sz w:val="24"/>
        </w:rPr>
        <w:t>行程测量三大核心痛点开展工具研</w:t>
      </w:r>
      <w:r>
        <w:rPr>
          <w:rFonts w:hint="eastAsia" w:asciiTheme="minorEastAsia" w:hAnsiTheme="minorEastAsia" w:eastAsiaTheme="minorEastAsia" w:cstheme="minorEastAsia"/>
          <w:sz w:val="24"/>
          <w:lang w:val="en-US" w:eastAsia="zh-CN"/>
        </w:rPr>
        <w:t>制</w:t>
      </w:r>
      <w:r>
        <w:rPr>
          <w:rFonts w:hint="eastAsia" w:asciiTheme="minorEastAsia" w:hAnsiTheme="minorEastAsia" w:eastAsiaTheme="minorEastAsia" w:cstheme="minorEastAsia"/>
          <w:sz w:val="24"/>
        </w:rPr>
        <w:t>：</w:t>
      </w:r>
    </w:p>
    <w:p w14:paraId="1C94645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测量断路器拉杆行程目前均采用手动测量，并没有存在专门的测量装置，特别是在断路器合位时，由于机构仍有能量，测量存在较大的安全隐患。</w:t>
      </w:r>
    </w:p>
    <w:p w14:paraId="6851DC0E">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2.手动测量装置时，由于在狭窄的空间内进行测试，读数十分困难</w:t>
      </w:r>
      <w:r>
        <w:rPr>
          <w:rFonts w:hint="eastAsia" w:asciiTheme="minorEastAsia" w:hAnsiTheme="minorEastAsia" w:eastAsiaTheme="minorEastAsia" w:cstheme="minorEastAsia"/>
          <w:sz w:val="24"/>
        </w:rPr>
        <w:t>。</w:t>
      </w:r>
    </w:p>
    <w:p w14:paraId="295E52BA">
      <w:pPr>
        <w:rPr>
          <w:rFonts w:hint="default"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eastAsia="zh-CN"/>
        </w:rPr>
        <w:t>3.传动的</w:t>
      </w:r>
      <w:r>
        <w:rPr>
          <w:rFonts w:hint="eastAsia" w:asciiTheme="minorEastAsia" w:hAnsiTheme="minorEastAsia" w:eastAsiaTheme="minorEastAsia" w:cstheme="minorEastAsia"/>
          <w:sz w:val="24"/>
        </w:rPr>
        <w:t>高压断路器</w:t>
      </w:r>
      <w:r>
        <w:rPr>
          <w:rFonts w:hint="eastAsia" w:asciiTheme="minorEastAsia" w:hAnsiTheme="minorEastAsia" w:eastAsiaTheme="minorEastAsia" w:cstheme="minorEastAsia"/>
          <w:sz w:val="24"/>
          <w:lang w:val="en-US" w:eastAsia="zh-CN"/>
        </w:rPr>
        <w:t>手动测量，需要反复在断路器分闸、合闸状态下测量，测量十分耗时。</w:t>
      </w:r>
    </w:p>
    <w:p w14:paraId="599F976C">
      <w:pPr>
        <w:numPr>
          <w:ilvl w:val="0"/>
          <w:numId w:val="0"/>
        </w:numPr>
        <w:spacing w:before="120" w:after="120" w:line="288" w:lineRule="auto"/>
        <w:ind w:left="0" w:leftChars="0"/>
        <w:jc w:val="left"/>
        <w:rPr>
          <w:rFonts w:hint="eastAsia" w:ascii="宋体" w:hAnsi="宋体" w:eastAsia="宋体" w:cs="宋体"/>
          <w:b w:val="0"/>
          <w:bCs/>
          <w:color w:val="auto"/>
          <w:sz w:val="24"/>
          <w:szCs w:val="24"/>
        </w:rPr>
      </w:pPr>
    </w:p>
    <w:p w14:paraId="6E719897">
      <w:pPr>
        <w:spacing w:before="300" w:after="120" w:line="288" w:lineRule="auto"/>
        <w:ind w:left="0"/>
        <w:jc w:val="left"/>
        <w:outlineLvl w:val="2"/>
        <w:rPr>
          <w:rFonts w:hint="eastAsia" w:ascii="宋体" w:hAnsi="宋体" w:eastAsia="宋体" w:cs="宋体"/>
          <w:b w:val="0"/>
          <w:bCs/>
          <w:color w:val="auto"/>
          <w:sz w:val="24"/>
          <w:szCs w:val="24"/>
        </w:rPr>
      </w:pPr>
      <w:bookmarkStart w:id="15" w:name="heading_9"/>
      <w:r>
        <w:rPr>
          <w:rFonts w:hint="eastAsia" w:ascii="宋体" w:hAnsi="宋体" w:eastAsia="宋体" w:cs="宋体"/>
          <w:b w:val="0"/>
          <w:bCs/>
          <w:color w:val="auto"/>
          <w:sz w:val="24"/>
          <w:szCs w:val="24"/>
        </w:rPr>
        <w:t>2.3 项目总体方案</w:t>
      </w:r>
      <w:bookmarkEnd w:id="15"/>
    </w:p>
    <w:p w14:paraId="44074F20">
      <w:pPr>
        <w:ind w:firstLine="480" w:firstLineChars="200"/>
        <w:rPr>
          <w:rFonts w:hint="default" w:asciiTheme="minorEastAsia" w:hAnsiTheme="minorEastAsia" w:eastAsiaTheme="minorEastAsia" w:cstheme="minorEastAsia"/>
          <w:sz w:val="24"/>
          <w:lang w:val="en-US"/>
        </w:rPr>
      </w:pPr>
      <w:r>
        <w:rPr>
          <w:rFonts w:hint="eastAsia" w:ascii="宋体" w:hAnsi="宋体" w:eastAsia="宋体" w:cs="宋体"/>
          <w:b w:val="0"/>
          <w:bCs/>
          <w:color w:val="auto"/>
          <w:sz w:val="24"/>
          <w:szCs w:val="24"/>
        </w:rPr>
        <w:t>本工具以</w:t>
      </w:r>
      <w:r>
        <w:rPr>
          <w:rFonts w:hint="eastAsia" w:ascii="宋体" w:hAnsi="宋体" w:eastAsia="宋体" w:cs="宋体"/>
          <w:b w:val="0"/>
          <w:bCs/>
          <w:color w:val="auto"/>
          <w:sz w:val="24"/>
          <w:szCs w:val="24"/>
          <w:lang w:val="en-US" w:eastAsia="zh-CN"/>
        </w:rPr>
        <w:t>采用高精度的测量工具，采用电子读数的方式，</w:t>
      </w:r>
      <w:r>
        <w:rPr>
          <w:rFonts w:hint="eastAsia" w:ascii="宋体" w:hAnsi="宋体" w:eastAsia="宋体" w:cs="宋体"/>
          <w:b w:val="0"/>
          <w:bCs/>
          <w:color w:val="auto"/>
          <w:sz w:val="24"/>
          <w:szCs w:val="24"/>
        </w:rPr>
        <w:t>高压断路器拉杆行程测量装置</w:t>
      </w:r>
      <w:r>
        <w:rPr>
          <w:rFonts w:hint="eastAsia" w:ascii="宋体" w:hAnsi="宋体" w:eastAsia="宋体" w:cs="宋体"/>
          <w:b w:val="0"/>
          <w:bCs/>
          <w:color w:val="auto"/>
          <w:sz w:val="24"/>
          <w:szCs w:val="24"/>
          <w:lang w:val="en-US" w:eastAsia="zh-CN"/>
        </w:rPr>
        <w:t>在机构分位及释放能量的情况下完成安装固定。测量装置随着机构分合运动，根据分闸、合闸时行程之差，自动测量出断路器拉杆行程。实现一次性安装，一次性测量，实现安全、快速的测量高压断路器行程。</w:t>
      </w:r>
    </w:p>
    <w:p w14:paraId="6773497A">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6" w:name="_Toc459534976"/>
      <w:bookmarkStart w:id="17" w:name="_Toc482581219"/>
      <w:bookmarkStart w:id="18" w:name="_Toc114253693"/>
      <w:bookmarkStart w:id="19" w:name="_Toc457986926"/>
      <w:bookmarkStart w:id="20" w:name="_Toc146182538"/>
      <w:bookmarkStart w:id="21" w:name="_Toc448828694"/>
      <w:bookmarkStart w:id="22" w:name="_Toc455373921"/>
      <w:bookmarkStart w:id="23" w:name="_Toc457979127"/>
      <w:bookmarkStart w:id="24" w:name="_Toc455543289"/>
      <w:bookmarkStart w:id="25" w:name="_Toc241912000"/>
      <w:bookmarkStart w:id="26" w:name="_Toc155114612"/>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3A874C18">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49F5CBD7">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 2153002《南方电网安全工器具管理细则》</w:t>
      </w:r>
    </w:p>
    <w:p w14:paraId="3D950E51">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 1476《电力安全工器具预防性试验规程》</w:t>
      </w:r>
    </w:p>
    <w:p w14:paraId="4F510109">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6379.4《测量方法与结果的准确度（正确度与精密度）》</w:t>
      </w:r>
    </w:p>
    <w:p w14:paraId="773D143C">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Q/CSG1205056.1</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《中国南方电网有限责任公司电力安全工作规程第1部分：发电厂和变电站部分》</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7" w:name="_Toc39754002"/>
      <w:bookmarkStart w:id="28" w:name="_Toc282993253"/>
      <w:bookmarkStart w:id="29" w:name="_Toc22304904"/>
      <w:bookmarkStart w:id="30" w:name="_Toc39753345"/>
      <w:bookmarkStart w:id="31" w:name="_Toc32408"/>
      <w:bookmarkStart w:id="32" w:name="_Toc384340984"/>
      <w:r>
        <w:rPr>
          <w:rFonts w:hint="eastAsia" w:ascii="黑体" w:hAnsi="黑体" w:eastAsia="黑体" w:cs="黑体"/>
          <w:b/>
          <w:bCs/>
          <w:sz w:val="28"/>
          <w:szCs w:val="36"/>
        </w:rPr>
        <w:t>4 技术要求</w:t>
      </w:r>
      <w:bookmarkEnd w:id="27"/>
      <w:bookmarkEnd w:id="28"/>
      <w:bookmarkEnd w:id="29"/>
      <w:bookmarkEnd w:id="30"/>
      <w:bookmarkEnd w:id="31"/>
      <w:bookmarkEnd w:id="32"/>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5C39E5D">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1</w:t>
            </w:r>
          </w:p>
        </w:tc>
        <w:tc>
          <w:tcPr>
            <w:tcW w:w="2985" w:type="dxa"/>
            <w:shd w:val="clear" w:color="auto" w:fill="auto"/>
            <w:vAlign w:val="top"/>
          </w:tcPr>
          <w:p w14:paraId="5C9F2C67">
            <w:pPr>
              <w:spacing w:before="120" w:after="120" w:line="288" w:lineRule="auto"/>
              <w:ind w:left="0" w:leftChars="0"/>
              <w:jc w:val="center"/>
              <w:rPr>
                <w:rFonts w:hint="eastAsia" w:ascii="宋体" w:hAnsi="宋体" w:eastAsia="宋体" w:cs="宋体"/>
                <w:sz w:val="21"/>
                <w:szCs w:val="21"/>
              </w:rPr>
            </w:pPr>
            <w:r>
              <w:rPr>
                <w:rFonts w:hint="eastAsia" w:ascii="宋体" w:hAnsi="宋体" w:cs="宋体"/>
                <w:sz w:val="21"/>
                <w:szCs w:val="21"/>
                <w:lang w:val="en-US" w:eastAsia="zh-CN"/>
              </w:rPr>
              <w:t>配合</w:t>
            </w:r>
            <w:r>
              <w:rPr>
                <w:rFonts w:hint="eastAsia" w:ascii="宋体" w:hAnsi="宋体" w:eastAsia="宋体" w:cs="宋体"/>
                <w:sz w:val="21"/>
                <w:szCs w:val="21"/>
              </w:rPr>
              <w:t>高压断路器拉杆行程测量装置研发</w:t>
            </w:r>
            <w:r>
              <w:rPr>
                <w:rFonts w:hint="eastAsia" w:ascii="宋体" w:hAnsi="宋体" w:cs="宋体"/>
                <w:sz w:val="21"/>
                <w:szCs w:val="21"/>
                <w:lang w:eastAsia="zh-CN"/>
              </w:rPr>
              <w:t>、</w:t>
            </w:r>
            <w:r>
              <w:rPr>
                <w:rFonts w:hint="eastAsia" w:ascii="宋体" w:hAnsi="宋体" w:cs="宋体"/>
                <w:sz w:val="21"/>
                <w:szCs w:val="21"/>
                <w:lang w:val="en-US" w:eastAsia="zh-CN"/>
              </w:rPr>
              <w:t>开展</w:t>
            </w:r>
            <w:r>
              <w:rPr>
                <w:rFonts w:hint="eastAsia" w:ascii="宋体" w:hAnsi="宋体" w:eastAsia="宋体" w:cs="宋体"/>
                <w:sz w:val="21"/>
                <w:szCs w:val="21"/>
              </w:rPr>
              <w:t>样机试制、结构优化、全套图纸编制</w:t>
            </w:r>
          </w:p>
        </w:tc>
        <w:tc>
          <w:tcPr>
            <w:tcW w:w="2363" w:type="dxa"/>
            <w:shd w:val="clear" w:color="auto" w:fill="auto"/>
            <w:vAlign w:val="top"/>
          </w:tcPr>
          <w:p w14:paraId="6177445B">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完整成套工具 1 套、全套设计加工图纸</w:t>
            </w:r>
          </w:p>
        </w:tc>
        <w:tc>
          <w:tcPr>
            <w:tcW w:w="2357" w:type="dxa"/>
            <w:vAlign w:val="top"/>
          </w:tcPr>
          <w:p w14:paraId="37864833">
            <w:pPr>
              <w:spacing w:before="120" w:after="120" w:line="288" w:lineRule="auto"/>
              <w:ind w:left="0" w:leftChars="0"/>
              <w:jc w:val="center"/>
              <w:rPr>
                <w:rFonts w:hint="eastAsia" w:ascii="宋体" w:hAnsi="宋体" w:eastAsia="宋体" w:cs="宋体"/>
                <w:sz w:val="21"/>
                <w:szCs w:val="21"/>
                <w:lang w:val="en-US" w:eastAsia="zh-CN"/>
              </w:rPr>
            </w:pPr>
            <w:r>
              <w:rPr>
                <w:rFonts w:hint="eastAsia" w:ascii="宋体" w:hAnsi="宋体" w:eastAsia="宋体" w:cs="宋体"/>
                <w:sz w:val="21"/>
                <w:szCs w:val="21"/>
              </w:rPr>
              <w:t>2026 年 1</w:t>
            </w:r>
            <w:r>
              <w:rPr>
                <w:rFonts w:hint="eastAsia" w:ascii="宋体" w:hAnsi="宋体" w:eastAsia="宋体" w:cs="宋体"/>
                <w:sz w:val="21"/>
                <w:szCs w:val="21"/>
                <w:lang w:val="en-US" w:eastAsia="zh-CN"/>
              </w:rPr>
              <w:t>0</w:t>
            </w:r>
            <w:r>
              <w:rPr>
                <w:rFonts w:hint="eastAsia" w:ascii="宋体" w:hAnsi="宋体" w:eastAsia="宋体" w:cs="宋体"/>
                <w:sz w:val="21"/>
                <w:szCs w:val="21"/>
              </w:rPr>
              <w:t xml:space="preserve"> 月</w:t>
            </w:r>
          </w:p>
        </w:tc>
      </w:tr>
      <w:tr w14:paraId="5899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4D608D8F">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2985" w:type="dxa"/>
            <w:shd w:val="clear" w:color="auto" w:fill="auto"/>
            <w:vAlign w:val="top"/>
          </w:tcPr>
          <w:p w14:paraId="0C239792">
            <w:pPr>
              <w:spacing w:before="120" w:after="120" w:line="288" w:lineRule="auto"/>
              <w:ind w:left="0" w:left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配合开展专利编制</w:t>
            </w:r>
          </w:p>
        </w:tc>
        <w:tc>
          <w:tcPr>
            <w:tcW w:w="2363" w:type="dxa"/>
            <w:shd w:val="clear" w:color="auto" w:fill="auto"/>
            <w:vAlign w:val="top"/>
          </w:tcPr>
          <w:p w14:paraId="4C7A6FBD">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专利受理通知书</w:t>
            </w:r>
          </w:p>
        </w:tc>
        <w:tc>
          <w:tcPr>
            <w:tcW w:w="2357" w:type="dxa"/>
            <w:vAlign w:val="top"/>
          </w:tcPr>
          <w:p w14:paraId="101D8C3E">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w:t>
            </w:r>
            <w:r>
              <w:rPr>
                <w:rFonts w:hint="eastAsia" w:ascii="宋体" w:hAnsi="宋体" w:cs="宋体"/>
                <w:sz w:val="21"/>
                <w:szCs w:val="21"/>
                <w:lang w:val="en-US" w:eastAsia="zh-CN"/>
              </w:rPr>
              <w:t>1</w:t>
            </w:r>
            <w:r>
              <w:rPr>
                <w:rFonts w:hint="eastAsia" w:ascii="宋体" w:hAnsi="宋体" w:eastAsia="宋体" w:cs="宋体"/>
                <w:sz w:val="21"/>
                <w:szCs w:val="21"/>
              </w:rPr>
              <w:t>月</w:t>
            </w:r>
          </w:p>
        </w:tc>
      </w:tr>
      <w:tr w14:paraId="233C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A9CFB93">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3</w:t>
            </w:r>
          </w:p>
        </w:tc>
        <w:tc>
          <w:tcPr>
            <w:tcW w:w="2985" w:type="dxa"/>
            <w:shd w:val="clear" w:color="auto" w:fill="auto"/>
            <w:vAlign w:val="top"/>
          </w:tcPr>
          <w:p w14:paraId="567E9AB9">
            <w:pPr>
              <w:spacing w:before="120" w:after="120" w:line="288" w:lineRule="auto"/>
              <w:ind w:left="0" w:leftChars="0"/>
              <w:jc w:val="center"/>
              <w:rPr>
                <w:rFonts w:hint="eastAsia" w:ascii="宋体" w:hAnsi="宋体" w:eastAsia="宋体" w:cs="宋体"/>
                <w:sz w:val="21"/>
                <w:szCs w:val="21"/>
              </w:rPr>
            </w:pPr>
            <w:r>
              <w:rPr>
                <w:rFonts w:hint="eastAsia" w:ascii="宋体" w:hAnsi="宋体" w:cs="宋体"/>
                <w:sz w:val="21"/>
                <w:szCs w:val="21"/>
                <w:lang w:val="en-US" w:eastAsia="zh-CN"/>
              </w:rPr>
              <w:t>配合</w:t>
            </w:r>
            <w:r>
              <w:rPr>
                <w:rFonts w:hint="eastAsia" w:ascii="宋体" w:hAnsi="宋体" w:eastAsia="宋体" w:cs="宋体"/>
                <w:sz w:val="21"/>
                <w:szCs w:val="21"/>
              </w:rPr>
              <w:t>项目全流程验收、人员实操培训</w:t>
            </w:r>
          </w:p>
        </w:tc>
        <w:tc>
          <w:tcPr>
            <w:tcW w:w="2363" w:type="dxa"/>
            <w:shd w:val="clear" w:color="auto" w:fill="auto"/>
            <w:vAlign w:val="top"/>
          </w:tcPr>
          <w:p w14:paraId="2AB2C982">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项目结题全套验收资料、作业人员实操培训、</w:t>
            </w:r>
          </w:p>
        </w:tc>
        <w:tc>
          <w:tcPr>
            <w:tcW w:w="2357" w:type="dxa"/>
            <w:vAlign w:val="top"/>
          </w:tcPr>
          <w:p w14:paraId="376FFA25">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12 月</w:t>
            </w:r>
          </w:p>
        </w:tc>
      </w:tr>
    </w:tbl>
    <w:p w14:paraId="624F65C0">
      <w:pPr>
        <w:spacing w:before="300" w:after="120" w:line="288" w:lineRule="auto"/>
        <w:ind w:left="0"/>
        <w:jc w:val="left"/>
        <w:outlineLvl w:val="2"/>
        <w:rPr>
          <w:rFonts w:hint="eastAsia" w:ascii="宋体" w:hAnsi="宋体" w:eastAsia="宋体" w:cs="宋体"/>
          <w:b w:val="0"/>
          <w:bCs/>
          <w:color w:val="auto"/>
          <w:sz w:val="24"/>
          <w:szCs w:val="24"/>
        </w:rPr>
      </w:pPr>
      <w:bookmarkStart w:id="33" w:name="heading_15"/>
      <w:r>
        <w:rPr>
          <w:rFonts w:hint="eastAsia" w:ascii="宋体" w:hAnsi="宋体" w:eastAsia="宋体" w:cs="宋体"/>
          <w:b w:val="0"/>
          <w:bCs/>
          <w:color w:val="auto"/>
          <w:sz w:val="24"/>
          <w:szCs w:val="24"/>
        </w:rPr>
        <w:t xml:space="preserve">4.2 </w:t>
      </w:r>
      <w:r>
        <w:rPr>
          <w:rFonts w:hint="eastAsia" w:ascii="宋体" w:hAnsi="宋体" w:cs="宋体"/>
          <w:b w:val="0"/>
          <w:bCs/>
          <w:color w:val="auto"/>
          <w:sz w:val="24"/>
          <w:szCs w:val="24"/>
          <w:lang w:val="en-US" w:eastAsia="zh-CN"/>
        </w:rPr>
        <w:t>装置</w:t>
      </w:r>
      <w:r>
        <w:rPr>
          <w:rFonts w:hint="eastAsia" w:ascii="宋体" w:hAnsi="宋体" w:eastAsia="宋体" w:cs="宋体"/>
          <w:b w:val="0"/>
          <w:bCs/>
          <w:color w:val="auto"/>
          <w:sz w:val="24"/>
          <w:szCs w:val="24"/>
        </w:rPr>
        <w:t>整体设计通用要求</w:t>
      </w:r>
      <w:bookmarkEnd w:id="33"/>
    </w:p>
    <w:p w14:paraId="5D46BA4E">
      <w:pPr>
        <w:spacing w:before="260" w:after="120" w:line="288" w:lineRule="auto"/>
        <w:ind w:left="0"/>
        <w:jc w:val="left"/>
        <w:outlineLvl w:val="3"/>
        <w:rPr>
          <w:rFonts w:hint="eastAsia" w:ascii="宋体" w:hAnsi="宋体" w:eastAsia="宋体" w:cs="宋体"/>
          <w:b w:val="0"/>
          <w:bCs/>
          <w:color w:val="auto"/>
          <w:sz w:val="24"/>
          <w:szCs w:val="24"/>
        </w:rPr>
      </w:pPr>
      <w:bookmarkStart w:id="34" w:name="heading_16"/>
      <w:r>
        <w:rPr>
          <w:rFonts w:hint="eastAsia" w:ascii="宋体" w:hAnsi="宋体" w:eastAsia="宋体" w:cs="宋体"/>
          <w:b w:val="0"/>
          <w:bCs/>
          <w:color w:val="auto"/>
          <w:sz w:val="24"/>
          <w:szCs w:val="24"/>
        </w:rPr>
        <w:t>4.2.1 可靠性</w:t>
      </w:r>
      <w:bookmarkEnd w:id="34"/>
    </w:p>
    <w:p w14:paraId="685619A5">
      <w:pPr>
        <w:numPr>
          <w:ilvl w:val="0"/>
          <w:numId w:val="0"/>
        </w:numPr>
        <w:spacing w:before="120" w:after="120" w:line="288" w:lineRule="auto"/>
        <w:ind w:left="0" w:leftChars="0"/>
        <w:jc w:val="left"/>
        <w:rPr>
          <w:rFonts w:hint="eastAsia" w:ascii="宋体" w:hAnsi="宋体" w:eastAsia="微软雅黑" w:cs="宋体"/>
          <w:b w:val="0"/>
          <w:bCs/>
          <w:color w:val="auto"/>
          <w:sz w:val="24"/>
          <w:szCs w:val="24"/>
          <w:lang w:val="en-US" w:eastAsia="zh-CN"/>
        </w:rPr>
      </w:pPr>
      <w:r>
        <w:rPr>
          <w:rFonts w:hint="eastAsia" w:ascii="宋体" w:hAnsi="宋体" w:eastAsia="宋体" w:cs="宋体"/>
          <w:b w:val="0"/>
          <w:bCs/>
          <w:color w:val="auto"/>
          <w:kern w:val="2"/>
          <w:sz w:val="24"/>
          <w:szCs w:val="24"/>
          <w:lang w:val="en-US" w:eastAsia="zh-CN" w:bidi="ar-SA"/>
        </w:rPr>
        <w:t>1.</w:t>
      </w:r>
      <w:r>
        <w:rPr>
          <w:rFonts w:hint="eastAsia" w:ascii="宋体" w:hAnsi="宋体" w:cs="宋体"/>
          <w:b w:val="0"/>
          <w:bCs/>
          <w:color w:val="auto"/>
          <w:kern w:val="2"/>
          <w:sz w:val="24"/>
          <w:szCs w:val="24"/>
          <w:lang w:val="en-US" w:eastAsia="zh-CN" w:bidi="ar-SA"/>
        </w:rPr>
        <w:t>装置测量精度满</w:t>
      </w:r>
      <w:r>
        <w:rPr>
          <w:rFonts w:hint="eastAsia" w:ascii="宋体" w:hAnsi="宋体" w:eastAsia="宋体" w:cs="宋体"/>
          <w:b w:val="0"/>
          <w:bCs/>
          <w:color w:val="auto"/>
          <w:kern w:val="2"/>
          <w:sz w:val="24"/>
          <w:szCs w:val="24"/>
          <w:lang w:val="en-US" w:eastAsia="zh-CN" w:bidi="ar-SA"/>
        </w:rPr>
        <w:t>足± 0.2mm，量程满足</w:t>
      </w:r>
      <w:r>
        <w:rPr>
          <w:rFonts w:ascii="微软雅黑" w:hAnsi="微软雅黑" w:eastAsia="微软雅黑" w:cs="微软雅黑"/>
          <w:i w:val="0"/>
          <w:iCs w:val="0"/>
          <w:caps w:val="0"/>
          <w:spacing w:val="0"/>
          <w:sz w:val="24"/>
          <w:szCs w:val="24"/>
          <w:shd w:val="clear" w:fill="FFFFFF"/>
        </w:rPr>
        <w:t>0~300mm</w:t>
      </w:r>
      <w:r>
        <w:rPr>
          <w:rFonts w:hint="eastAsia" w:ascii="微软雅黑" w:hAnsi="微软雅黑" w:eastAsia="微软雅黑" w:cs="微软雅黑"/>
          <w:i w:val="0"/>
          <w:iCs w:val="0"/>
          <w:caps w:val="0"/>
          <w:spacing w:val="0"/>
          <w:sz w:val="24"/>
          <w:szCs w:val="24"/>
          <w:shd w:val="clear" w:fill="FFFFFF"/>
          <w:lang w:eastAsia="zh-CN"/>
        </w:rPr>
        <w:t>。</w:t>
      </w:r>
    </w:p>
    <w:p w14:paraId="316BDC4F">
      <w:pPr>
        <w:numPr>
          <w:ilvl w:val="0"/>
          <w:numId w:val="0"/>
        </w:numPr>
        <w:spacing w:before="120" w:after="120" w:line="288" w:lineRule="auto"/>
        <w:ind w:left="0" w:leftChars="0"/>
        <w:jc w:val="left"/>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2.在高压断路器上固定安装后，随着断路器高速运动，测量装置不发生脱落、损坏；</w:t>
      </w:r>
    </w:p>
    <w:p w14:paraId="088657B7">
      <w:pPr>
        <w:spacing w:before="260" w:after="120" w:line="288" w:lineRule="auto"/>
        <w:ind w:left="0"/>
        <w:jc w:val="left"/>
        <w:outlineLvl w:val="3"/>
        <w:rPr>
          <w:rFonts w:hint="eastAsia" w:ascii="宋体" w:hAnsi="宋体" w:eastAsia="宋体" w:cs="宋体"/>
          <w:b w:val="0"/>
          <w:bCs/>
          <w:color w:val="auto"/>
          <w:sz w:val="24"/>
          <w:szCs w:val="24"/>
        </w:rPr>
      </w:pPr>
      <w:bookmarkStart w:id="35" w:name="heading_17"/>
      <w:r>
        <w:rPr>
          <w:rFonts w:hint="eastAsia" w:ascii="宋体" w:hAnsi="宋体" w:eastAsia="宋体" w:cs="宋体"/>
          <w:b w:val="0"/>
          <w:bCs/>
          <w:color w:val="auto"/>
          <w:sz w:val="24"/>
          <w:szCs w:val="24"/>
        </w:rPr>
        <w:t>4.2.2 人机易用性</w:t>
      </w:r>
      <w:bookmarkEnd w:id="35"/>
    </w:p>
    <w:p w14:paraId="5264402B">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lang w:val="en-US" w:eastAsia="zh-CN" w:bidi="ar-SA"/>
        </w:rPr>
        <w:t>.</w:t>
      </w:r>
      <w:r>
        <w:rPr>
          <w:rFonts w:hint="eastAsia" w:ascii="宋体" w:hAnsi="宋体" w:eastAsia="宋体" w:cs="宋体"/>
          <w:b w:val="0"/>
          <w:bCs/>
          <w:color w:val="auto"/>
          <w:sz w:val="24"/>
          <w:szCs w:val="24"/>
        </w:rPr>
        <w:t>整体轻量化设计，</w:t>
      </w:r>
      <w:r>
        <w:rPr>
          <w:rFonts w:hint="eastAsia" w:ascii="宋体" w:hAnsi="宋体" w:cs="宋体"/>
          <w:b w:val="0"/>
          <w:bCs/>
          <w:color w:val="auto"/>
          <w:sz w:val="24"/>
          <w:szCs w:val="24"/>
          <w:lang w:val="en-US" w:eastAsia="zh-CN"/>
        </w:rPr>
        <w:t>能安装在不同断路器机构箱的狭小空间内</w:t>
      </w:r>
      <w:r>
        <w:rPr>
          <w:rFonts w:hint="eastAsia" w:ascii="宋体" w:hAnsi="宋体" w:eastAsia="宋体" w:cs="宋体"/>
          <w:b w:val="0"/>
          <w:bCs/>
          <w:color w:val="auto"/>
          <w:sz w:val="24"/>
          <w:szCs w:val="24"/>
        </w:rPr>
        <w:t>；</w:t>
      </w:r>
    </w:p>
    <w:p w14:paraId="423373EA">
      <w:pPr>
        <w:numPr>
          <w:ilvl w:val="0"/>
          <w:numId w:val="0"/>
        </w:numPr>
        <w:spacing w:before="120" w:after="120" w:line="288" w:lineRule="auto"/>
        <w:ind w:left="0" w:leftChars="0"/>
        <w:jc w:val="left"/>
        <w:rPr>
          <w:rFonts w:hint="default" w:ascii="宋体" w:hAnsi="宋体" w:eastAsia="宋体" w:cs="宋体"/>
          <w:b w:val="0"/>
          <w:bCs/>
          <w:color w:val="auto"/>
          <w:sz w:val="24"/>
          <w:szCs w:val="24"/>
          <w:lang w:val="en-US"/>
        </w:rPr>
      </w:pPr>
      <w:r>
        <w:rPr>
          <w:rFonts w:hint="eastAsia" w:ascii="宋体" w:hAnsi="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lang w:val="en-US" w:eastAsia="zh-CN" w:bidi="ar-SA"/>
        </w:rPr>
        <w:t>.</w:t>
      </w:r>
      <w:r>
        <w:rPr>
          <w:rFonts w:hint="eastAsia" w:ascii="宋体" w:hAnsi="宋体" w:cs="宋体"/>
          <w:b w:val="0"/>
          <w:bCs/>
          <w:color w:val="auto"/>
          <w:kern w:val="2"/>
          <w:sz w:val="24"/>
          <w:szCs w:val="24"/>
          <w:lang w:val="en-US" w:eastAsia="zh-CN" w:bidi="ar-SA"/>
        </w:rPr>
        <w:t>读数自动读取，显示清晰，方便人员快速读取。</w:t>
      </w:r>
    </w:p>
    <w:p w14:paraId="4B2E3502">
      <w:pPr>
        <w:spacing w:before="260" w:after="120" w:line="288" w:lineRule="auto"/>
        <w:ind w:left="0"/>
        <w:jc w:val="left"/>
        <w:outlineLvl w:val="3"/>
        <w:rPr>
          <w:rFonts w:hint="eastAsia" w:ascii="宋体" w:hAnsi="宋体" w:eastAsia="宋体" w:cs="宋体"/>
          <w:b w:val="0"/>
          <w:bCs/>
          <w:color w:val="auto"/>
          <w:sz w:val="24"/>
          <w:szCs w:val="24"/>
        </w:rPr>
      </w:pPr>
      <w:bookmarkStart w:id="36" w:name="heading_18"/>
      <w:r>
        <w:rPr>
          <w:rFonts w:hint="eastAsia" w:ascii="宋体" w:hAnsi="宋体" w:eastAsia="宋体" w:cs="宋体"/>
          <w:b w:val="0"/>
          <w:bCs/>
          <w:color w:val="auto"/>
          <w:sz w:val="24"/>
          <w:szCs w:val="24"/>
        </w:rPr>
        <w:t xml:space="preserve">4.2.3 </w:t>
      </w:r>
      <w:bookmarkEnd w:id="36"/>
      <w:r>
        <w:rPr>
          <w:rFonts w:hint="eastAsia" w:ascii="宋体" w:hAnsi="宋体" w:eastAsia="宋体" w:cs="宋体"/>
          <w:b w:val="0"/>
          <w:bCs/>
          <w:color w:val="auto"/>
          <w:sz w:val="24"/>
          <w:szCs w:val="24"/>
        </w:rPr>
        <w:t>稳定性</w:t>
      </w:r>
    </w:p>
    <w:bookmarkEnd w:id="16"/>
    <w:bookmarkEnd w:id="17"/>
    <w:bookmarkEnd w:id="18"/>
    <w:bookmarkEnd w:id="19"/>
    <w:bookmarkEnd w:id="20"/>
    <w:bookmarkEnd w:id="21"/>
    <w:bookmarkEnd w:id="22"/>
    <w:bookmarkEnd w:id="23"/>
    <w:bookmarkEnd w:id="24"/>
    <w:bookmarkEnd w:id="25"/>
    <w:bookmarkEnd w:id="26"/>
    <w:p w14:paraId="0F514596">
      <w:pPr>
        <w:numPr>
          <w:ilvl w:val="0"/>
          <w:numId w:val="0"/>
        </w:numPr>
        <w:spacing w:before="120" w:after="120" w:line="288" w:lineRule="auto"/>
        <w:ind w:left="0" w:leftChars="0"/>
        <w:jc w:val="left"/>
        <w:rPr>
          <w:rFonts w:hint="default" w:ascii="宋体" w:hAnsi="宋体" w:eastAsia="宋体" w:cs="宋体"/>
          <w:b w:val="0"/>
          <w:bCs/>
          <w:color w:val="auto"/>
          <w:kern w:val="2"/>
          <w:sz w:val="24"/>
          <w:szCs w:val="24"/>
          <w:lang w:val="en-US" w:eastAsia="zh-CN" w:bidi="ar-SA"/>
        </w:rPr>
      </w:pPr>
      <w:bookmarkStart w:id="37" w:name="_Toc20013"/>
      <w:r>
        <w:rPr>
          <w:rFonts w:hint="eastAsia" w:ascii="宋体" w:hAnsi="宋体" w:eastAsia="宋体" w:cs="宋体"/>
          <w:b w:val="0"/>
          <w:bCs/>
          <w:color w:val="auto"/>
          <w:kern w:val="2"/>
          <w:sz w:val="24"/>
          <w:szCs w:val="24"/>
          <w:lang w:val="en-US" w:eastAsia="zh-CN" w:bidi="ar-SA"/>
        </w:rPr>
        <w:t>1.</w:t>
      </w:r>
      <w:r>
        <w:rPr>
          <w:rFonts w:hint="default" w:ascii="宋体" w:hAnsi="宋体" w:eastAsia="宋体" w:cs="宋体"/>
          <w:b w:val="0"/>
          <w:bCs/>
          <w:color w:val="auto"/>
          <w:kern w:val="2"/>
          <w:sz w:val="24"/>
          <w:szCs w:val="24"/>
          <w:lang w:val="en-US" w:eastAsia="zh-CN" w:bidi="ar-SA"/>
        </w:rPr>
        <w:t>需具备强抗干扰能力，能够在500kV高压变电站等强电磁环境下稳定、可靠地运行，确保测量数据不受干扰。</w:t>
      </w:r>
    </w:p>
    <w:p w14:paraId="7E1BB049">
      <w:pPr>
        <w:numPr>
          <w:ilvl w:val="0"/>
          <w:numId w:val="0"/>
        </w:numPr>
        <w:spacing w:before="120" w:after="120" w:line="288" w:lineRule="auto"/>
        <w:ind w:left="0" w:leftChars="0"/>
        <w:jc w:val="left"/>
        <w:rPr>
          <w:rFonts w:hint="default"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2.具备抗震性，断路器多次分合使用后，不发生震动损坏。</w:t>
      </w:r>
    </w:p>
    <w:p w14:paraId="7C914E8E">
      <w:pPr>
        <w:rPr>
          <w:rFonts w:ascii="宋体" w:hAnsi="宋体" w:cs="宋体"/>
          <w:sz w:val="24"/>
        </w:rPr>
      </w:pPr>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7"/>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8" w:name="_Toc441483969"/>
      <w:bookmarkStart w:id="39" w:name="_Toc531004215"/>
      <w:bookmarkStart w:id="40" w:name="_Toc309805604"/>
      <w:bookmarkStart w:id="41" w:name="_Toc309593209"/>
      <w:bookmarkStart w:id="42" w:name="_Toc309593280"/>
      <w:bookmarkStart w:id="43" w:name="_Toc531004269"/>
      <w:bookmarkStart w:id="44" w:name="_Toc312827040"/>
      <w:bookmarkStart w:id="45" w:name="_Toc18633"/>
    </w:p>
    <w:p w14:paraId="6D7F86C8">
      <w:pPr>
        <w:pStyle w:val="7"/>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7"/>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7"/>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7"/>
        <w:rPr>
          <w:rFonts w:hAnsi="宋体"/>
          <w:sz w:val="24"/>
        </w:rPr>
      </w:pPr>
      <w:r>
        <w:rPr>
          <w:rFonts w:hint="eastAsia" w:ascii="Times New Roman" w:hAnsi="Times New Roman"/>
          <w:sz w:val="24"/>
        </w:rPr>
        <w:t>（2）沟通项目进度信息。</w:t>
      </w:r>
    </w:p>
    <w:p w14:paraId="2E5D34AE">
      <w:pPr>
        <w:pStyle w:val="7"/>
        <w:rPr>
          <w:rFonts w:hAnsi="宋体"/>
          <w:sz w:val="24"/>
        </w:rPr>
      </w:pPr>
      <w:r>
        <w:rPr>
          <w:rFonts w:hint="eastAsia" w:ascii="Times New Roman" w:hAnsi="Times New Roman"/>
          <w:sz w:val="24"/>
        </w:rPr>
        <w:t>（3）协商解决项目执行过程中遇到的问题。</w:t>
      </w:r>
    </w:p>
    <w:p w14:paraId="48BACCB4">
      <w:pPr>
        <w:pStyle w:val="7"/>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7"/>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7"/>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7"/>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7"/>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7"/>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3B2BE2DA">
      <w:pPr>
        <w:spacing w:line="360" w:lineRule="auto"/>
        <w:ind w:left="6" w:leftChars="3" w:firstLine="480" w:firstLineChars="200"/>
        <w:rPr>
          <w:sz w:val="24"/>
        </w:rPr>
      </w:pPr>
      <w:r>
        <w:rPr>
          <w:rFonts w:hint="eastAsia"/>
          <w:sz w:val="24"/>
        </w:rPr>
        <w:t>投标方</w:t>
      </w:r>
      <w:r>
        <w:rPr>
          <w:sz w:val="24"/>
        </w:rPr>
        <w:t>技术文件应包括：</w:t>
      </w:r>
    </w:p>
    <w:p w14:paraId="1AEDD50F">
      <w:pPr>
        <w:spacing w:line="360" w:lineRule="auto"/>
        <w:ind w:left="6" w:leftChars="3" w:firstLine="480" w:firstLineChars="200"/>
        <w:rPr>
          <w:sz w:val="24"/>
        </w:rPr>
      </w:pPr>
      <w:r>
        <w:rPr>
          <w:sz w:val="24"/>
        </w:rPr>
        <w:t>（1）</w:t>
      </w:r>
      <w:r>
        <w:rPr>
          <w:rFonts w:ascii="宋体" w:hAnsi="宋体" w:cs="宋体"/>
          <w:sz w:val="24"/>
        </w:rPr>
        <w:t>提供完整的设计方案及实施方案与计划</w:t>
      </w:r>
      <w:r>
        <w:rPr>
          <w:rFonts w:hint="eastAsia" w:ascii="宋体" w:hAnsi="宋体" w:cs="宋体"/>
          <w:sz w:val="24"/>
          <w:lang w:eastAsia="zh-CN"/>
        </w:rPr>
        <w:t>；</w:t>
      </w:r>
    </w:p>
    <w:p w14:paraId="644A5040">
      <w:pPr>
        <w:pStyle w:val="2"/>
        <w:numPr>
          <w:ilvl w:val="0"/>
          <w:numId w:val="0"/>
        </w:numPr>
        <w:rPr>
          <w:rFonts w:hint="eastAsia" w:ascii="黑体" w:hAnsi="黑体" w:eastAsia="黑体" w:cs="黑体"/>
          <w:b/>
          <w:bCs/>
          <w:kern w:val="2"/>
          <w:sz w:val="28"/>
          <w:szCs w:val="36"/>
          <w:lang w:val="en-US" w:eastAsia="zh-CN" w:bidi="ar-SA"/>
        </w:rPr>
      </w:pPr>
      <w:bookmarkStart w:id="46" w:name="_Toc14774"/>
      <w:bookmarkStart w:id="47" w:name="_Toc23520"/>
      <w:bookmarkStart w:id="48" w:name="_Toc26448179"/>
      <w:bookmarkStart w:id="49" w:name="_Toc12192"/>
      <w:bookmarkStart w:id="50" w:name="_Toc309805603"/>
      <w:bookmarkStart w:id="51" w:name="_Toc12135"/>
      <w:bookmarkStart w:id="52" w:name="_Toc309593279"/>
      <w:bookmarkStart w:id="53" w:name="_Toc312827039"/>
      <w:bookmarkStart w:id="54" w:name="_Toc309593208"/>
      <w:r>
        <w:rPr>
          <w:rFonts w:hint="eastAsia" w:ascii="黑体" w:hAnsi="黑体" w:eastAsia="黑体" w:cs="黑体"/>
          <w:b/>
          <w:bCs/>
          <w:kern w:val="2"/>
          <w:sz w:val="28"/>
          <w:szCs w:val="36"/>
          <w:lang w:val="en-US" w:eastAsia="zh-CN" w:bidi="ar-SA"/>
        </w:rPr>
        <w:t>6.※工期进度要求</w:t>
      </w:r>
      <w:bookmarkEnd w:id="46"/>
      <w:bookmarkEnd w:id="47"/>
      <w:bookmarkEnd w:id="48"/>
      <w:bookmarkEnd w:id="49"/>
      <w:bookmarkEnd w:id="50"/>
      <w:bookmarkEnd w:id="51"/>
      <w:bookmarkEnd w:id="52"/>
      <w:bookmarkEnd w:id="53"/>
      <w:bookmarkEnd w:id="54"/>
    </w:p>
    <w:p w14:paraId="5BD3C678">
      <w:pPr>
        <w:spacing w:line="360" w:lineRule="auto"/>
        <w:ind w:left="6" w:leftChars="3" w:firstLine="480" w:firstLineChars="200"/>
        <w:rPr>
          <w:sz w:val="24"/>
        </w:rPr>
      </w:pPr>
      <w:r>
        <w:rPr>
          <w:sz w:val="24"/>
        </w:rPr>
        <w:t>本项目应按照下表所示进度安排开展</w:t>
      </w:r>
      <w:r>
        <w:rPr>
          <w:rFonts w:hint="eastAsia"/>
          <w:sz w:val="24"/>
          <w:lang w:val="en-US" w:eastAsia="zh-CN"/>
        </w:rPr>
        <w:t>加工制作</w:t>
      </w:r>
      <w:r>
        <w:rPr>
          <w:sz w:val="24"/>
        </w:rPr>
        <w:t>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top"/>
          </w:tcPr>
          <w:p w14:paraId="71CE3849">
            <w:pPr>
              <w:spacing w:before="120" w:after="120" w:line="288" w:lineRule="auto"/>
              <w:ind w:left="0" w:leftChars="0"/>
              <w:jc w:val="left"/>
              <w:rPr>
                <w:rFonts w:hint="eastAsia" w:ascii="宋体" w:hAnsi="宋体" w:eastAsia="宋体" w:cs="宋体"/>
                <w:kern w:val="2"/>
                <w:sz w:val="21"/>
                <w:szCs w:val="21"/>
                <w:lang w:eastAsia="zh-CN"/>
              </w:rPr>
            </w:pPr>
            <w:r>
              <w:rPr>
                <w:rFonts w:hint="eastAsia" w:ascii="宋体" w:hAnsi="宋体" w:eastAsia="宋体" w:cs="宋体"/>
                <w:sz w:val="22"/>
              </w:rPr>
              <w:t>需求调研与方案设计</w:t>
            </w:r>
          </w:p>
        </w:tc>
        <w:tc>
          <w:tcPr>
            <w:tcW w:w="1734" w:type="dxa"/>
            <w:noWrap w:val="0"/>
            <w:vAlign w:val="top"/>
          </w:tcPr>
          <w:p w14:paraId="4E19A742">
            <w:pPr>
              <w:spacing w:before="120" w:after="120" w:line="288" w:lineRule="auto"/>
              <w:ind w:left="0" w:leftChars="0"/>
              <w:jc w:val="left"/>
              <w:rPr>
                <w:rFonts w:hint="eastAsia" w:ascii="宋体" w:hAnsi="宋体" w:eastAsia="宋体" w:cs="宋体"/>
                <w:szCs w:val="21"/>
              </w:rPr>
            </w:pPr>
            <w:r>
              <w:rPr>
                <w:rFonts w:hint="eastAsia" w:ascii="宋体" w:hAnsi="宋体" w:eastAsia="宋体" w:cs="宋体"/>
                <w:sz w:val="22"/>
              </w:rPr>
              <w:t>采购结果确定后 1 个月内</w:t>
            </w:r>
          </w:p>
        </w:tc>
        <w:tc>
          <w:tcPr>
            <w:tcW w:w="5358" w:type="dxa"/>
            <w:noWrap w:val="0"/>
            <w:vAlign w:val="top"/>
          </w:tcPr>
          <w:p w14:paraId="7CBD870C">
            <w:pPr>
              <w:spacing w:before="120" w:after="120" w:line="288" w:lineRule="auto"/>
              <w:ind w:left="0" w:leftChars="0"/>
              <w:jc w:val="left"/>
              <w:rPr>
                <w:rFonts w:hint="eastAsia" w:ascii="宋体" w:hAnsi="宋体" w:eastAsia="宋体" w:cs="宋体"/>
                <w:b/>
                <w:kern w:val="2"/>
                <w:sz w:val="21"/>
                <w:szCs w:val="21"/>
              </w:rPr>
            </w:pPr>
            <w:r>
              <w:rPr>
                <w:rFonts w:hint="eastAsia" w:ascii="宋体" w:hAnsi="宋体" w:eastAsia="宋体" w:cs="宋体"/>
                <w:sz w:val="22"/>
              </w:rPr>
              <w:t>1. 现场调研</w:t>
            </w:r>
            <w:r>
              <w:rPr>
                <w:rFonts w:hint="eastAsia" w:ascii="宋体" w:hAnsi="宋体" w:cs="宋体"/>
                <w:sz w:val="22"/>
                <w:lang w:val="en-US" w:eastAsia="zh-CN"/>
              </w:rPr>
              <w:t>高压断路器行程测量</w:t>
            </w:r>
            <w:r>
              <w:rPr>
                <w:rFonts w:hint="eastAsia" w:ascii="宋体" w:hAnsi="宋体" w:eastAsia="宋体" w:cs="宋体"/>
                <w:sz w:val="22"/>
              </w:rPr>
              <w:t>工况；</w:t>
            </w:r>
            <w:r>
              <w:rPr>
                <w:rFonts w:hint="eastAsia" w:ascii="宋体" w:hAnsi="宋体" w:eastAsia="宋体" w:cs="宋体"/>
                <w:sz w:val="22"/>
              </w:rPr>
              <w:br w:type="textWrapping"/>
            </w:r>
            <w:r>
              <w:rPr>
                <w:rFonts w:hint="eastAsia" w:ascii="宋体" w:hAnsi="宋体" w:cs="宋体"/>
                <w:sz w:val="22"/>
                <w:lang w:val="en-US" w:eastAsia="zh-CN"/>
              </w:rPr>
              <w:t>2</w:t>
            </w:r>
            <w:r>
              <w:rPr>
                <w:rFonts w:hint="eastAsia" w:ascii="宋体" w:hAnsi="宋体" w:eastAsia="宋体" w:cs="宋体"/>
                <w:sz w:val="22"/>
              </w:rPr>
              <w:t>. 完成整体结构、</w:t>
            </w:r>
            <w:r>
              <w:rPr>
                <w:rFonts w:hint="eastAsia" w:ascii="宋体" w:hAnsi="宋体" w:cs="宋体"/>
                <w:sz w:val="22"/>
                <w:lang w:val="en-US" w:eastAsia="zh-CN"/>
              </w:rPr>
              <w:t>测量</w:t>
            </w:r>
            <w:r>
              <w:rPr>
                <w:rFonts w:hint="eastAsia" w:ascii="宋体" w:hAnsi="宋体" w:eastAsia="宋体" w:cs="宋体"/>
                <w:sz w:val="22"/>
              </w:rPr>
              <w:t>方案设计；</w:t>
            </w:r>
            <w:r>
              <w:rPr>
                <w:rFonts w:hint="eastAsia" w:ascii="宋体" w:hAnsi="宋体" w:eastAsia="宋体" w:cs="宋体"/>
                <w:sz w:val="22"/>
              </w:rPr>
              <w:br w:type="textWrapping"/>
            </w:r>
            <w:r>
              <w:rPr>
                <w:rFonts w:hint="eastAsia" w:ascii="宋体" w:hAnsi="宋体" w:eastAsia="宋体" w:cs="宋体"/>
                <w:sz w:val="22"/>
              </w:rPr>
              <w:t>4. 组织内部 + 招标方技术方案评审</w:t>
            </w:r>
            <w:r>
              <w:rPr>
                <w:rFonts w:hint="eastAsia" w:ascii="宋体" w:hAnsi="宋体" w:eastAsia="宋体" w:cs="宋体"/>
                <w:sz w:val="22"/>
              </w:rPr>
              <w:br w:type="textWrapping"/>
            </w:r>
            <w:r>
              <w:rPr>
                <w:rFonts w:hint="eastAsia" w:ascii="宋体" w:hAnsi="宋体" w:eastAsia="宋体" w:cs="宋体"/>
                <w:sz w:val="22"/>
              </w:rPr>
              <w:t>交付：完整工具设计方案 1 份、初步结构图纸</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top"/>
          </w:tcPr>
          <w:p w14:paraId="0CF2D0E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样机试制</w:t>
            </w:r>
          </w:p>
        </w:tc>
        <w:tc>
          <w:tcPr>
            <w:tcW w:w="1734" w:type="dxa"/>
            <w:noWrap w:val="0"/>
            <w:vAlign w:val="top"/>
          </w:tcPr>
          <w:p w14:paraId="310A5E4E">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 xml:space="preserve">采购结果确定后 </w:t>
            </w:r>
            <w:r>
              <w:rPr>
                <w:rFonts w:hint="eastAsia" w:ascii="宋体" w:hAnsi="宋体" w:cs="宋体"/>
                <w:sz w:val="22"/>
                <w:lang w:val="en-US" w:eastAsia="zh-CN"/>
              </w:rPr>
              <w:t>2</w:t>
            </w:r>
            <w:r>
              <w:rPr>
                <w:rFonts w:hint="eastAsia" w:ascii="宋体" w:hAnsi="宋体" w:eastAsia="宋体" w:cs="宋体"/>
                <w:sz w:val="22"/>
              </w:rPr>
              <w:t>个月内</w:t>
            </w:r>
          </w:p>
        </w:tc>
        <w:tc>
          <w:tcPr>
            <w:tcW w:w="5358" w:type="dxa"/>
            <w:noWrap w:val="0"/>
            <w:vAlign w:val="top"/>
          </w:tcPr>
          <w:p w14:paraId="4CC168F9">
            <w:pPr>
              <w:spacing w:before="120" w:after="120" w:line="288" w:lineRule="auto"/>
              <w:ind w:left="0" w:leftChars="0"/>
              <w:jc w:val="left"/>
              <w:rPr>
                <w:rFonts w:hint="eastAsia" w:ascii="宋体" w:hAnsi="宋体" w:eastAsia="宋体" w:cs="宋体"/>
              </w:rPr>
            </w:pPr>
            <w:r>
              <w:rPr>
                <w:rFonts w:hint="eastAsia" w:ascii="宋体" w:hAnsi="宋体" w:eastAsia="宋体" w:cs="宋体"/>
                <w:sz w:val="22"/>
              </w:rPr>
              <w:t>1. 轻量化</w:t>
            </w:r>
            <w:r>
              <w:rPr>
                <w:rFonts w:hint="eastAsia" w:ascii="宋体" w:hAnsi="宋体" w:cs="宋体"/>
                <w:sz w:val="22"/>
                <w:lang w:val="en-US" w:eastAsia="zh-CN"/>
              </w:rPr>
              <w:t>装置</w:t>
            </w:r>
            <w:r>
              <w:rPr>
                <w:rFonts w:hint="eastAsia" w:ascii="宋体" w:hAnsi="宋体" w:eastAsia="宋体" w:cs="宋体"/>
                <w:sz w:val="22"/>
              </w:rPr>
              <w:t>加工；</w:t>
            </w:r>
            <w:r>
              <w:rPr>
                <w:rFonts w:hint="eastAsia" w:ascii="宋体" w:hAnsi="宋体" w:eastAsia="宋体" w:cs="宋体"/>
                <w:sz w:val="22"/>
              </w:rPr>
              <w:br w:type="textWrapping"/>
            </w:r>
            <w:r>
              <w:rPr>
                <w:rFonts w:hint="eastAsia" w:ascii="宋体" w:hAnsi="宋体" w:eastAsia="宋体" w:cs="宋体"/>
                <w:sz w:val="22"/>
              </w:rPr>
              <w:t>2. 首版样机加工装配、</w:t>
            </w:r>
            <w:r>
              <w:rPr>
                <w:rFonts w:hint="eastAsia" w:ascii="宋体" w:hAnsi="宋体" w:cs="宋体"/>
                <w:sz w:val="22"/>
                <w:lang w:val="en-US" w:eastAsia="zh-CN"/>
              </w:rPr>
              <w:t>调试</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rPr>
              <w:t>4. 迭代优化结构缺陷</w:t>
            </w:r>
            <w:r>
              <w:rPr>
                <w:rFonts w:hint="eastAsia" w:ascii="宋体" w:hAnsi="宋体" w:eastAsia="宋体" w:cs="宋体"/>
                <w:sz w:val="22"/>
              </w:rPr>
              <w:br w:type="textWrapping"/>
            </w:r>
            <w:r>
              <w:rPr>
                <w:rFonts w:hint="eastAsia" w:ascii="宋体" w:hAnsi="宋体" w:eastAsia="宋体" w:cs="宋体"/>
                <w:sz w:val="22"/>
              </w:rPr>
              <w:t>交付：首台</w:t>
            </w:r>
            <w:r>
              <w:rPr>
                <w:rFonts w:hint="eastAsia" w:ascii="宋体" w:hAnsi="宋体" w:cs="宋体"/>
                <w:sz w:val="22"/>
                <w:lang w:val="en-US" w:eastAsia="zh-CN"/>
              </w:rPr>
              <w:t>装置样机</w:t>
            </w:r>
            <w:r>
              <w:rPr>
                <w:rFonts w:hint="eastAsia" w:ascii="宋体" w:hAnsi="宋体" w:eastAsia="宋体" w:cs="宋体"/>
                <w:sz w:val="22"/>
              </w:rPr>
              <w:t xml:space="preserve"> 1 套</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top"/>
          </w:tcPr>
          <w:p w14:paraId="18F89A7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现场试用与优化</w:t>
            </w:r>
          </w:p>
        </w:tc>
        <w:tc>
          <w:tcPr>
            <w:tcW w:w="1734" w:type="dxa"/>
            <w:noWrap w:val="0"/>
            <w:vAlign w:val="top"/>
          </w:tcPr>
          <w:p w14:paraId="35C52FF6">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 xml:space="preserve">采购结果确定后 </w:t>
            </w:r>
            <w:r>
              <w:rPr>
                <w:rFonts w:hint="eastAsia" w:ascii="宋体" w:hAnsi="宋体" w:cs="宋体"/>
                <w:sz w:val="22"/>
                <w:lang w:val="en-US" w:eastAsia="zh-CN"/>
              </w:rPr>
              <w:t>4</w:t>
            </w:r>
            <w:r>
              <w:rPr>
                <w:rFonts w:hint="eastAsia" w:ascii="宋体" w:hAnsi="宋体" w:eastAsia="宋体" w:cs="宋体"/>
                <w:sz w:val="22"/>
              </w:rPr>
              <w:t xml:space="preserve"> 个月内</w:t>
            </w:r>
          </w:p>
        </w:tc>
        <w:tc>
          <w:tcPr>
            <w:tcW w:w="5358" w:type="dxa"/>
            <w:noWrap w:val="0"/>
            <w:vAlign w:val="top"/>
          </w:tcPr>
          <w:p w14:paraId="0775C4B8">
            <w:pPr>
              <w:spacing w:before="120" w:after="120" w:line="288" w:lineRule="auto"/>
              <w:ind w:left="0" w:leftChars="0"/>
              <w:jc w:val="left"/>
              <w:rPr>
                <w:rFonts w:hint="eastAsia" w:ascii="宋体" w:hAnsi="宋体" w:eastAsia="宋体" w:cs="宋体"/>
                <w:kern w:val="2"/>
                <w:sz w:val="21"/>
                <w:szCs w:val="21"/>
                <w:lang w:val="en-US" w:eastAsia="zh-CN"/>
              </w:rPr>
            </w:pPr>
            <w:r>
              <w:rPr>
                <w:rFonts w:hint="eastAsia" w:ascii="宋体" w:hAnsi="宋体" w:eastAsia="宋体" w:cs="宋体"/>
                <w:sz w:val="22"/>
              </w:rPr>
              <w:t xml:space="preserve">1. </w:t>
            </w:r>
            <w:r>
              <w:rPr>
                <w:rFonts w:hint="eastAsia" w:ascii="宋体" w:hAnsi="宋体" w:eastAsia="宋体" w:cs="宋体"/>
                <w:sz w:val="22"/>
                <w:lang w:val="en-US" w:eastAsia="zh-CN"/>
              </w:rPr>
              <w:t>模拟实际工况</w:t>
            </w:r>
            <w:r>
              <w:rPr>
                <w:rFonts w:hint="eastAsia" w:ascii="宋体" w:hAnsi="宋体" w:eastAsia="宋体" w:cs="宋体"/>
                <w:sz w:val="22"/>
              </w:rPr>
              <w:t>试用；</w:t>
            </w:r>
            <w:r>
              <w:rPr>
                <w:rFonts w:hint="eastAsia" w:ascii="宋体" w:hAnsi="宋体" w:eastAsia="宋体" w:cs="宋体"/>
                <w:sz w:val="22"/>
              </w:rPr>
              <w:br w:type="textWrapping"/>
            </w:r>
            <w:r>
              <w:rPr>
                <w:rFonts w:hint="eastAsia" w:ascii="宋体" w:hAnsi="宋体" w:eastAsia="宋体" w:cs="宋体"/>
                <w:sz w:val="22"/>
              </w:rPr>
              <w:t>2. 收集</w:t>
            </w:r>
            <w:r>
              <w:rPr>
                <w:rFonts w:hint="eastAsia" w:ascii="宋体" w:hAnsi="宋体" w:cs="宋体"/>
                <w:sz w:val="22"/>
                <w:lang w:val="en-US" w:eastAsia="zh-CN"/>
              </w:rPr>
              <w:t>检修</w:t>
            </w:r>
            <w:r>
              <w:rPr>
                <w:rFonts w:hint="eastAsia" w:ascii="宋体" w:hAnsi="宋体" w:eastAsia="宋体" w:cs="宋体"/>
                <w:sz w:val="22"/>
              </w:rPr>
              <w:t>人员</w:t>
            </w:r>
            <w:r>
              <w:rPr>
                <w:rFonts w:hint="eastAsia" w:ascii="宋体" w:hAnsi="宋体" w:cs="宋体"/>
                <w:sz w:val="22"/>
                <w:lang w:val="en-US" w:eastAsia="zh-CN"/>
              </w:rPr>
              <w:t>使用</w:t>
            </w:r>
            <w:r>
              <w:rPr>
                <w:rFonts w:hint="eastAsia" w:ascii="宋体" w:hAnsi="宋体" w:eastAsia="宋体" w:cs="宋体"/>
                <w:sz w:val="22"/>
              </w:rPr>
              <w:t>反馈，优化指标；</w:t>
            </w:r>
            <w:r>
              <w:rPr>
                <w:rFonts w:hint="eastAsia" w:ascii="宋体" w:hAnsi="宋体" w:eastAsia="宋体" w:cs="宋体"/>
                <w:sz w:val="22"/>
              </w:rPr>
              <w:br w:type="textWrapping"/>
            </w:r>
            <w:r>
              <w:rPr>
                <w:rFonts w:hint="eastAsia" w:ascii="宋体" w:hAnsi="宋体" w:eastAsia="宋体" w:cs="宋体"/>
                <w:sz w:val="22"/>
              </w:rPr>
              <w:t>3. 完成最终定</w:t>
            </w:r>
            <w:r>
              <w:rPr>
                <w:rFonts w:hint="eastAsia" w:ascii="宋体" w:hAnsi="宋体" w:eastAsia="宋体" w:cs="宋体"/>
                <w:sz w:val="22"/>
                <w:lang w:val="en-US" w:eastAsia="zh-CN"/>
              </w:rPr>
              <w:t>工具</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rPr>
              <w:t>交付：定型成品工具 1 套</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top"/>
          </w:tcPr>
          <w:p w14:paraId="4A7FDAFE">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试验与技术文件编制</w:t>
            </w:r>
          </w:p>
        </w:tc>
        <w:tc>
          <w:tcPr>
            <w:tcW w:w="1734" w:type="dxa"/>
            <w:noWrap w:val="0"/>
            <w:vAlign w:val="top"/>
          </w:tcPr>
          <w:p w14:paraId="5A1B1BF1">
            <w:pPr>
              <w:spacing w:before="120" w:after="120" w:line="288" w:lineRule="auto"/>
              <w:ind w:left="0" w:leftChars="0"/>
              <w:jc w:val="left"/>
              <w:rPr>
                <w:rFonts w:hint="eastAsia" w:ascii="宋体" w:hAnsi="宋体" w:eastAsia="宋体" w:cs="宋体"/>
                <w:sz w:val="24"/>
                <w:highlight w:val="none"/>
              </w:rPr>
            </w:pPr>
            <w:r>
              <w:rPr>
                <w:rFonts w:hint="eastAsia" w:ascii="宋体" w:hAnsi="宋体" w:eastAsia="宋体" w:cs="宋体"/>
                <w:sz w:val="22"/>
              </w:rPr>
              <w:t xml:space="preserve">采购结果确定后 </w:t>
            </w:r>
            <w:r>
              <w:rPr>
                <w:rFonts w:hint="eastAsia" w:ascii="宋体" w:hAnsi="宋体" w:cs="宋体"/>
                <w:sz w:val="22"/>
                <w:lang w:val="en-US" w:eastAsia="zh-CN"/>
              </w:rPr>
              <w:t>5</w:t>
            </w:r>
            <w:r>
              <w:rPr>
                <w:rFonts w:hint="eastAsia" w:ascii="宋体" w:hAnsi="宋体" w:eastAsia="宋体" w:cs="宋体"/>
                <w:sz w:val="22"/>
              </w:rPr>
              <w:t>个月内</w:t>
            </w:r>
          </w:p>
        </w:tc>
        <w:tc>
          <w:tcPr>
            <w:tcW w:w="5358" w:type="dxa"/>
            <w:noWrap w:val="0"/>
            <w:vAlign w:val="top"/>
          </w:tcPr>
          <w:p w14:paraId="14A56BB5">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 xml:space="preserve">1. </w:t>
            </w:r>
            <w:r>
              <w:rPr>
                <w:rFonts w:hint="eastAsia" w:ascii="宋体" w:hAnsi="宋体" w:eastAsia="宋体" w:cs="宋体"/>
                <w:sz w:val="22"/>
                <w:lang w:val="en-US" w:eastAsia="zh-CN"/>
              </w:rPr>
              <w:t>提供产品的试验报告</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lang w:val="en-US" w:eastAsia="zh-CN"/>
              </w:rPr>
              <w:t>2</w:t>
            </w:r>
            <w:r>
              <w:rPr>
                <w:rFonts w:hint="eastAsia" w:ascii="宋体" w:hAnsi="宋体" w:eastAsia="宋体" w:cs="宋体"/>
                <w:sz w:val="22"/>
              </w:rPr>
              <w:t xml:space="preserve">. </w:t>
            </w:r>
            <w:r>
              <w:rPr>
                <w:rFonts w:hint="eastAsia" w:ascii="宋体" w:hAnsi="宋体" w:cs="宋体"/>
                <w:sz w:val="22"/>
                <w:lang w:val="en-US" w:eastAsia="zh-CN"/>
              </w:rPr>
              <w:t>配合</w:t>
            </w:r>
            <w:r>
              <w:rPr>
                <w:rFonts w:hint="eastAsia" w:ascii="宋体" w:hAnsi="宋体" w:eastAsia="宋体" w:cs="宋体"/>
                <w:sz w:val="22"/>
              </w:rPr>
              <w:t>编制专利申报材料</w:t>
            </w:r>
            <w:r>
              <w:rPr>
                <w:rFonts w:hint="eastAsia" w:ascii="宋体" w:hAnsi="宋体" w:eastAsia="宋体" w:cs="宋体"/>
                <w:sz w:val="22"/>
              </w:rPr>
              <w:br w:type="textWrapping"/>
            </w:r>
            <w:r>
              <w:rPr>
                <w:rFonts w:hint="eastAsia" w:ascii="宋体" w:hAnsi="宋体" w:eastAsia="宋体" w:cs="宋体"/>
                <w:sz w:val="22"/>
              </w:rPr>
              <w:t>交付：试验报告、技术资料、专利申报材料</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8"/>
      <w:bookmarkEnd w:id="39"/>
      <w:bookmarkEnd w:id="40"/>
      <w:bookmarkEnd w:id="41"/>
      <w:bookmarkEnd w:id="42"/>
      <w:bookmarkEnd w:id="43"/>
      <w:bookmarkEnd w:id="44"/>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w:t>
      </w:r>
      <w:r>
        <w:rPr>
          <w:rFonts w:hint="eastAsia" w:ascii="宋体" w:hAnsi="宋体" w:cs="宋体"/>
          <w:sz w:val="24"/>
          <w:lang w:val="en-US" w:eastAsia="zh-CN"/>
        </w:rPr>
        <w:t>意见</w:t>
      </w:r>
      <w:r>
        <w:rPr>
          <w:rFonts w:hint="eastAsia" w:ascii="宋体" w:hAnsi="宋体" w:cs="宋体"/>
          <w:sz w:val="24"/>
        </w:rPr>
        <w:t>，如若有需要整改的内容，投标方在验收后应主动配合招标方严格按照整改意见进行整改完善。</w:t>
      </w:r>
      <w:bookmarkStart w:id="55" w:name="_GoBack"/>
      <w:bookmarkEnd w:id="55"/>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5"/>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var(--S1S-FONT-FAMILY)">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2"/>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BA94C9D"/>
    <w:rsid w:val="0C030754"/>
    <w:rsid w:val="0CA05D46"/>
    <w:rsid w:val="0F966A31"/>
    <w:rsid w:val="10550F6F"/>
    <w:rsid w:val="128F30ED"/>
    <w:rsid w:val="12BD66DE"/>
    <w:rsid w:val="13132954"/>
    <w:rsid w:val="163A1216"/>
    <w:rsid w:val="16432CED"/>
    <w:rsid w:val="166F3EB8"/>
    <w:rsid w:val="191A5617"/>
    <w:rsid w:val="1A0A5C1B"/>
    <w:rsid w:val="1BD511FB"/>
    <w:rsid w:val="1F6703E9"/>
    <w:rsid w:val="1F8A11CF"/>
    <w:rsid w:val="20F20322"/>
    <w:rsid w:val="22001714"/>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5F67F15"/>
    <w:rsid w:val="36515C79"/>
    <w:rsid w:val="373C54BB"/>
    <w:rsid w:val="37643739"/>
    <w:rsid w:val="37E33064"/>
    <w:rsid w:val="3B016E25"/>
    <w:rsid w:val="3B4F326E"/>
    <w:rsid w:val="3C0F5DF2"/>
    <w:rsid w:val="3EF75647"/>
    <w:rsid w:val="3FC46A7B"/>
    <w:rsid w:val="403E1100"/>
    <w:rsid w:val="40C512FC"/>
    <w:rsid w:val="428F0505"/>
    <w:rsid w:val="42C6746E"/>
    <w:rsid w:val="42EE5CD4"/>
    <w:rsid w:val="45D97826"/>
    <w:rsid w:val="45F20916"/>
    <w:rsid w:val="46927C50"/>
    <w:rsid w:val="48736764"/>
    <w:rsid w:val="48D82303"/>
    <w:rsid w:val="4D3F13B6"/>
    <w:rsid w:val="4DFF75F2"/>
    <w:rsid w:val="52420D12"/>
    <w:rsid w:val="56061A78"/>
    <w:rsid w:val="5643156F"/>
    <w:rsid w:val="57AF48B9"/>
    <w:rsid w:val="592823C4"/>
    <w:rsid w:val="592C035C"/>
    <w:rsid w:val="5981212C"/>
    <w:rsid w:val="5A691DAF"/>
    <w:rsid w:val="5B187842"/>
    <w:rsid w:val="5D615387"/>
    <w:rsid w:val="61C27952"/>
    <w:rsid w:val="6212562E"/>
    <w:rsid w:val="62DB3950"/>
    <w:rsid w:val="62F53AC8"/>
    <w:rsid w:val="637B25C6"/>
    <w:rsid w:val="63D72C4E"/>
    <w:rsid w:val="661505CC"/>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6F24593"/>
    <w:rsid w:val="77C54214"/>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3">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5"/>
    <w:next w:val="5"/>
    <w:qFormat/>
    <w:uiPriority w:val="99"/>
    <w:pPr>
      <w:ind w:firstLine="880" w:firstLineChars="200"/>
    </w:pPr>
    <w:rPr>
      <w:rFonts w:ascii="仿宋_GB2312" w:hAnsi="仿宋_GB2312" w:eastAsia="仿宋_GB2312" w:cs="Arial"/>
      <w:sz w:val="32"/>
      <w:szCs w:val="20"/>
    </w:rPr>
  </w:style>
  <w:style w:type="paragraph" w:styleId="5">
    <w:name w:val="Title"/>
    <w:basedOn w:val="1"/>
    <w:next w:val="1"/>
    <w:qFormat/>
    <w:uiPriority w:val="99"/>
    <w:pPr>
      <w:spacing w:before="240" w:after="60"/>
      <w:jc w:val="center"/>
      <w:outlineLvl w:val="0"/>
    </w:pPr>
    <w:rPr>
      <w:rFonts w:ascii="Arial" w:hAnsi="Arial"/>
      <w:b/>
      <w:bCs/>
      <w:sz w:val="32"/>
      <w:szCs w:val="32"/>
    </w:rPr>
  </w:style>
  <w:style w:type="paragraph" w:styleId="6">
    <w:name w:val="Body Text Indent"/>
    <w:basedOn w:val="1"/>
    <w:unhideWhenUsed/>
    <w:qFormat/>
    <w:uiPriority w:val="99"/>
    <w:pPr>
      <w:spacing w:after="120"/>
      <w:ind w:left="420" w:leftChars="200"/>
    </w:pPr>
  </w:style>
  <w:style w:type="paragraph" w:styleId="7">
    <w:name w:val="Plain Text"/>
    <w:basedOn w:val="1"/>
    <w:qFormat/>
    <w:uiPriority w:val="0"/>
    <w:rPr>
      <w:rFonts w:ascii="宋体" w:hAnsi="Courier New"/>
      <w:szCs w:val="21"/>
    </w:rPr>
  </w:style>
  <w:style w:type="paragraph" w:styleId="8">
    <w:name w:val="footer"/>
    <w:basedOn w:val="1"/>
    <w:qFormat/>
    <w:uiPriority w:val="99"/>
    <w:pPr>
      <w:tabs>
        <w:tab w:val="center" w:pos="4153"/>
        <w:tab w:val="right" w:pos="8306"/>
      </w:tabs>
      <w:snapToGrid w:val="0"/>
    </w:pPr>
    <w:rPr>
      <w:sz w:val="18"/>
      <w:szCs w:val="18"/>
    </w:rPr>
  </w:style>
  <w:style w:type="paragraph" w:styleId="9">
    <w:name w:val="toc 2"/>
    <w:basedOn w:val="1"/>
    <w:next w:val="1"/>
    <w:unhideWhenUsed/>
    <w:qFormat/>
    <w:uiPriority w:val="39"/>
    <w:pPr>
      <w:widowControl/>
      <w:spacing w:after="100" w:line="259" w:lineRule="auto"/>
      <w:ind w:left="220"/>
    </w:pPr>
    <w:rPr>
      <w:kern w:val="0"/>
      <w:sz w:val="22"/>
    </w:rPr>
  </w:style>
  <w:style w:type="paragraph" w:styleId="10">
    <w:name w:val="Normal (Web)"/>
    <w:basedOn w:val="1"/>
    <w:qFormat/>
    <w:uiPriority w:val="0"/>
    <w:pPr>
      <w:spacing w:beforeAutospacing="1" w:afterAutospacing="1"/>
    </w:pPr>
    <w:rPr>
      <w:kern w:val="0"/>
      <w:sz w:val="24"/>
    </w:rPr>
  </w:style>
  <w:style w:type="paragraph" w:styleId="11">
    <w:name w:val="Body Text First Indent 2"/>
    <w:basedOn w:val="6"/>
    <w:unhideWhenUsed/>
    <w:qFormat/>
    <w:uiPriority w:val="99"/>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3093</Words>
  <Characters>3257</Characters>
  <Lines>122</Lines>
  <Paragraphs>127</Paragraphs>
  <TotalTime>15</TotalTime>
  <ScaleCrop>false</ScaleCrop>
  <LinksUpToDate>false</LinksUpToDate>
  <CharactersWithSpaces>3346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QY</cp:lastModifiedBy>
  <dcterms:modified xsi:type="dcterms:W3CDTF">2026-07-20T14:26:20Z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D0A014B4B119410E8CF75F47D46CF0F9_13</vt:lpwstr>
  </property>
  <property fmtid="{D5CDD505-2E9C-101B-9397-08002B2CF9AE}" pid="4" name="KSOTemplateDocerSaveRecord">
    <vt:lpwstr>eyJoZGlkIjoiNDU4MGMzYmE1Y2YyNDdhMjRjNzI5NDJlZGVkYTBjZTQiLCJ1c2VySWQiOiI1MzM3ODYyMjEifQ==</vt:lpwstr>
  </property>
</Properties>
</file>