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 w:line="219" w:lineRule="auto"/>
        <w:jc w:val="center"/>
        <w:outlineLvl w:val="0"/>
        <w:rPr>
          <w:rFonts w:hint="eastAsia" w:ascii="宋体" w:hAnsi="宋体" w:eastAsia="宋体" w:cs="宋体"/>
          <w:sz w:val="32"/>
          <w:szCs w:val="32"/>
          <w:lang w:eastAsia="zh-CN"/>
        </w:rPr>
      </w:pPr>
      <w:r>
        <w:rPr>
          <w:rFonts w:hint="eastAsia" w:ascii="宋体" w:hAnsi="宋体" w:eastAsia="宋体" w:cs="宋体"/>
          <w:b/>
          <w:bCs/>
          <w:spacing w:val="-3"/>
          <w:sz w:val="30"/>
          <w:szCs w:val="30"/>
          <w:lang w:eastAsia="zh-CN"/>
        </w:rPr>
        <w:t>南方电网供应链（广东）有限公司2026年上网卡增值电信服务零星采购</w:t>
      </w:r>
      <w:r>
        <w:rPr>
          <w:rFonts w:hint="eastAsia" w:ascii="宋体" w:hAnsi="宋体" w:eastAsia="宋体" w:cs="宋体"/>
          <w:b/>
          <w:bCs/>
          <w:spacing w:val="-4"/>
          <w:sz w:val="32"/>
          <w:szCs w:val="32"/>
          <w:lang w:eastAsia="zh-CN"/>
        </w:rPr>
        <w:t>技术规范</w:t>
      </w:r>
      <w:r>
        <w:rPr>
          <w:rFonts w:ascii="宋体" w:hAnsi="宋体" w:eastAsia="宋体" w:cs="宋体"/>
          <w:b/>
          <w:bCs/>
          <w:spacing w:val="-4"/>
          <w:sz w:val="32"/>
          <w:szCs w:val="32"/>
          <w:lang w:eastAsia="zh-CN"/>
        </w:rPr>
        <w:t>书</w:t>
      </w:r>
    </w:p>
    <w:p>
      <w:pPr>
        <w:pStyle w:val="2"/>
        <w:spacing w:line="326" w:lineRule="auto"/>
        <w:rPr>
          <w:lang w:eastAsia="zh-CN"/>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textAlignment w:val="baseline"/>
        <w:rPr>
          <w:rFonts w:hint="eastAsia" w:ascii="宋体" w:hAnsi="宋体" w:eastAsia="宋体" w:cs="宋体"/>
          <w:sz w:val="30"/>
          <w:szCs w:val="30"/>
          <w:lang w:eastAsia="zh-CN"/>
        </w:rPr>
      </w:pPr>
      <w:r>
        <w:rPr>
          <w:rFonts w:hint="eastAsia" w:ascii="宋体" w:hAnsi="宋体" w:eastAsia="宋体" w:cs="宋体"/>
          <w:b/>
          <w:bCs/>
          <w:spacing w:val="-3"/>
          <w:sz w:val="30"/>
          <w:szCs w:val="30"/>
          <w:lang w:eastAsia="zh-CN"/>
        </w:rPr>
        <w:t>一、项目</w:t>
      </w:r>
      <w:r>
        <w:rPr>
          <w:rFonts w:hint="eastAsia" w:ascii="宋体" w:hAnsi="宋体" w:eastAsia="宋体" w:cs="宋体"/>
          <w:b/>
          <w:bCs/>
          <w:spacing w:val="-6"/>
          <w:sz w:val="30"/>
          <w:szCs w:val="30"/>
          <w:lang w:eastAsia="zh-CN"/>
        </w:rPr>
        <w:t>概况</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z w:val="30"/>
          <w:szCs w:val="30"/>
          <w:lang w:eastAsia="zh-CN"/>
        </w:rPr>
      </w:pPr>
      <w:r>
        <w:rPr>
          <w:rFonts w:hint="eastAsia" w:ascii="宋体" w:hAnsi="宋体" w:eastAsia="宋体" w:cs="宋体"/>
          <w:spacing w:val="-4"/>
          <w:sz w:val="30"/>
          <w:szCs w:val="30"/>
          <w:lang w:eastAsia="zh-CN"/>
        </w:rPr>
        <w:t>南方电网供应链（广东）有限公司拟向社会采购合法经营、资质完</w:t>
      </w:r>
      <w:r>
        <w:rPr>
          <w:rFonts w:hint="eastAsia" w:ascii="宋体" w:hAnsi="宋体" w:eastAsia="宋体" w:cs="宋体"/>
          <w:spacing w:val="-1"/>
          <w:sz w:val="30"/>
          <w:szCs w:val="30"/>
          <w:lang w:eastAsia="zh-CN"/>
        </w:rPr>
        <w:t>备，信誉良好的能够提供工作手机通讯服务的单位，以</w:t>
      </w:r>
      <w:r>
        <w:rPr>
          <w:rFonts w:hint="eastAsia" w:ascii="宋体" w:hAnsi="宋体" w:eastAsia="宋体" w:cs="宋体"/>
          <w:spacing w:val="-4"/>
          <w:sz w:val="30"/>
          <w:szCs w:val="30"/>
          <w:lang w:eastAsia="zh-CN"/>
        </w:rPr>
        <w:t>满足公司日常办公通讯及业务拓展的通讯需求。</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60" w:lineRule="exact"/>
        <w:ind w:left="0" w:right="0"/>
        <w:textAlignment w:val="baseline"/>
        <w:rPr>
          <w:rFonts w:hint="eastAsia" w:ascii="宋体" w:hAnsi="宋体" w:eastAsia="宋体" w:cs="宋体"/>
          <w:b/>
          <w:bCs/>
          <w:spacing w:val="-3"/>
          <w:sz w:val="30"/>
          <w:szCs w:val="30"/>
          <w:lang w:eastAsia="zh-CN"/>
        </w:rPr>
      </w:pPr>
      <w:r>
        <w:rPr>
          <w:rFonts w:hint="eastAsia" w:ascii="宋体" w:hAnsi="宋体" w:eastAsia="宋体" w:cs="宋体"/>
          <w:b/>
          <w:bCs/>
          <w:spacing w:val="-3"/>
          <w:sz w:val="30"/>
          <w:szCs w:val="30"/>
          <w:lang w:val="en-US" w:eastAsia="zh-CN"/>
        </w:rPr>
        <w:t>服务</w:t>
      </w:r>
      <w:r>
        <w:rPr>
          <w:rFonts w:hint="eastAsia" w:ascii="宋体" w:hAnsi="宋体" w:eastAsia="宋体" w:cs="宋体"/>
          <w:b/>
          <w:bCs/>
          <w:spacing w:val="-3"/>
          <w:sz w:val="30"/>
          <w:szCs w:val="30"/>
          <w:lang w:eastAsia="zh-CN"/>
        </w:rPr>
        <w:t>内容</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default" w:ascii="宋体" w:hAnsi="宋体" w:eastAsia="宋体" w:cs="宋体"/>
          <w:spacing w:val="-4"/>
          <w:sz w:val="30"/>
          <w:szCs w:val="30"/>
          <w:lang w:val="en-US" w:eastAsia="zh-CN"/>
        </w:rPr>
      </w:pPr>
      <w:r>
        <w:rPr>
          <w:rFonts w:hint="default" w:ascii="宋体" w:hAnsi="宋体" w:eastAsia="宋体" w:cs="宋体"/>
          <w:spacing w:val="-4"/>
          <w:sz w:val="30"/>
          <w:szCs w:val="30"/>
          <w:lang w:val="en-US" w:eastAsia="zh-CN"/>
        </w:rPr>
        <w:t>本次采购需供应商提供上网卡配套增值电信服务，具体服务要求如下：</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default" w:ascii="宋体" w:hAnsi="宋体" w:eastAsia="宋体" w:cs="宋体"/>
          <w:spacing w:val="-4"/>
          <w:sz w:val="30"/>
          <w:szCs w:val="30"/>
          <w:lang w:val="en-US" w:eastAsia="zh-CN"/>
        </w:rPr>
      </w:pPr>
      <w:r>
        <w:rPr>
          <w:rFonts w:hint="default" w:ascii="宋体" w:hAnsi="宋体" w:eastAsia="宋体" w:cs="宋体"/>
          <w:spacing w:val="-4"/>
          <w:sz w:val="30"/>
          <w:szCs w:val="30"/>
          <w:lang w:val="en-US" w:eastAsia="zh-CN"/>
        </w:rPr>
        <w:t>1. 提供合规手机号码：适配</w:t>
      </w:r>
      <w:r>
        <w:rPr>
          <w:rFonts w:hint="eastAsia" w:ascii="宋体" w:hAnsi="宋体" w:eastAsia="宋体" w:cs="宋体"/>
          <w:spacing w:val="-4"/>
          <w:sz w:val="30"/>
          <w:szCs w:val="30"/>
          <w:lang w:eastAsia="zh-CN"/>
        </w:rPr>
        <w:t>采购人不同地区的号码需求，提供可直接外呼且外显号码为正常11位数的手机号码，符合工信部号码备案及实名制要求，支持基础语音通话、国内5G数据流功能。</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default" w:ascii="宋体" w:hAnsi="宋体" w:eastAsia="宋体" w:cs="宋体"/>
          <w:spacing w:val="-4"/>
          <w:sz w:val="30"/>
          <w:szCs w:val="30"/>
          <w:lang w:val="en-US" w:eastAsia="zh-CN"/>
        </w:rPr>
        <w:t>2. 提供流量套餐服务：单卡每月配备</w:t>
      </w:r>
      <w:r>
        <w:rPr>
          <w:rFonts w:hint="eastAsia" w:ascii="宋体" w:hAnsi="宋体" w:eastAsia="宋体" w:cs="宋体"/>
          <w:spacing w:val="-4"/>
          <w:sz w:val="30"/>
          <w:szCs w:val="30"/>
          <w:lang w:eastAsia="zh-CN"/>
        </w:rPr>
        <w:t>国内通用5G数据流量</w:t>
      </w:r>
      <w:r>
        <w:rPr>
          <w:rFonts w:hint="eastAsia" w:ascii="宋体" w:hAnsi="宋体" w:eastAsia="宋体" w:cs="宋体"/>
          <w:spacing w:val="-4"/>
          <w:sz w:val="30"/>
          <w:szCs w:val="30"/>
          <w:lang w:val="en-US" w:eastAsia="zh-CN"/>
        </w:rPr>
        <w:t>1</w:t>
      </w:r>
      <w:r>
        <w:rPr>
          <w:rFonts w:hint="eastAsia" w:ascii="宋体" w:hAnsi="宋体" w:eastAsia="宋体" w:cs="宋体"/>
          <w:spacing w:val="-4"/>
          <w:sz w:val="30"/>
          <w:szCs w:val="30"/>
          <w:lang w:eastAsia="zh-CN"/>
        </w:rPr>
        <w:t>00GB/月（包含5Gwifi配套终端）；支持流量结转，无长途、漫游费。</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default" w:ascii="宋体" w:hAnsi="宋体" w:eastAsia="宋体" w:cs="宋体"/>
          <w:spacing w:val="-4"/>
          <w:sz w:val="30"/>
          <w:szCs w:val="30"/>
          <w:lang w:val="en-US" w:eastAsia="zh-CN"/>
        </w:rPr>
      </w:pPr>
      <w:r>
        <w:rPr>
          <w:rFonts w:hint="default" w:ascii="宋体" w:hAnsi="宋体" w:eastAsia="宋体" w:cs="宋体"/>
          <w:spacing w:val="-4"/>
          <w:sz w:val="30"/>
          <w:szCs w:val="30"/>
          <w:lang w:val="en-US" w:eastAsia="zh-CN"/>
        </w:rPr>
        <w:t>3. 提供通信保障服务：保障号码</w:t>
      </w:r>
      <w:r>
        <w:rPr>
          <w:rFonts w:hint="eastAsia" w:ascii="宋体" w:hAnsi="宋体" w:eastAsia="宋体" w:cs="宋体"/>
          <w:spacing w:val="-4"/>
          <w:sz w:val="30"/>
          <w:szCs w:val="30"/>
          <w:lang w:val="en-US" w:eastAsia="zh-CN"/>
        </w:rPr>
        <w:t>使用</w:t>
      </w:r>
      <w:r>
        <w:rPr>
          <w:rFonts w:hint="default" w:ascii="宋体" w:hAnsi="宋体" w:eastAsia="宋体" w:cs="宋体"/>
          <w:spacing w:val="-4"/>
          <w:sz w:val="30"/>
          <w:szCs w:val="30"/>
          <w:lang w:val="en-US" w:eastAsia="zh-CN"/>
        </w:rPr>
        <w:t>区域网络覆盖、通信信道稳定，满足日常通话、数据上网使用。</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default" w:ascii="宋体" w:hAnsi="宋体" w:eastAsia="宋体" w:cs="宋体"/>
          <w:spacing w:val="-4"/>
          <w:sz w:val="30"/>
          <w:szCs w:val="30"/>
          <w:lang w:val="en-US" w:eastAsia="zh-CN"/>
        </w:rPr>
        <w:t>4. 提供配套增值服务：</w:t>
      </w:r>
      <w:r>
        <w:rPr>
          <w:rFonts w:hint="eastAsia" w:ascii="宋体" w:hAnsi="宋体" w:eastAsia="宋体" w:cs="宋体"/>
          <w:spacing w:val="-4"/>
          <w:sz w:val="30"/>
          <w:szCs w:val="30"/>
          <w:lang w:eastAsia="zh-CN"/>
        </w:rPr>
        <w:t>来电显示默认开通且不额外收费；呼叫转移或等待支持开通，费用包含在套餐内。</w:t>
      </w:r>
      <w:bookmarkStart w:id="0" w:name="_GoBack"/>
      <w:bookmarkEnd w:id="0"/>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textAlignment w:val="baseline"/>
        <w:rPr>
          <w:rFonts w:hint="eastAsia" w:ascii="宋体" w:hAnsi="宋体" w:eastAsia="宋体" w:cs="宋体"/>
          <w:b/>
          <w:bCs/>
          <w:spacing w:val="-3"/>
          <w:sz w:val="30"/>
          <w:szCs w:val="30"/>
          <w:lang w:eastAsia="zh-CN"/>
        </w:rPr>
      </w:pPr>
      <w:r>
        <w:rPr>
          <w:rFonts w:hint="eastAsia" w:ascii="宋体" w:hAnsi="宋体" w:eastAsia="宋体" w:cs="宋体"/>
          <w:b/>
          <w:bCs/>
          <w:spacing w:val="-3"/>
          <w:sz w:val="30"/>
          <w:szCs w:val="30"/>
          <w:lang w:eastAsia="zh-CN"/>
        </w:rPr>
        <w:t>三、项目</w:t>
      </w:r>
      <w:r>
        <w:rPr>
          <w:rFonts w:hint="eastAsia" w:ascii="宋体" w:hAnsi="宋体" w:eastAsia="宋体" w:cs="宋体"/>
          <w:b/>
          <w:bCs/>
          <w:spacing w:val="-3"/>
          <w:sz w:val="30"/>
          <w:szCs w:val="30"/>
          <w:lang w:val="en-US" w:eastAsia="zh-CN"/>
        </w:rPr>
        <w:t>规范</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textAlignment w:val="baseline"/>
        <w:rPr>
          <w:rFonts w:hint="eastAsia" w:ascii="宋体" w:hAnsi="宋体" w:eastAsia="宋体" w:cs="宋体"/>
          <w:b/>
          <w:bCs/>
          <w:spacing w:val="-3"/>
          <w:sz w:val="30"/>
          <w:szCs w:val="30"/>
          <w:lang w:eastAsia="zh-CN"/>
        </w:rPr>
      </w:pPr>
      <w:r>
        <w:rPr>
          <w:rFonts w:hint="eastAsia" w:ascii="宋体" w:hAnsi="宋体" w:eastAsia="宋体" w:cs="宋体"/>
          <w:b/>
          <w:bCs/>
          <w:spacing w:val="-3"/>
          <w:sz w:val="30"/>
          <w:szCs w:val="30"/>
          <w:lang w:eastAsia="zh-CN"/>
        </w:rPr>
        <w:t>（一）运营服务要求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1．供应商具体服务要求以及服务流程</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(1)供应商应当具备良好的软、硬件维护能力，对于实体卡号码信号的稳定性和通话服务的持续性提供技术支持，不限于采购人是否在号码归属地使用，都能保持一致的服务水平。</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(2)服务流程</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①开展服务：供应商按照合同约定提供服务，包括但不限于为采购人提供开卡、号码实名认证、号码变更及号码故障处理等服务；</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②费用结算：双方按照合同约定时间及价格进行费用结算。</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default" w:ascii="宋体" w:hAnsi="宋体" w:eastAsia="宋体" w:cs="宋体"/>
          <w:spacing w:val="-4"/>
          <w:sz w:val="30"/>
          <w:szCs w:val="30"/>
          <w:lang w:val="en-US" w:eastAsia="zh-CN"/>
        </w:rPr>
      </w:pPr>
      <w:r>
        <w:rPr>
          <w:rFonts w:hint="eastAsia" w:ascii="宋体" w:hAnsi="宋体" w:eastAsia="宋体" w:cs="宋体"/>
          <w:spacing w:val="-4"/>
          <w:sz w:val="30"/>
          <w:szCs w:val="30"/>
          <w:lang w:val="en-US" w:eastAsia="zh-CN"/>
        </w:rPr>
        <w:t>(3)服务时长：1年</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default" w:ascii="宋体" w:hAnsi="宋体" w:eastAsia="宋体" w:cs="宋体"/>
          <w:spacing w:val="-4"/>
          <w:sz w:val="30"/>
          <w:szCs w:val="30"/>
          <w:lang w:val="en-US" w:eastAsia="zh-CN"/>
        </w:rPr>
      </w:pPr>
      <w:r>
        <w:rPr>
          <w:rFonts w:hint="eastAsia" w:ascii="宋体" w:hAnsi="宋体" w:eastAsia="宋体" w:cs="宋体"/>
          <w:spacing w:val="-4"/>
          <w:sz w:val="30"/>
          <w:szCs w:val="30"/>
          <w:lang w:val="en-US" w:eastAsia="zh-CN"/>
        </w:rPr>
        <w:t>(4)1年服务期满，手机号（卡）不归还，可供后续继续使用。</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2．服务时效要求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(1)新增及实名制认证</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供应商应提供快速、便捷的开卡及实名制认证服务。供应商应在采购人提出新增需求后安排人员远程开卡及实名制认证，在7个工作日内（5个工作日内更优）完成实名制认证，并提供实体卡、实体卡号码，保证号码可正常使用。</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（供应商应按照响应时效要求执行采购人提出的号码删除及实名制更改等所有需求，并提供相关结果证明。如实名制更改无需使用人进行现场活体认证更优。）</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(2)号码更换</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①对于实体卡号码出现被拦截、停号或故障等情况，供应商需尽快协助恢复号码原具备的功能。若无法恢复，则需支持在7个工作日内（5个工作日内更优）根据采购人的需求更换新号码。该时效要求间接影响费用结算。</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(2)销户</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供应商允许采购人历史费用未结清的情况下，必须在采购人提出销户需求的3个工作日内完成实体卡销户工作，并提供销户结果证明，并保证完成销户后次月不发生任何费用（应付费用采购人后续会完成支付）。</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(4)当月开户及注销号码收费标准</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0"/>
        <w:jc w:val="both"/>
        <w:textAlignment w:val="baseline"/>
        <w:rPr>
          <w:rFonts w:hint="eastAsia" w:ascii="宋体" w:hAnsi="宋体" w:eastAsia="宋体" w:cs="宋体"/>
          <w:spacing w:val="-4"/>
          <w:sz w:val="30"/>
          <w:szCs w:val="30"/>
          <w:lang w:eastAsia="zh-CN"/>
        </w:rPr>
      </w:pPr>
      <w:r>
        <w:rPr>
          <w:rFonts w:hint="eastAsia" w:ascii="宋体" w:hAnsi="宋体" w:eastAsia="宋体" w:cs="宋体"/>
          <w:spacing w:val="-4"/>
          <w:sz w:val="30"/>
          <w:szCs w:val="30"/>
          <w:lang w:eastAsia="zh-CN"/>
        </w:rPr>
        <w:t>实体卡号码开卡当月，该号码当月未使用，不收取套餐费用。实体卡号码注销当月提出，次月起不再收费。</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9"/>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3．技术需求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9"/>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(1)实体卡的使用场地涉及信道及信号的开拓布置，供应商需在合同签订之日起1个月内完成对采购人使用实体卡场地的信号及信道的评估及布置对接，确保信号好、信道足；如未在要求时间内完成，供应商需提供备用方案，支持采购人进行外呼作业，保证业务连续性，直至信号及信道的对接布置完成。（号码地区以采购人需求为准）</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9"/>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(2)供应商如可提供定期清除号码的骚扰、广告、推销等不良标签更优。</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9"/>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(3)供应商所提供的实体卡号码均须通过合法合规的方式且满足在采购人的集成设备内正常使用，包含但不限于正常呼入、呼出等，若存在无法满足的情况，供应商应积极处理并提供备选方案。如经双方最终确认方案无法继续使用的，采购人有权解除合同且无需承担任何责任。</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textAlignment w:val="baseline"/>
        <w:rPr>
          <w:rFonts w:hint="eastAsia" w:ascii="宋体" w:hAnsi="宋体" w:eastAsia="宋体" w:cs="宋体"/>
          <w:b/>
          <w:bCs/>
          <w:spacing w:val="-3"/>
          <w:sz w:val="30"/>
          <w:szCs w:val="30"/>
          <w:lang w:eastAsia="zh-CN"/>
        </w:rPr>
      </w:pPr>
      <w:r>
        <w:rPr>
          <w:rFonts w:hint="eastAsia" w:ascii="宋体" w:hAnsi="宋体" w:eastAsia="宋体" w:cs="宋体"/>
          <w:b/>
          <w:bCs/>
          <w:spacing w:val="-3"/>
          <w:sz w:val="30"/>
          <w:szCs w:val="30"/>
          <w:lang w:eastAsia="zh-CN"/>
        </w:rPr>
        <w:t>（二）项目技术要求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9"/>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1.信息安全要求、保密要求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9"/>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在合作过程中，业务、技术及商业秘密，中标人必须实行严格的保密措施，在任何情况下均不得向第三方透露，法律法规、金融监管机构另有规定或法院书面要求的除外。否则，中标人必须赔偿采购人由此而引起的所有损失。保密要求不因合作协议的终止或解除而失效。供应商需承诺在中标后按照采购人要求签订该项目的保密协议。供应商对通过该业务获得的采购人资料需予以保密，未经采购人书面同意，不得将资料用于本项目之外的任何用途，也不得直接或间接的以任何方式提供或者披露给任何第三方。</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9"/>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2.个人信息保护</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9"/>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涉及供应商互联网平台的，供应商应能够采取必要的技术安全措施，保障数据传输的保密性、完整性，防止其他机构和个人非法破解、截留、存储有关数据。</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39"/>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涉及由供应商向采购人提供个人信息的，供应商获取客户个人信息的来源及途径需合法合规，处理自有或非自有客户个人信息前，应能按照《个人信息保护法》等相关法律法规要求，取得个人信息主体清晰充分的单独授权同意(包括客户关于同意将个人信息提供至我行、以及我行使用客户个人信息的授权)。</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90"/>
        <w:jc w:val="both"/>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3.保密要求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90"/>
        <w:jc w:val="both"/>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采购人相关信息保密要求将在合作协议和保密条款中与供应商约定，并明确相应罚则。采购人根据服务协议向供应商提供的信息均属于保密信息，只能由供应商及其相关人员为本项目而使用。供应商须采取合理的措施，对任何与服务有关的专有或保密信息加以保密。除相关服务协议另有规定外，对于采购人提供的任何保密信息，未经采购人的书面同意，供应商及其知悉保密信息的人员均不得直接或间接地以任何方式提供或披露给任何第三方。采购人向供应商提供或披露的保密信息，仅可由供应商为执行本项目需要披露给指定的人员，并且仅在为执行项目所需的范围内进行该等披露。此所约定的保密义务不适用于已合法公开的信息。</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90"/>
        <w:jc w:val="both"/>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4.制度认证要求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90"/>
        <w:jc w:val="both"/>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供应商应通过ISO27001信息安全管理、ISO9001质量管理、ISO22301业务连续性认证，具备其规定的信息安全、质量管理、业务连续性方面的相关标准、政策和流程。</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90"/>
        <w:jc w:val="both"/>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5.客户投诉服务要求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90"/>
        <w:jc w:val="both"/>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供应商具备支撑采购人将外呼号码在相关监管部门进行业务报备的能力，需要协助打通投诉申诉的通道。</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90"/>
        <w:jc w:val="both"/>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由供应商提供的产品/服务,所产生的相关服务的纠纷,由供应商负责协调、解决、承担责任。供应商提供完善的管理和投诉相应措施，负责受理及处理采购人的客户投诉，投诉形式包括不限于电话、传真、邮件、信函等。</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90"/>
        <w:jc w:val="both"/>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对特别严重的投诉，如采购人客户提出要投诉至12315、银监、工商等国家机关或部门时等情况，供应商应在1小时内反馈给采购人。</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textAlignment w:val="baseline"/>
        <w:rPr>
          <w:rFonts w:hint="eastAsia" w:ascii="宋体" w:hAnsi="宋体" w:eastAsia="宋体" w:cs="宋体"/>
          <w:b/>
          <w:bCs/>
          <w:spacing w:val="-3"/>
          <w:sz w:val="30"/>
          <w:szCs w:val="30"/>
          <w:lang w:eastAsia="zh-CN"/>
        </w:rPr>
      </w:pPr>
      <w:r>
        <w:rPr>
          <w:rFonts w:hint="eastAsia" w:ascii="宋体" w:hAnsi="宋体" w:eastAsia="宋体" w:cs="宋体"/>
          <w:b/>
          <w:bCs/>
          <w:spacing w:val="-3"/>
          <w:sz w:val="30"/>
          <w:szCs w:val="30"/>
          <w:lang w:eastAsia="zh-CN"/>
        </w:rPr>
        <w:t>（三）交付与验收要求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90"/>
        <w:jc w:val="both"/>
        <w:textAlignment w:val="baseline"/>
        <w:rPr>
          <w:rFonts w:hint="eastAsia" w:ascii="宋体" w:hAnsi="宋体" w:eastAsia="宋体" w:cs="宋体"/>
          <w:sz w:val="30"/>
          <w:szCs w:val="30"/>
          <w:lang w:eastAsia="zh-CN"/>
        </w:rPr>
      </w:pPr>
      <w:r>
        <w:rPr>
          <w:rFonts w:hint="eastAsia" w:ascii="宋体" w:hAnsi="宋体" w:eastAsia="宋体" w:cs="宋体"/>
          <w:sz w:val="30"/>
          <w:szCs w:val="30"/>
          <w:lang w:eastAsia="zh-CN"/>
        </w:rPr>
        <w:t xml:space="preserve">  □一次性验收      ☑分阶段验收（请详细说明）</w:t>
      </w:r>
    </w:p>
    <w:tbl>
      <w:tblPr>
        <w:tblStyle w:val="6"/>
        <w:tblW w:w="854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6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vAlign w:val="center"/>
          </w:tcPr>
          <w:p>
            <w:pPr>
              <w:widowControl w:val="0"/>
              <w:spacing w:line="360" w:lineRule="auto"/>
              <w:jc w:val="both"/>
              <w:rPr>
                <w:rFonts w:hint="eastAsia" w:ascii="宋体" w:hAnsi="宋体" w:eastAsia="宋体" w:cs="宋体"/>
                <w:bCs/>
                <w:sz w:val="30"/>
                <w:szCs w:val="30"/>
              </w:rPr>
            </w:pPr>
            <w:r>
              <w:rPr>
                <w:rFonts w:hint="eastAsia" w:ascii="宋体" w:hAnsi="宋体" w:eastAsia="宋体" w:cs="宋体"/>
                <w:bCs/>
                <w:sz w:val="30"/>
                <w:szCs w:val="30"/>
              </w:rPr>
              <w:t>验收内容</w:t>
            </w:r>
          </w:p>
        </w:tc>
        <w:tc>
          <w:tcPr>
            <w:tcW w:w="6414" w:type="dxa"/>
            <w:vAlign w:val="center"/>
          </w:tcPr>
          <w:p>
            <w:pPr>
              <w:widowControl w:val="0"/>
              <w:spacing w:line="360" w:lineRule="auto"/>
              <w:jc w:val="both"/>
              <w:rPr>
                <w:rFonts w:hint="eastAsia" w:ascii="宋体" w:hAnsi="宋体" w:eastAsia="宋体" w:cs="宋体"/>
                <w:bCs/>
                <w:sz w:val="30"/>
                <w:szCs w:val="30"/>
              </w:rPr>
            </w:pPr>
            <w:r>
              <w:rPr>
                <w:rFonts w:hint="eastAsia" w:ascii="宋体" w:hAnsi="宋体" w:eastAsia="宋体" w:cs="宋体"/>
                <w:bCs/>
                <w:sz w:val="30"/>
                <w:szCs w:val="30"/>
              </w:rPr>
              <w:t>实体卡外呼服务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vAlign w:val="center"/>
          </w:tcPr>
          <w:p>
            <w:pPr>
              <w:widowControl w:val="0"/>
              <w:spacing w:line="360" w:lineRule="auto"/>
              <w:jc w:val="both"/>
              <w:rPr>
                <w:rFonts w:hint="eastAsia" w:ascii="宋体" w:hAnsi="宋体" w:eastAsia="宋体" w:cs="宋体"/>
                <w:bCs/>
                <w:sz w:val="30"/>
                <w:szCs w:val="30"/>
              </w:rPr>
            </w:pPr>
            <w:r>
              <w:rPr>
                <w:rFonts w:hint="eastAsia" w:ascii="宋体" w:hAnsi="宋体" w:eastAsia="宋体" w:cs="宋体"/>
                <w:bCs/>
                <w:sz w:val="30"/>
                <w:szCs w:val="30"/>
              </w:rPr>
              <w:t>参与验收部门</w:t>
            </w:r>
          </w:p>
        </w:tc>
        <w:tc>
          <w:tcPr>
            <w:tcW w:w="6414" w:type="dxa"/>
            <w:vAlign w:val="center"/>
          </w:tcPr>
          <w:p>
            <w:pPr>
              <w:widowControl w:val="0"/>
              <w:spacing w:line="360" w:lineRule="auto"/>
              <w:jc w:val="both"/>
              <w:rPr>
                <w:rFonts w:hint="eastAsia" w:ascii="宋体" w:hAnsi="宋体" w:eastAsia="宋体" w:cs="宋体"/>
                <w:bCs/>
                <w:sz w:val="30"/>
                <w:szCs w:val="30"/>
              </w:rPr>
            </w:pPr>
            <w:r>
              <w:rPr>
                <w:rFonts w:hint="eastAsia" w:ascii="宋体" w:hAnsi="宋体" w:eastAsia="宋体" w:cs="宋体"/>
                <w:bCs/>
                <w:sz w:val="30"/>
                <w:szCs w:val="30"/>
                <w:lang w:eastAsia="zh-CN"/>
              </w:rPr>
              <w:t>数字化</w:t>
            </w:r>
            <w:r>
              <w:rPr>
                <w:rFonts w:hint="eastAsia" w:ascii="宋体" w:hAnsi="宋体" w:eastAsia="宋体" w:cs="宋体"/>
                <w:bCs/>
                <w:sz w:val="30"/>
                <w:szCs w:val="30"/>
              </w:rPr>
              <w:t>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vAlign w:val="center"/>
          </w:tcPr>
          <w:p>
            <w:pPr>
              <w:widowControl w:val="0"/>
              <w:spacing w:line="360" w:lineRule="auto"/>
              <w:jc w:val="both"/>
              <w:rPr>
                <w:rFonts w:hint="eastAsia" w:ascii="宋体" w:hAnsi="宋体" w:eastAsia="宋体" w:cs="宋体"/>
                <w:bCs/>
                <w:sz w:val="30"/>
                <w:szCs w:val="30"/>
              </w:rPr>
            </w:pPr>
            <w:r>
              <w:rPr>
                <w:rFonts w:hint="eastAsia" w:ascii="宋体" w:hAnsi="宋体" w:eastAsia="宋体" w:cs="宋体"/>
                <w:bCs/>
                <w:sz w:val="30"/>
                <w:szCs w:val="30"/>
              </w:rPr>
              <w:t>验收提供文档</w:t>
            </w:r>
          </w:p>
        </w:tc>
        <w:tc>
          <w:tcPr>
            <w:tcW w:w="6414" w:type="dxa"/>
            <w:vAlign w:val="center"/>
          </w:tcPr>
          <w:p>
            <w:pPr>
              <w:widowControl w:val="0"/>
              <w:spacing w:line="360" w:lineRule="auto"/>
              <w:jc w:val="both"/>
              <w:rPr>
                <w:rFonts w:hint="eastAsia" w:ascii="宋体" w:hAnsi="宋体" w:eastAsia="宋体" w:cs="宋体"/>
                <w:bCs/>
                <w:sz w:val="30"/>
                <w:szCs w:val="30"/>
              </w:rPr>
            </w:pPr>
            <w:r>
              <w:rPr>
                <w:rFonts w:hint="eastAsia" w:ascii="宋体" w:hAnsi="宋体" w:eastAsia="宋体" w:cs="宋体"/>
                <w:bCs/>
                <w:sz w:val="30"/>
                <w:szCs w:val="30"/>
              </w:rPr>
              <w:t>号码明细表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vAlign w:val="center"/>
          </w:tcPr>
          <w:p>
            <w:pPr>
              <w:widowControl w:val="0"/>
              <w:spacing w:line="360" w:lineRule="auto"/>
              <w:jc w:val="both"/>
              <w:rPr>
                <w:rFonts w:hint="eastAsia" w:ascii="宋体" w:hAnsi="宋体" w:eastAsia="宋体" w:cs="宋体"/>
                <w:bCs/>
                <w:sz w:val="30"/>
                <w:szCs w:val="30"/>
              </w:rPr>
            </w:pPr>
            <w:r>
              <w:rPr>
                <w:rFonts w:hint="eastAsia" w:ascii="宋体" w:hAnsi="宋体" w:eastAsia="宋体" w:cs="宋体"/>
                <w:bCs/>
                <w:sz w:val="30"/>
                <w:szCs w:val="30"/>
              </w:rPr>
              <w:t>验收确认方式</w:t>
            </w:r>
          </w:p>
        </w:tc>
        <w:tc>
          <w:tcPr>
            <w:tcW w:w="6414" w:type="dxa"/>
            <w:vAlign w:val="center"/>
          </w:tcPr>
          <w:p>
            <w:pPr>
              <w:widowControl w:val="0"/>
              <w:spacing w:line="360" w:lineRule="auto"/>
              <w:jc w:val="both"/>
              <w:rPr>
                <w:rFonts w:hint="eastAsia" w:ascii="宋体" w:hAnsi="宋体" w:eastAsia="宋体" w:cs="宋体"/>
                <w:bCs/>
                <w:sz w:val="30"/>
                <w:szCs w:val="30"/>
                <w:lang w:eastAsia="zh-CN"/>
              </w:rPr>
            </w:pPr>
            <w:r>
              <w:rPr>
                <w:rFonts w:hint="eastAsia" w:ascii="宋体" w:hAnsi="宋体" w:eastAsia="宋体" w:cs="宋体"/>
                <w:bCs/>
                <w:sz w:val="30"/>
                <w:szCs w:val="30"/>
                <w:lang w:eastAsia="zh-CN"/>
              </w:rPr>
              <w:t>采购人将实体卡号码投入使用后10个工作日内确认是否合格。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vAlign w:val="center"/>
          </w:tcPr>
          <w:p>
            <w:pPr>
              <w:widowControl w:val="0"/>
              <w:spacing w:line="360" w:lineRule="auto"/>
              <w:jc w:val="both"/>
              <w:rPr>
                <w:rFonts w:hint="eastAsia" w:ascii="宋体" w:hAnsi="宋体" w:eastAsia="宋体" w:cs="宋体"/>
                <w:bCs/>
                <w:sz w:val="30"/>
                <w:szCs w:val="30"/>
              </w:rPr>
            </w:pPr>
            <w:r>
              <w:rPr>
                <w:rFonts w:hint="eastAsia" w:ascii="宋体" w:hAnsi="宋体" w:eastAsia="宋体" w:cs="宋体"/>
                <w:bCs/>
                <w:sz w:val="30"/>
                <w:szCs w:val="30"/>
              </w:rPr>
              <w:t>验收合格标准</w:t>
            </w:r>
          </w:p>
        </w:tc>
        <w:tc>
          <w:tcPr>
            <w:tcW w:w="6414" w:type="dxa"/>
            <w:vAlign w:val="center"/>
          </w:tcPr>
          <w:p>
            <w:pPr>
              <w:widowControl w:val="0"/>
              <w:spacing w:line="360" w:lineRule="auto"/>
              <w:jc w:val="both"/>
              <w:rPr>
                <w:rFonts w:hint="eastAsia" w:ascii="宋体" w:hAnsi="宋体" w:eastAsia="宋体" w:cs="宋体"/>
                <w:bCs/>
                <w:sz w:val="30"/>
                <w:szCs w:val="30"/>
                <w:lang w:eastAsia="zh-CN"/>
              </w:rPr>
            </w:pPr>
            <w:r>
              <w:rPr>
                <w:rFonts w:hint="eastAsia" w:ascii="宋体" w:hAnsi="宋体" w:eastAsia="宋体" w:cs="宋体"/>
                <w:bCs/>
                <w:sz w:val="30"/>
                <w:szCs w:val="30"/>
                <w:lang w:eastAsia="zh-CN"/>
              </w:rPr>
              <w:t>实体卡号码可正常使用，包括但不限于呼出、呼入及流量等功能正常使用。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vAlign w:val="center"/>
          </w:tcPr>
          <w:p>
            <w:pPr>
              <w:widowControl w:val="0"/>
              <w:spacing w:line="360" w:lineRule="auto"/>
              <w:jc w:val="both"/>
              <w:rPr>
                <w:rFonts w:hint="eastAsia" w:ascii="宋体" w:hAnsi="宋体" w:eastAsia="宋体" w:cs="宋体"/>
                <w:bCs/>
                <w:sz w:val="30"/>
                <w:szCs w:val="30"/>
              </w:rPr>
            </w:pPr>
            <w:r>
              <w:rPr>
                <w:rFonts w:hint="eastAsia" w:ascii="宋体" w:hAnsi="宋体" w:eastAsia="宋体" w:cs="宋体"/>
                <w:bCs/>
                <w:sz w:val="30"/>
                <w:szCs w:val="30"/>
              </w:rPr>
              <w:t>验收不合格处理方式</w:t>
            </w:r>
          </w:p>
        </w:tc>
        <w:tc>
          <w:tcPr>
            <w:tcW w:w="6414" w:type="dxa"/>
            <w:vAlign w:val="center"/>
          </w:tcPr>
          <w:p>
            <w:pPr>
              <w:widowControl w:val="0"/>
              <w:spacing w:line="360" w:lineRule="auto"/>
              <w:jc w:val="both"/>
              <w:rPr>
                <w:rFonts w:hint="eastAsia" w:ascii="宋体" w:hAnsi="宋体" w:eastAsia="宋体" w:cs="宋体"/>
                <w:bCs/>
                <w:sz w:val="30"/>
                <w:szCs w:val="30"/>
                <w:lang w:eastAsia="zh-CN"/>
              </w:rPr>
            </w:pPr>
            <w:r>
              <w:rPr>
                <w:rFonts w:hint="eastAsia" w:ascii="宋体" w:hAnsi="宋体" w:eastAsia="宋体" w:cs="宋体"/>
                <w:bCs/>
                <w:sz w:val="30"/>
                <w:szCs w:val="30"/>
                <w:lang w:eastAsia="zh-CN"/>
              </w:rPr>
              <w:t>供应商需在当天查明异常原因并提供解决方案。</w:t>
            </w:r>
          </w:p>
        </w:tc>
      </w:tr>
    </w:tbl>
    <w:p>
      <w:pPr>
        <w:pStyle w:val="2"/>
        <w:rPr>
          <w:rFonts w:eastAsia="宋体"/>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AE259B"/>
    <w:multiLevelType w:val="singleLevel"/>
    <w:tmpl w:val="D1AE259B"/>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2F05A5"/>
    <w:rsid w:val="00007991"/>
    <w:rsid w:val="00074D7A"/>
    <w:rsid w:val="007E3546"/>
    <w:rsid w:val="00AC6399"/>
    <w:rsid w:val="079868CC"/>
    <w:rsid w:val="0C105847"/>
    <w:rsid w:val="15C26140"/>
    <w:rsid w:val="176F167E"/>
    <w:rsid w:val="262F2132"/>
    <w:rsid w:val="34886B74"/>
    <w:rsid w:val="4AF10803"/>
    <w:rsid w:val="4F345066"/>
    <w:rsid w:val="55EF2DC4"/>
    <w:rsid w:val="5D2F05A5"/>
    <w:rsid w:val="6D0F33FD"/>
    <w:rsid w:val="73763C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semiHidden/>
    <w:qFormat/>
    <w:uiPriority w:val="0"/>
  </w:style>
  <w:style w:type="paragraph" w:styleId="3">
    <w:name w:val="footer"/>
    <w:basedOn w:val="1"/>
    <w:link w:val="10"/>
    <w:qFormat/>
    <w:uiPriority w:val="0"/>
    <w:pPr>
      <w:tabs>
        <w:tab w:val="center" w:pos="4153"/>
        <w:tab w:val="right" w:pos="8306"/>
      </w:tabs>
    </w:pPr>
    <w:rPr>
      <w:sz w:val="18"/>
      <w:szCs w:val="18"/>
    </w:rPr>
  </w:style>
  <w:style w:type="paragraph" w:styleId="4">
    <w:name w:val="header"/>
    <w:basedOn w:val="1"/>
    <w:link w:val="9"/>
    <w:qFormat/>
    <w:uiPriority w:val="0"/>
    <w:pPr>
      <w:tabs>
        <w:tab w:val="center" w:pos="4153"/>
        <w:tab w:val="right" w:pos="8306"/>
      </w:tabs>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Explanatory Text"/>
    <w:basedOn w:val="1"/>
    <w:qFormat/>
    <w:uiPriority w:val="0"/>
    <w:rPr>
      <w:rFonts w:ascii="Helvetica" w:hAnsi="Helvetica"/>
      <w:color w:val="0000FF"/>
      <w:sz w:val="18"/>
      <w:szCs w:val="20"/>
      <w:lang w:val="en-GB"/>
    </w:rPr>
  </w:style>
  <w:style w:type="character" w:customStyle="1" w:styleId="9">
    <w:name w:val="页眉 字符"/>
    <w:basedOn w:val="7"/>
    <w:link w:val="4"/>
    <w:qFormat/>
    <w:uiPriority w:val="0"/>
    <w:rPr>
      <w:rFonts w:ascii="Arial" w:hAnsi="Arial" w:eastAsia="Arial" w:cs="Arial"/>
      <w:snapToGrid w:val="0"/>
      <w:color w:val="000000"/>
      <w:sz w:val="18"/>
      <w:szCs w:val="18"/>
      <w:lang w:eastAsia="en-US"/>
    </w:rPr>
  </w:style>
  <w:style w:type="character" w:customStyle="1" w:styleId="10">
    <w:name w:val="页脚 字符"/>
    <w:basedOn w:val="7"/>
    <w:link w:val="3"/>
    <w:qFormat/>
    <w:uiPriority w:val="0"/>
    <w:rPr>
      <w:rFonts w:ascii="Arial" w:hAnsi="Arial" w:eastAsia="Arial" w:cs="Arial"/>
      <w:snapToGrid w:val="0"/>
      <w:color w:val="000000"/>
      <w:sz w:val="18"/>
      <w:szCs w:val="18"/>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2507</Words>
  <Characters>2572</Characters>
  <Lines>70</Lines>
  <Paragraphs>56</Paragraphs>
  <TotalTime>117</TotalTime>
  <ScaleCrop>false</ScaleCrop>
  <LinksUpToDate>false</LinksUpToDate>
  <CharactersWithSpaces>2581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2026-03-17T07:04:00Z</dcterms:created>
  <dc:creator>Wake</dc:creator>
  <cp:lastModifiedBy>李淑锐</cp:lastModifiedBy>
  <dcterms:modified xsi:type="dcterms:W3CDTF">2026-07-20T10:10:26Z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7BD4B0B0307F48FF96BDCEBB406EA340_13</vt:lpwstr>
  </property>
  <property fmtid="{D5CDD505-2E9C-101B-9397-08002B2CF9AE}" pid="4" name="KSOTemplateDocerSaveRecord">
    <vt:lpwstr>eyJoZGlkIjoiMDdmZTY1YjVlMDk1NmY3NDlmNGZhOTBlMzVmMjRlZjMiLCJ1c2VySWQiOiIxMDIwOTk2MzY4In0=</vt:lpwstr>
  </property>
</Properties>
</file>