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sz w:val="28"/>
          <w:szCs w:val="36"/>
        </w:rPr>
      </w:pPr>
      <w:r>
        <w:rPr>
          <w:rFonts w:eastAsia="黑体"/>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7609840" cy="2552700"/>
                    </a:xfrm>
                    <a:prstGeom prst="rect">
                      <a:avLst/>
                    </a:prstGeom>
                    <a:noFill/>
                    <a:ln>
                      <a:noFill/>
                    </a:ln>
                  </pic:spPr>
                </pic:pic>
              </a:graphicData>
            </a:graphic>
          </wp:anchor>
        </w:drawing>
      </w:r>
      <w:r>
        <w:rPr>
          <w:rFonts w:eastAsia="黑体"/>
          <w:b/>
          <w:sz w:val="52"/>
        </w:rPr>
        <w:pict>
          <v:shape id="_x0000_s1030" o:spid="_x0000_s1030"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8" o:title=""/>
            <o:lock v:ext="edit" aspectratio="f"/>
          </v:shape>
          <o:OLEObject Type="Embed" ProgID="PBrush" ShapeID="_x0000_s1030" DrawAspect="Content" ObjectID="_1468075725" r:id="rId7">
            <o:LockedField>false</o:LockedField>
          </o:OLEObject>
        </w:pict>
      </w: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jc w:val="center"/>
        <w:rPr>
          <w:rFonts w:hint="eastAsia" w:eastAsia="黑体"/>
          <w:b/>
          <w:sz w:val="52"/>
        </w:rPr>
      </w:pPr>
      <w:r>
        <w:rPr>
          <w:rFonts w:hint="eastAsia" w:eastAsia="黑体"/>
          <w:b/>
          <w:sz w:val="52"/>
        </w:rPr>
        <w:t>安全廉洁双控的生产后勤联动智能助手开发</w:t>
      </w:r>
    </w:p>
    <w:p>
      <w:pPr>
        <w:adjustRightInd w:val="0"/>
        <w:snapToGrid w:val="0"/>
        <w:jc w:val="center"/>
        <w:rPr>
          <w:rFonts w:eastAsia="黑体"/>
          <w:b/>
          <w:sz w:val="52"/>
        </w:rPr>
      </w:pPr>
      <w:r>
        <w:rPr>
          <w:rFonts w:eastAsia="黑体"/>
          <w:b/>
          <w:sz w:val="52"/>
        </w:rPr>
        <w:t>技术规范书</w:t>
      </w:r>
    </w:p>
    <w:p>
      <w:pPr>
        <w:adjustRightInd w:val="0"/>
        <w:snapToGrid w:val="0"/>
        <w:rPr>
          <w:sz w:val="28"/>
          <w:szCs w:val="36"/>
        </w:rPr>
      </w:pPr>
    </w:p>
    <w:p>
      <w:pPr>
        <w:pStyle w:val="2"/>
      </w:pPr>
    </w:p>
    <w:p>
      <w:pPr>
        <w:adjustRightInd w:val="0"/>
        <w:snapToGrid w:val="0"/>
        <w:rPr>
          <w:sz w:val="28"/>
          <w:szCs w:val="36"/>
        </w:rPr>
      </w:pPr>
    </w:p>
    <w:p>
      <w:pPr>
        <w:pStyle w:val="2"/>
        <w:rPr>
          <w:sz w:val="28"/>
          <w:szCs w:val="36"/>
        </w:rPr>
      </w:pPr>
    </w:p>
    <w:p>
      <w:pPr>
        <w:pStyle w:val="2"/>
        <w:rPr>
          <w:sz w:val="28"/>
          <w:szCs w:val="36"/>
        </w:rPr>
      </w:pPr>
    </w:p>
    <w:p>
      <w:pPr>
        <w:pStyle w:val="2"/>
        <w:rPr>
          <w:sz w:val="28"/>
          <w:szCs w:val="36"/>
        </w:rPr>
      </w:pPr>
    </w:p>
    <w:p>
      <w:pPr>
        <w:adjustRightInd w:val="0"/>
        <w:snapToGrid w:val="0"/>
        <w:rPr>
          <w:sz w:val="28"/>
          <w:szCs w:val="36"/>
        </w:rPr>
      </w:pPr>
    </w:p>
    <w:p>
      <w:pPr>
        <w:adjustRightInd w:val="0"/>
        <w:snapToGrid w:val="0"/>
        <w:rPr>
          <w:sz w:val="28"/>
          <w:szCs w:val="36"/>
        </w:rPr>
      </w:pPr>
    </w:p>
    <w:p>
      <w:pPr>
        <w:adjustRightInd w:val="0"/>
        <w:snapToGrid w:val="0"/>
        <w:jc w:val="center"/>
        <w:rPr>
          <w:rFonts w:ascii="黑体" w:hAnsi="黑体" w:eastAsia="黑体" w:cs="黑体"/>
          <w:sz w:val="32"/>
          <w:szCs w:val="32"/>
        </w:rPr>
      </w:pPr>
      <w:r>
        <w:rPr>
          <w:rFonts w:hint="eastAsia" w:ascii="黑体" w:hAnsi="黑体" w:eastAsia="黑体" w:cs="黑体"/>
          <w:sz w:val="32"/>
          <w:szCs w:val="32"/>
        </w:rPr>
        <w:t>中国南方电网超高压输电公司南宁局</w:t>
      </w:r>
    </w:p>
    <w:p>
      <w:pPr>
        <w:adjustRightInd w:val="0"/>
        <w:snapToGrid w:val="0"/>
        <w:jc w:val="center"/>
        <w:rPr>
          <w:rFonts w:hint="default" w:ascii="黑体" w:hAnsi="黑体" w:eastAsia="黑体" w:cs="黑体"/>
          <w:sz w:val="32"/>
          <w:szCs w:val="32"/>
          <w:lang w:val="en-US" w:eastAsia="zh-CN"/>
        </w:rPr>
      </w:pPr>
      <w:r>
        <w:rPr>
          <w:rFonts w:hint="eastAsia" w:ascii="黑体" w:hAnsi="黑体" w:eastAsia="黑体" w:cs="黑体"/>
          <w:sz w:val="32"/>
          <w:szCs w:val="32"/>
        </w:rPr>
        <w:t>2026年</w:t>
      </w:r>
      <w:r>
        <w:rPr>
          <w:rFonts w:hint="eastAsia" w:ascii="黑体" w:hAnsi="黑体" w:eastAsia="黑体" w:cs="黑体"/>
          <w:sz w:val="32"/>
          <w:szCs w:val="32"/>
          <w:lang w:val="en-US" w:eastAsia="zh-CN"/>
        </w:rPr>
        <w:t>6月</w:t>
      </w:r>
    </w:p>
    <w:p>
      <w:pPr>
        <w:adjustRightInd w:val="0"/>
        <w:snapToGrid w:val="0"/>
        <w:jc w:val="center"/>
        <w:rPr>
          <w:rFonts w:ascii="黑体" w:hAnsi="黑体" w:eastAsia="黑体" w:cs="黑体"/>
          <w:sz w:val="32"/>
          <w:szCs w:val="32"/>
        </w:rPr>
        <w:sectPr>
          <w:pgSz w:w="11906" w:h="16838"/>
          <w:pgMar w:top="1440" w:right="1800" w:bottom="1440" w:left="1800" w:header="851" w:footer="992" w:gutter="0"/>
          <w:cols w:space="425" w:num="1"/>
          <w:docGrid w:type="lines" w:linePitch="312" w:charSpace="0"/>
        </w:sectPr>
      </w:pPr>
    </w:p>
    <w:p>
      <w:pPr>
        <w:snapToGrid w:val="0"/>
        <w:spacing w:before="120"/>
        <w:rPr>
          <w:rFonts w:ascii="黑体" w:hAnsi="黑体" w:eastAsia="黑体" w:cs="黑体"/>
          <w:b/>
          <w:bCs/>
          <w:sz w:val="28"/>
          <w:szCs w:val="28"/>
        </w:rPr>
      </w:pPr>
      <w:r>
        <w:rPr>
          <w:rFonts w:hint="eastAsia" w:ascii="黑体" w:hAnsi="黑体" w:eastAsia="黑体" w:cs="黑体"/>
          <w:b/>
          <w:bCs/>
          <w:sz w:val="28"/>
          <w:szCs w:val="36"/>
        </w:rPr>
        <w:t>1 总则</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1.1 本技术规范书适用于中国南方电网超高压输电公司南宁局《安全廉洁双控的生产后勤联动智能助手开发》职工创新项目，提出了构建集智能调度、全程风控、精益运维于一体的生产后勤联动智能助手，主要应用于各单位实现车辆资源的精准、高效、合规与低成本运营，以及外勤任务的安全廉洁双控管理。投标方应针对自身特点，根据本技术规范书所描述的具体要求，提供完整的解决方案。</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 本技术规范书提出的是最低限度的技术要求，并未对一切技术细节做出规定，投标方应提供符合本规范书的项目成果。</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如投标方提供的技术服务或方案与本技术规范书要求有差异，即使是微小的差异，应以书面形式言明，并说明原因。如投标方没有以书面形式对本技术规范书的条文提出异议，那么投标方提供的技术服务或方案应完全满足本技术规范书的要求。</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在根据本技术规范书签订协议之后，招标方有权提出因标准或规程规范发生变化而产生的一些补充，具体项目由招标方、投标方双方共同商定。</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 本技术规范书所使用的标准如与投标方所执行的标准发生矛盾时，按较高标准执行，本技术规范书未全部引用应用标准，凡是本技术规范书牵涉的各项内容均按最新标准实施。</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1.6 本技术规范书未尽事宜，由招标方与投标方双方协商确定。</w:t>
      </w:r>
    </w:p>
    <w:p>
      <w:pPr>
        <w:snapToGrid w:val="0"/>
        <w:spacing w:before="120"/>
        <w:rPr>
          <w:rFonts w:ascii="黑体" w:hAnsi="黑体" w:eastAsia="黑体" w:cs="黑体"/>
          <w:b/>
          <w:bCs/>
          <w:sz w:val="28"/>
          <w:szCs w:val="36"/>
        </w:rPr>
      </w:pPr>
      <w:bookmarkStart w:id="0" w:name="_Toc26376"/>
      <w:bookmarkStart w:id="1" w:name="_Toc155114607"/>
      <w:bookmarkStart w:id="2" w:name="_Toc241911995"/>
      <w:r>
        <w:rPr>
          <w:rFonts w:hint="eastAsia" w:ascii="黑体" w:hAnsi="黑体" w:eastAsia="黑体" w:cs="黑体"/>
          <w:b/>
          <w:bCs/>
          <w:sz w:val="28"/>
          <w:szCs w:val="36"/>
        </w:rPr>
        <w:t xml:space="preserve">2 </w:t>
      </w:r>
      <w:bookmarkEnd w:id="0"/>
      <w:bookmarkStart w:id="3" w:name="_Toc531004264"/>
      <w:bookmarkStart w:id="4" w:name="_Toc531004210"/>
      <w:bookmarkStart w:id="5" w:name="_Toc441483964"/>
      <w:r>
        <w:rPr>
          <w:rFonts w:hint="eastAsia" w:ascii="黑体" w:hAnsi="黑体" w:eastAsia="黑体" w:cs="黑体"/>
          <w:b/>
          <w:bCs/>
          <w:sz w:val="28"/>
          <w:szCs w:val="36"/>
        </w:rPr>
        <w:t>项目有关内容</w:t>
      </w:r>
      <w:bookmarkEnd w:id="3"/>
      <w:bookmarkEnd w:id="4"/>
      <w:bookmarkEnd w:id="5"/>
    </w:p>
    <w:bookmarkEnd w:id="1"/>
    <w:bookmarkEnd w:id="2"/>
    <w:p>
      <w:pPr>
        <w:ind w:firstLine="480" w:firstLineChars="200"/>
        <w:rPr>
          <w:rFonts w:hint="eastAsia" w:asciiTheme="minorEastAsia" w:hAnsiTheme="minorEastAsia" w:eastAsiaTheme="minorEastAsia" w:cstheme="minorEastAsia"/>
          <w:sz w:val="24"/>
          <w:lang w:val="en-US" w:eastAsia="zh-CN"/>
        </w:rPr>
      </w:pPr>
      <w:bookmarkStart w:id="6" w:name="_Toc384340980"/>
      <w:bookmarkStart w:id="7" w:name="_Toc39753999"/>
      <w:bookmarkStart w:id="8" w:name="_Toc39753342"/>
      <w:bookmarkStart w:id="9" w:name="_Toc22304900"/>
      <w:bookmarkStart w:id="10" w:name="_Toc20556"/>
      <w:r>
        <w:rPr>
          <w:rFonts w:hint="eastAsia" w:asciiTheme="minorEastAsia" w:hAnsiTheme="minorEastAsia" w:eastAsiaTheme="minorEastAsia" w:cstheme="minorEastAsia"/>
          <w:sz w:val="24"/>
          <w:lang w:val="en-US" w:eastAsia="zh-CN"/>
        </w:rPr>
        <w:t>当前后勤派车存在公车私用与行驶合规风险、外勤任务与车辆匹配依赖人工经验导致效率低下、燃油维修等报销缺乏自动核验机制存在虚报错报风险、数据分散缺乏深度分析支持决策等痛点。为解决上述问题，本项目旨在围绕“智能调度、全程风控、精益运维”三大目标，开展核心研究与实践：</w:t>
      </w:r>
    </w:p>
    <w:p>
      <w:pPr>
        <w:ind w:firstLine="480" w:firstLineChars="2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多维数据融合与车辆画像构建：整合车辆GPS轨迹、车载状态数据、维保记录、加油卡数据、费用报销单、外勤任务单等多源数据，研究构建每辆车的“动态画像”，包括实时状态、健康度评分、历史费用偏好等，为调度与风控提供基础。</w:t>
      </w:r>
    </w:p>
    <w:p>
      <w:pPr>
        <w:ind w:firstLine="480" w:firstLineChars="2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基于约束优化与预测的智能调度算法研究：引入实时风险预测、任务紧急度权重，开发自适应调度算法，动态响应临时任务与突发情况，综合考虑实时位置、任务紧急程度、路线拥堵、车辆状态等多重因素。</w:t>
      </w:r>
    </w:p>
    <w:p>
      <w:pPr>
        <w:ind w:firstLine="480" w:firstLineChars="2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全流程风险识别与预警模型开发：基于轨迹挖掘与机器学习，建立行驶模式基线，自动检测异常时段用车、高频敏感地点停靠等可疑行为；开发规则引擎与异常检测模型，自动将报销单据与对应任务里程、历史同期费用、同类车辆平均油耗等进行比对与红灯预警。</w:t>
      </w:r>
    </w:p>
    <w:p>
      <w:pPr>
        <w:ind w:firstLine="480" w:firstLineChars="2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本次方案以车辆多源数据为核心节点，计划接入数智彩虹、E报表、物联网等平台，融合大数据分析与人工智能技术，构建“数据-算法-应用”一体化的后勤智能管控体系，核心实现路径如下： （1）数据感知层：采集车辆GPS轨迹、车载状态、维保记录、加油卡数据、费用报销单、外勤任务单等多源异构数据，打破数据孤岛，形成统一视图1。 （2）算法引擎层：部署智能调度算法引擎与风险识别模型。调度引擎基于约束优化实现资源最优配置；风控模型基于轨迹挖掘与机器学习实现异常行为自动检测与费用合规性自动比对。 （3）平台应用层：依托现有信息化平台底座，落地四大核心功能：一是完成多源数据的统一接入与标准化解析，构建车辆动态画像；二是通过可视化界面实现全网车辆分布、运行状态及任务执行情况的监控；三是预设分级告警规则，异常信号触发后，通过内部网络实时推送至相关责任人；四是自动生成电子化调度日志与风控报告，为合规稽查、事故回溯及管理决策提供数据支撑。</w:t>
      </w:r>
    </w:p>
    <w:p>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通过该体系建设，全面打通后勤从“物理作业”到“数字管控”的全链条，构建起状态透明、风险可知、管控闭环的智能化安全防护网，实现后勤管理从“被动响应”向“主动预警”的根本性转变。</w:t>
      </w:r>
    </w:p>
    <w:p>
      <w:pPr>
        <w:snapToGrid w:val="0"/>
        <w:spacing w:before="120"/>
        <w:rPr>
          <w:rFonts w:ascii="黑体" w:hAnsi="黑体" w:eastAsia="黑体" w:cs="黑体"/>
          <w:b/>
          <w:bCs/>
          <w:sz w:val="28"/>
          <w:szCs w:val="36"/>
        </w:rPr>
      </w:pPr>
      <w:r>
        <w:rPr>
          <w:rFonts w:hint="eastAsia" w:ascii="黑体" w:hAnsi="黑体" w:eastAsia="黑体" w:cs="黑体"/>
          <w:b/>
          <w:bCs/>
          <w:sz w:val="28"/>
          <w:szCs w:val="36"/>
        </w:rPr>
        <w:t xml:space="preserve">3 </w:t>
      </w:r>
      <w:bookmarkEnd w:id="6"/>
      <w:bookmarkEnd w:id="7"/>
      <w:bookmarkEnd w:id="8"/>
      <w:bookmarkEnd w:id="9"/>
      <w:bookmarkEnd w:id="10"/>
      <w:r>
        <w:rPr>
          <w:rFonts w:hint="eastAsia" w:ascii="黑体" w:hAnsi="黑体" w:eastAsia="黑体" w:cs="黑体"/>
          <w:b/>
          <w:bCs/>
          <w:sz w:val="28"/>
          <w:szCs w:val="36"/>
        </w:rPr>
        <w:t>总体要求</w:t>
      </w:r>
    </w:p>
    <w:p>
      <w:pPr>
        <w:rPr>
          <w:rFonts w:hint="eastAsia" w:asciiTheme="minorEastAsia" w:hAnsiTheme="minorEastAsia" w:eastAsiaTheme="minorEastAsia" w:cstheme="minorEastAsia"/>
          <w:sz w:val="24"/>
        </w:rPr>
      </w:pPr>
      <w:bookmarkStart w:id="11" w:name="_Toc146182538"/>
      <w:bookmarkStart w:id="12" w:name="_Toc455543289"/>
      <w:bookmarkStart w:id="13" w:name="_Toc459534976"/>
      <w:bookmarkStart w:id="14" w:name="_Toc114253693"/>
      <w:bookmarkStart w:id="15" w:name="_Toc457986926"/>
      <w:bookmarkStart w:id="16" w:name="_Toc482581219"/>
      <w:bookmarkStart w:id="17" w:name="_Toc455373921"/>
      <w:bookmarkStart w:id="18" w:name="_Toc155114612"/>
      <w:bookmarkStart w:id="19" w:name="_Toc241912000"/>
      <w:bookmarkStart w:id="20" w:name="_Toc448828694"/>
      <w:bookmarkStart w:id="21" w:name="_Toc457979127"/>
      <w:r>
        <w:rPr>
          <w:rFonts w:hint="eastAsia" w:asciiTheme="minorEastAsia" w:hAnsiTheme="minorEastAsia" w:eastAsiaTheme="minorEastAsia" w:cstheme="minorEastAsia"/>
          <w:sz w:val="24"/>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3.2 主要引用标准如下：</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Q/CSG2153078-2020 中国南方电网有限责任公司信息化项目管理细则</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Q/CSG2153002-2022 中国南方电网有限责任公司数据质量管理细则</w:t>
      </w:r>
    </w:p>
    <w:p>
      <w:pPr>
        <w:ind w:firstLine="240" w:firstLineChars="1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Q/CSG2153004-2022 中国南方电网有限责任公司数据采集与运维管理细则</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《中国南方电网统一物联网平台SDK使用指南》</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《中国南方电网自定义Topic命令下发操作指引》</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《中国南方电网设备物模型》</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DL/T 5429《电力系统设计技术规程》</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南方电网生技〔2022〕29号 附件1《南方电网公司数字生产“十四五”行动计划》</w:t>
      </w:r>
    </w:p>
    <w:p>
      <w:r>
        <w:rPr>
          <w:rFonts w:hint="eastAsia" w:asciiTheme="minorEastAsia" w:hAnsiTheme="minorEastAsia" w:eastAsiaTheme="minorEastAsia" w:cstheme="minorEastAsia"/>
          <w:sz w:val="24"/>
        </w:rPr>
        <w:t>注：上述标准是招标方基本要求。除此标准以外，投标人可以推荐其他标准，但事先必须通过招标方认可，或选择其中较高标准</w:t>
      </w:r>
      <w:r>
        <w:rPr>
          <w:rFonts w:hint="eastAsia" w:ascii="Times New Roman" w:hAnsi="Times New Roman"/>
          <w:szCs w:val="21"/>
        </w:rPr>
        <w:t>。</w:t>
      </w:r>
    </w:p>
    <w:p>
      <w:pPr>
        <w:snapToGrid w:val="0"/>
        <w:spacing w:before="120"/>
        <w:rPr>
          <w:rFonts w:ascii="黑体" w:hAnsi="黑体" w:eastAsia="黑体" w:cs="黑体"/>
          <w:b/>
          <w:bCs/>
          <w:sz w:val="28"/>
          <w:szCs w:val="36"/>
        </w:rPr>
      </w:pPr>
      <w:bookmarkStart w:id="22" w:name="_Toc22304904"/>
      <w:bookmarkStart w:id="23" w:name="_Toc32408"/>
      <w:bookmarkStart w:id="24" w:name="_Toc39753345"/>
      <w:bookmarkStart w:id="25" w:name="_Toc39754002"/>
      <w:bookmarkStart w:id="26" w:name="_Toc282993253"/>
      <w:bookmarkStart w:id="27" w:name="_Toc384340984"/>
      <w:r>
        <w:rPr>
          <w:rFonts w:hint="eastAsia" w:ascii="黑体" w:hAnsi="黑体" w:eastAsia="黑体" w:cs="黑体"/>
          <w:b/>
          <w:bCs/>
          <w:sz w:val="28"/>
          <w:szCs w:val="36"/>
        </w:rPr>
        <w:t>4 技术要求</w:t>
      </w:r>
      <w:bookmarkEnd w:id="22"/>
      <w:bookmarkEnd w:id="23"/>
      <w:bookmarkEnd w:id="24"/>
      <w:bookmarkEnd w:id="25"/>
      <w:bookmarkEnd w:id="26"/>
      <w:bookmarkEnd w:id="27"/>
    </w:p>
    <w:p>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 xml:space="preserve"> 研究内容</w:t>
      </w:r>
    </w:p>
    <w:p>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.1 主要项目内容</w:t>
      </w:r>
    </w:p>
    <w:p>
      <w:pPr>
        <w:adjustRightInd w:val="0"/>
        <w:snapToGrid w:val="0"/>
        <w:rPr>
          <w:rFonts w:ascii="宋体" w:hAnsi="宋体"/>
          <w:sz w:val="24"/>
        </w:rPr>
      </w:pPr>
      <w:r>
        <w:rPr>
          <w:rFonts w:hint="eastAsia" w:ascii="宋体" w:hAnsi="宋体"/>
          <w:sz w:val="24"/>
        </w:rPr>
        <w:t>主要项目内容按照以下工作内容及要求开展：</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85"/>
        <w:gridCol w:w="2363"/>
        <w:gridCol w:w="2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815" w:type="dxa"/>
            <w:vAlign w:val="center"/>
          </w:tcPr>
          <w:p>
            <w:pPr>
              <w:spacing w:line="240" w:lineRule="auto"/>
              <w:jc w:val="center"/>
              <w:rPr>
                <w:rFonts w:ascii="宋体" w:hAnsi="宋体" w:cs="宋体"/>
                <w:b/>
                <w:bCs/>
                <w:szCs w:val="21"/>
              </w:rPr>
            </w:pPr>
            <w:r>
              <w:rPr>
                <w:rFonts w:hint="eastAsia" w:ascii="宋体" w:hAnsi="宋体" w:cs="宋体"/>
                <w:b/>
                <w:bCs/>
                <w:szCs w:val="21"/>
              </w:rPr>
              <w:t>序号</w:t>
            </w:r>
          </w:p>
        </w:tc>
        <w:tc>
          <w:tcPr>
            <w:tcW w:w="2985" w:type="dxa"/>
            <w:vAlign w:val="center"/>
          </w:tcPr>
          <w:p>
            <w:pPr>
              <w:spacing w:line="240" w:lineRule="auto"/>
              <w:jc w:val="center"/>
              <w:rPr>
                <w:rFonts w:ascii="宋体" w:hAnsi="宋体" w:cs="宋体"/>
                <w:b/>
                <w:bCs/>
                <w:szCs w:val="21"/>
              </w:rPr>
            </w:pPr>
            <w:r>
              <w:rPr>
                <w:rFonts w:hint="eastAsia" w:ascii="宋体" w:hAnsi="宋体" w:cs="宋体"/>
                <w:b/>
                <w:bCs/>
                <w:szCs w:val="21"/>
              </w:rPr>
              <w:t>主要项目内容</w:t>
            </w:r>
          </w:p>
        </w:tc>
        <w:tc>
          <w:tcPr>
            <w:tcW w:w="2363" w:type="dxa"/>
            <w:vAlign w:val="center"/>
          </w:tcPr>
          <w:p>
            <w:pPr>
              <w:spacing w:line="240" w:lineRule="auto"/>
              <w:jc w:val="center"/>
              <w:rPr>
                <w:rFonts w:ascii="宋体" w:hAnsi="宋体" w:cs="宋体"/>
                <w:b/>
                <w:bCs/>
                <w:szCs w:val="21"/>
              </w:rPr>
            </w:pPr>
            <w:r>
              <w:rPr>
                <w:rFonts w:hint="eastAsia" w:ascii="宋体" w:hAnsi="宋体" w:cs="宋体"/>
                <w:b/>
                <w:bCs/>
                <w:szCs w:val="21"/>
              </w:rPr>
              <w:t>交付物</w:t>
            </w:r>
          </w:p>
        </w:tc>
        <w:tc>
          <w:tcPr>
            <w:tcW w:w="2357" w:type="dxa"/>
            <w:vAlign w:val="center"/>
          </w:tcPr>
          <w:p>
            <w:pPr>
              <w:spacing w:line="240" w:lineRule="auto"/>
              <w:jc w:val="center"/>
              <w:rPr>
                <w:rFonts w:ascii="宋体" w:hAnsi="宋体" w:cs="宋体"/>
                <w:b/>
                <w:bCs/>
                <w:szCs w:val="21"/>
              </w:rPr>
            </w:pPr>
            <w:r>
              <w:rPr>
                <w:rFonts w:hint="eastAsia" w:ascii="宋体" w:hAnsi="宋体" w:cs="宋体"/>
                <w:b/>
                <w:bCs/>
                <w:szCs w:val="21"/>
              </w:rPr>
              <w:t>时间要求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pPr>
              <w:keepNext w:val="0"/>
              <w:keepLines w:val="0"/>
              <w:widowControl/>
              <w:suppressLineNumbers w:val="0"/>
              <w:ind w:left="0" w:leftChars="0" w:firstLine="0" w:firstLineChars="0"/>
              <w:jc w:val="left"/>
              <w:rPr>
                <w:rFonts w:ascii="宋体" w:hAnsi="宋体" w:cs="宋体"/>
                <w:szCs w:val="21"/>
              </w:rPr>
            </w:pPr>
            <w:r>
              <w:rPr>
                <w:rFonts w:hint="default" w:ascii="Segoe UI" w:hAnsi="Segoe UI" w:eastAsia="Segoe UI" w:cs="Segoe UI"/>
                <w:i w:val="0"/>
                <w:iCs w:val="0"/>
                <w:caps w:val="0"/>
                <w:color w:val="415462"/>
                <w:spacing w:val="0"/>
                <w:kern w:val="0"/>
                <w:sz w:val="24"/>
                <w:szCs w:val="24"/>
                <w:lang w:val="en-US" w:eastAsia="zh-CN" w:bidi="ar"/>
              </w:rPr>
              <w:t>1</w:t>
            </w:r>
          </w:p>
        </w:tc>
        <w:tc>
          <w:tcPr>
            <w:tcW w:w="2985" w:type="dxa"/>
            <w:shd w:val="clear" w:color="auto" w:fill="auto"/>
            <w:vAlign w:val="center"/>
          </w:tcPr>
          <w:p>
            <w:pPr>
              <w:keepNext w:val="0"/>
              <w:keepLines w:val="0"/>
              <w:widowControl/>
              <w:suppressLineNumbers w:val="0"/>
              <w:ind w:left="0" w:leftChars="0" w:firstLine="0" w:firstLineChars="0"/>
              <w:jc w:val="left"/>
              <w:rPr>
                <w:rFonts w:ascii="宋体" w:hAnsi="宋体" w:cs="宋体"/>
                <w:szCs w:val="21"/>
              </w:rPr>
            </w:pPr>
            <w:r>
              <w:rPr>
                <w:rFonts w:hint="default" w:ascii="Segoe UI" w:hAnsi="Segoe UI" w:eastAsia="Segoe UI" w:cs="Segoe UI"/>
                <w:i w:val="0"/>
                <w:iCs w:val="0"/>
                <w:caps w:val="0"/>
                <w:color w:val="415462"/>
                <w:spacing w:val="0"/>
                <w:kern w:val="0"/>
                <w:sz w:val="24"/>
                <w:szCs w:val="24"/>
                <w:lang w:val="en-US" w:eastAsia="zh-CN" w:bidi="ar"/>
              </w:rPr>
              <w:t>开发一套安全廉洁双控的生产后勤联动智能助手，实现智能调度、风险预警、费用核验及车辆画像功能。</w:t>
            </w:r>
          </w:p>
        </w:tc>
        <w:tc>
          <w:tcPr>
            <w:tcW w:w="2363" w:type="dxa"/>
            <w:shd w:val="clear" w:color="auto" w:fill="auto"/>
            <w:vAlign w:val="center"/>
          </w:tcPr>
          <w:p>
            <w:pPr>
              <w:keepNext w:val="0"/>
              <w:keepLines w:val="0"/>
              <w:widowControl/>
              <w:suppressLineNumbers w:val="0"/>
              <w:ind w:left="0" w:leftChars="0" w:firstLine="0" w:firstLineChars="0"/>
              <w:jc w:val="left"/>
              <w:rPr>
                <w:rFonts w:ascii="宋体" w:hAnsi="宋体" w:cs="宋体"/>
                <w:szCs w:val="21"/>
              </w:rPr>
            </w:pPr>
            <w:r>
              <w:rPr>
                <w:rFonts w:hint="default" w:ascii="Segoe UI" w:hAnsi="Segoe UI" w:eastAsia="Segoe UI" w:cs="Segoe UI"/>
                <w:i w:val="0"/>
                <w:iCs w:val="0"/>
                <w:caps w:val="0"/>
                <w:color w:val="415462"/>
                <w:spacing w:val="0"/>
                <w:kern w:val="0"/>
                <w:sz w:val="24"/>
                <w:szCs w:val="24"/>
                <w:lang w:val="en-US" w:eastAsia="zh-CN" w:bidi="ar"/>
              </w:rPr>
              <w:t>智能助手系统安装包及源代码</w:t>
            </w:r>
          </w:p>
        </w:tc>
        <w:tc>
          <w:tcPr>
            <w:tcW w:w="2357" w:type="dxa"/>
            <w:vAlign w:val="center"/>
          </w:tcPr>
          <w:p>
            <w:pPr>
              <w:keepNext w:val="0"/>
              <w:keepLines w:val="0"/>
              <w:widowControl/>
              <w:suppressLineNumbers w:val="0"/>
              <w:ind w:left="0" w:leftChars="0" w:firstLine="0" w:firstLineChars="0"/>
              <w:jc w:val="left"/>
              <w:rPr>
                <w:rFonts w:ascii="宋体" w:hAnsi="宋体" w:cs="宋体"/>
              </w:rPr>
            </w:pPr>
            <w:r>
              <w:rPr>
                <w:rFonts w:hint="default" w:ascii="Segoe UI" w:hAnsi="Segoe UI" w:eastAsia="Segoe UI" w:cs="Segoe UI"/>
                <w:i w:val="0"/>
                <w:iCs w:val="0"/>
                <w:caps w:val="0"/>
                <w:color w:val="415462"/>
                <w:spacing w:val="0"/>
                <w:kern w:val="0"/>
                <w:sz w:val="24"/>
                <w:szCs w:val="24"/>
                <w:lang w:val="en-US" w:eastAsia="zh-CN" w:bidi="ar"/>
              </w:rPr>
              <w:t>2026年10月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pPr>
              <w:keepNext w:val="0"/>
              <w:keepLines w:val="0"/>
              <w:widowControl/>
              <w:suppressLineNumbers w:val="0"/>
              <w:ind w:left="0" w:leftChars="0" w:firstLine="0" w:firstLineChars="0"/>
              <w:jc w:val="left"/>
              <w:rPr>
                <w:rFonts w:ascii="宋体" w:hAnsi="宋体" w:cs="宋体"/>
                <w:szCs w:val="21"/>
                <w:highlight w:val="none"/>
              </w:rPr>
            </w:pPr>
            <w:r>
              <w:rPr>
                <w:rFonts w:hint="default" w:ascii="Segoe UI" w:hAnsi="Segoe UI" w:eastAsia="Segoe UI" w:cs="Segoe UI"/>
                <w:i w:val="0"/>
                <w:iCs w:val="0"/>
                <w:caps w:val="0"/>
                <w:color w:val="415462"/>
                <w:spacing w:val="0"/>
                <w:kern w:val="0"/>
                <w:sz w:val="24"/>
                <w:szCs w:val="24"/>
                <w:lang w:val="en-US" w:eastAsia="zh-CN" w:bidi="ar"/>
              </w:rPr>
              <w:t>2</w:t>
            </w:r>
          </w:p>
        </w:tc>
        <w:tc>
          <w:tcPr>
            <w:tcW w:w="2985" w:type="dxa"/>
            <w:shd w:val="clear" w:color="auto" w:fill="auto"/>
            <w:vAlign w:val="center"/>
          </w:tcPr>
          <w:p>
            <w:pPr>
              <w:keepNext w:val="0"/>
              <w:keepLines w:val="0"/>
              <w:widowControl/>
              <w:suppressLineNumbers w:val="0"/>
              <w:ind w:left="0" w:leftChars="0" w:firstLine="0" w:firstLineChars="0"/>
              <w:jc w:val="left"/>
              <w:rPr>
                <w:rFonts w:ascii="宋体" w:hAnsi="宋体" w:cs="宋体"/>
                <w:szCs w:val="21"/>
                <w:highlight w:val="none"/>
              </w:rPr>
            </w:pPr>
            <w:r>
              <w:rPr>
                <w:rFonts w:hint="default" w:ascii="Segoe UI" w:hAnsi="Segoe UI" w:eastAsia="Segoe UI" w:cs="Segoe UI"/>
                <w:i w:val="0"/>
                <w:iCs w:val="0"/>
                <w:caps w:val="0"/>
                <w:color w:val="415462"/>
                <w:spacing w:val="0"/>
                <w:kern w:val="0"/>
                <w:sz w:val="24"/>
                <w:szCs w:val="24"/>
                <w:lang w:val="en-US" w:eastAsia="zh-CN" w:bidi="ar"/>
              </w:rPr>
              <w:t>配合申请专利1项。</w:t>
            </w:r>
          </w:p>
        </w:tc>
        <w:tc>
          <w:tcPr>
            <w:tcW w:w="2363" w:type="dxa"/>
            <w:shd w:val="clear" w:color="auto" w:fill="auto"/>
            <w:vAlign w:val="center"/>
          </w:tcPr>
          <w:p>
            <w:pPr>
              <w:keepNext w:val="0"/>
              <w:keepLines w:val="0"/>
              <w:widowControl/>
              <w:suppressLineNumbers w:val="0"/>
              <w:ind w:left="0" w:leftChars="0" w:firstLine="0" w:firstLineChars="0"/>
              <w:jc w:val="left"/>
              <w:rPr>
                <w:rFonts w:ascii="宋体" w:hAnsi="宋体" w:cs="宋体"/>
                <w:szCs w:val="21"/>
                <w:highlight w:val="none"/>
              </w:rPr>
            </w:pPr>
            <w:r>
              <w:rPr>
                <w:rFonts w:hint="default" w:ascii="Segoe UI" w:hAnsi="Segoe UI" w:eastAsia="Segoe UI" w:cs="Segoe UI"/>
                <w:i w:val="0"/>
                <w:iCs w:val="0"/>
                <w:caps w:val="0"/>
                <w:color w:val="415462"/>
                <w:spacing w:val="0"/>
                <w:kern w:val="0"/>
                <w:sz w:val="24"/>
                <w:szCs w:val="24"/>
                <w:lang w:val="en-US" w:eastAsia="zh-CN" w:bidi="ar"/>
              </w:rPr>
              <w:t>专利受理通知书1项</w:t>
            </w:r>
          </w:p>
        </w:tc>
        <w:tc>
          <w:tcPr>
            <w:tcW w:w="2357" w:type="dxa"/>
            <w:vAlign w:val="center"/>
          </w:tcPr>
          <w:p>
            <w:pPr>
              <w:keepNext w:val="0"/>
              <w:keepLines w:val="0"/>
              <w:widowControl/>
              <w:suppressLineNumbers w:val="0"/>
              <w:ind w:left="0" w:leftChars="0" w:firstLine="0" w:firstLineChars="0"/>
              <w:jc w:val="left"/>
              <w:rPr>
                <w:rFonts w:asciiTheme="minorEastAsia" w:hAnsiTheme="minorEastAsia" w:eastAsiaTheme="minorEastAsia" w:cstheme="minorEastAsia"/>
                <w:szCs w:val="21"/>
                <w:highlight w:val="none"/>
              </w:rPr>
            </w:pPr>
            <w:r>
              <w:rPr>
                <w:rFonts w:hint="default" w:ascii="Segoe UI" w:hAnsi="Segoe UI" w:eastAsia="Segoe UI" w:cs="Segoe UI"/>
                <w:i w:val="0"/>
                <w:iCs w:val="0"/>
                <w:caps w:val="0"/>
                <w:color w:val="415462"/>
                <w:spacing w:val="0"/>
                <w:kern w:val="0"/>
                <w:sz w:val="24"/>
                <w:szCs w:val="24"/>
                <w:lang w:val="en-US" w:eastAsia="zh-CN" w:bidi="ar"/>
              </w:rPr>
              <w:t>2026年12月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pPr>
              <w:keepNext w:val="0"/>
              <w:keepLines w:val="0"/>
              <w:widowControl/>
              <w:suppressLineNumbers w:val="0"/>
              <w:ind w:left="0" w:leftChars="0" w:firstLine="0" w:firstLineChars="0"/>
              <w:jc w:val="left"/>
              <w:rPr>
                <w:rFonts w:ascii="宋体" w:hAnsi="宋体" w:cs="宋体"/>
                <w:szCs w:val="21"/>
              </w:rPr>
            </w:pPr>
            <w:r>
              <w:rPr>
                <w:rFonts w:hint="default" w:ascii="Segoe UI" w:hAnsi="Segoe UI" w:eastAsia="Segoe UI" w:cs="Segoe UI"/>
                <w:i w:val="0"/>
                <w:iCs w:val="0"/>
                <w:caps w:val="0"/>
                <w:color w:val="415462"/>
                <w:spacing w:val="0"/>
                <w:kern w:val="0"/>
                <w:sz w:val="24"/>
                <w:szCs w:val="24"/>
                <w:lang w:val="en-US" w:eastAsia="zh-CN" w:bidi="ar"/>
              </w:rPr>
              <w:t>3</w:t>
            </w:r>
          </w:p>
        </w:tc>
        <w:tc>
          <w:tcPr>
            <w:tcW w:w="2985" w:type="dxa"/>
            <w:shd w:val="clear" w:color="auto" w:fill="auto"/>
            <w:vAlign w:val="center"/>
          </w:tcPr>
          <w:p>
            <w:pPr>
              <w:keepNext w:val="0"/>
              <w:keepLines w:val="0"/>
              <w:widowControl/>
              <w:suppressLineNumbers w:val="0"/>
              <w:ind w:left="0" w:leftChars="0" w:firstLine="0" w:firstLineChars="0"/>
              <w:jc w:val="left"/>
              <w:rPr>
                <w:rFonts w:ascii="宋体" w:hAnsi="宋体" w:cs="宋体"/>
                <w:szCs w:val="21"/>
              </w:rPr>
            </w:pPr>
            <w:r>
              <w:rPr>
                <w:rFonts w:hint="default" w:ascii="Segoe UI" w:hAnsi="Segoe UI" w:eastAsia="Segoe UI" w:cs="Segoe UI"/>
                <w:i w:val="0"/>
                <w:iCs w:val="0"/>
                <w:caps w:val="0"/>
                <w:color w:val="415462"/>
                <w:spacing w:val="0"/>
                <w:kern w:val="0"/>
                <w:sz w:val="24"/>
                <w:szCs w:val="24"/>
                <w:lang w:val="en-US" w:eastAsia="zh-CN" w:bidi="ar"/>
              </w:rPr>
              <w:t>编写使用说明手册。</w:t>
            </w:r>
          </w:p>
        </w:tc>
        <w:tc>
          <w:tcPr>
            <w:tcW w:w="2363" w:type="dxa"/>
            <w:shd w:val="clear" w:color="auto" w:fill="auto"/>
            <w:vAlign w:val="center"/>
          </w:tcPr>
          <w:p>
            <w:pPr>
              <w:keepNext w:val="0"/>
              <w:keepLines w:val="0"/>
              <w:widowControl/>
              <w:suppressLineNumbers w:val="0"/>
              <w:ind w:left="0" w:leftChars="0" w:firstLine="0" w:firstLineChars="0"/>
              <w:jc w:val="left"/>
              <w:rPr>
                <w:rFonts w:ascii="宋体" w:hAnsi="宋体" w:cs="宋体"/>
              </w:rPr>
            </w:pPr>
            <w:r>
              <w:rPr>
                <w:rFonts w:hint="default" w:ascii="Segoe UI" w:hAnsi="Segoe UI" w:eastAsia="Segoe UI" w:cs="Segoe UI"/>
                <w:i w:val="0"/>
                <w:iCs w:val="0"/>
                <w:caps w:val="0"/>
                <w:color w:val="415462"/>
                <w:spacing w:val="0"/>
                <w:kern w:val="0"/>
                <w:sz w:val="24"/>
                <w:szCs w:val="24"/>
                <w:lang w:val="en-US" w:eastAsia="zh-CN" w:bidi="ar"/>
              </w:rPr>
              <w:t>使用说明手册1份</w:t>
            </w:r>
          </w:p>
        </w:tc>
        <w:tc>
          <w:tcPr>
            <w:tcW w:w="2357" w:type="dxa"/>
            <w:vAlign w:val="center"/>
          </w:tcPr>
          <w:p>
            <w:pPr>
              <w:keepNext w:val="0"/>
              <w:keepLines w:val="0"/>
              <w:widowControl/>
              <w:suppressLineNumbers w:val="0"/>
              <w:ind w:left="0" w:leftChars="0" w:firstLine="0" w:firstLineChars="0"/>
              <w:jc w:val="left"/>
              <w:rPr>
                <w:rFonts w:asciiTheme="minorEastAsia" w:hAnsiTheme="minorEastAsia" w:eastAsiaTheme="minorEastAsia" w:cstheme="minorEastAsia"/>
                <w:szCs w:val="21"/>
              </w:rPr>
            </w:pPr>
            <w:r>
              <w:rPr>
                <w:rFonts w:hint="default" w:ascii="Segoe UI" w:hAnsi="Segoe UI" w:eastAsia="Segoe UI" w:cs="Segoe UI"/>
                <w:i w:val="0"/>
                <w:iCs w:val="0"/>
                <w:caps w:val="0"/>
                <w:color w:val="415462"/>
                <w:spacing w:val="0"/>
                <w:kern w:val="0"/>
                <w:sz w:val="24"/>
                <w:szCs w:val="24"/>
                <w:lang w:val="en-US" w:eastAsia="zh-CN" w:bidi="ar"/>
              </w:rPr>
              <w:t>2026年12月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pPr>
              <w:keepNext w:val="0"/>
              <w:keepLines w:val="0"/>
              <w:widowControl/>
              <w:suppressLineNumbers w:val="0"/>
              <w:ind w:left="0" w:leftChars="0" w:firstLine="0" w:firstLineChars="0"/>
              <w:jc w:val="left"/>
              <w:rPr>
                <w:rFonts w:hint="eastAsia" w:ascii="宋体" w:hAnsi="宋体" w:cs="宋体"/>
                <w:szCs w:val="21"/>
              </w:rPr>
            </w:pPr>
            <w:r>
              <w:rPr>
                <w:rFonts w:hint="default" w:ascii="Segoe UI" w:hAnsi="Segoe UI" w:eastAsia="Segoe UI" w:cs="Segoe UI"/>
                <w:i w:val="0"/>
                <w:iCs w:val="0"/>
                <w:caps w:val="0"/>
                <w:color w:val="415462"/>
                <w:spacing w:val="0"/>
                <w:kern w:val="0"/>
                <w:sz w:val="24"/>
                <w:szCs w:val="24"/>
                <w:lang w:val="en-US" w:eastAsia="zh-CN" w:bidi="ar"/>
              </w:rPr>
              <w:t>4</w:t>
            </w:r>
          </w:p>
        </w:tc>
        <w:tc>
          <w:tcPr>
            <w:tcW w:w="2985" w:type="dxa"/>
            <w:shd w:val="clear" w:color="auto" w:fill="auto"/>
            <w:vAlign w:val="center"/>
          </w:tcPr>
          <w:p>
            <w:pPr>
              <w:keepNext w:val="0"/>
              <w:keepLines w:val="0"/>
              <w:widowControl/>
              <w:suppressLineNumbers w:val="0"/>
              <w:ind w:left="0" w:leftChars="0" w:firstLine="0" w:firstLineChars="0"/>
              <w:jc w:val="left"/>
              <w:rPr>
                <w:rFonts w:hint="eastAsia" w:ascii="宋体" w:hAnsi="宋体" w:cs="宋体"/>
                <w:szCs w:val="21"/>
              </w:rPr>
            </w:pPr>
            <w:r>
              <w:rPr>
                <w:rFonts w:hint="default" w:ascii="Segoe UI" w:hAnsi="Segoe UI" w:eastAsia="Segoe UI" w:cs="Segoe UI"/>
                <w:i w:val="0"/>
                <w:iCs w:val="0"/>
                <w:caps w:val="0"/>
                <w:color w:val="415462"/>
                <w:spacing w:val="0"/>
                <w:kern w:val="0"/>
                <w:sz w:val="24"/>
                <w:szCs w:val="24"/>
                <w:lang w:val="en-US" w:eastAsia="zh-CN" w:bidi="ar"/>
              </w:rPr>
              <w:t>项目验收检查</w:t>
            </w:r>
          </w:p>
        </w:tc>
        <w:tc>
          <w:tcPr>
            <w:tcW w:w="2363" w:type="dxa"/>
            <w:shd w:val="clear" w:color="auto" w:fill="auto"/>
            <w:vAlign w:val="center"/>
          </w:tcPr>
          <w:p>
            <w:pPr>
              <w:keepNext w:val="0"/>
              <w:keepLines w:val="0"/>
              <w:widowControl/>
              <w:suppressLineNumbers w:val="0"/>
              <w:ind w:left="0" w:leftChars="0" w:firstLine="0" w:firstLineChars="0"/>
              <w:jc w:val="left"/>
              <w:rPr>
                <w:rFonts w:hint="eastAsia" w:ascii="宋体" w:hAnsi="宋体" w:cs="宋体"/>
              </w:rPr>
            </w:pPr>
            <w:r>
              <w:rPr>
                <w:rFonts w:hint="default" w:ascii="Segoe UI" w:hAnsi="Segoe UI" w:eastAsia="Segoe UI" w:cs="Segoe UI"/>
                <w:i w:val="0"/>
                <w:iCs w:val="0"/>
                <w:caps w:val="0"/>
                <w:color w:val="415462"/>
                <w:spacing w:val="0"/>
                <w:kern w:val="0"/>
                <w:sz w:val="24"/>
                <w:szCs w:val="24"/>
                <w:lang w:val="en-US" w:eastAsia="zh-CN" w:bidi="ar"/>
              </w:rPr>
              <w:t>完成项目全部验收内容</w:t>
            </w:r>
          </w:p>
        </w:tc>
        <w:tc>
          <w:tcPr>
            <w:tcW w:w="2357" w:type="dxa"/>
            <w:vAlign w:val="center"/>
          </w:tcPr>
          <w:p>
            <w:pPr>
              <w:keepNext w:val="0"/>
              <w:keepLines w:val="0"/>
              <w:widowControl/>
              <w:suppressLineNumbers w:val="0"/>
              <w:ind w:left="0" w:leftChars="0" w:firstLine="0" w:firstLineChars="0"/>
              <w:jc w:val="left"/>
              <w:rPr>
                <w:rFonts w:hint="eastAsia" w:asciiTheme="minorEastAsia" w:hAnsiTheme="minorEastAsia" w:cstheme="minorEastAsia"/>
                <w:szCs w:val="21"/>
              </w:rPr>
            </w:pPr>
            <w:r>
              <w:rPr>
                <w:rFonts w:hint="default" w:ascii="Segoe UI" w:hAnsi="Segoe UI" w:eastAsia="Segoe UI" w:cs="Segoe UI"/>
                <w:i w:val="0"/>
                <w:iCs w:val="0"/>
                <w:caps w:val="0"/>
                <w:color w:val="415462"/>
                <w:spacing w:val="0"/>
                <w:kern w:val="0"/>
                <w:sz w:val="24"/>
                <w:szCs w:val="24"/>
                <w:lang w:val="en-US" w:eastAsia="zh-CN" w:bidi="ar"/>
              </w:rPr>
              <w:t>2026年12月</w:t>
            </w:r>
          </w:p>
        </w:tc>
      </w:tr>
    </w:tbl>
    <w:p>
      <w:pPr>
        <w:rPr>
          <w:rFonts w:ascii="宋体" w:hAnsi="宋体" w:cs="宋体"/>
          <w:color w:val="000000"/>
          <w:sz w:val="24"/>
        </w:rPr>
      </w:pPr>
      <w:r>
        <w:rPr>
          <w:rFonts w:hint="eastAsia" w:ascii="宋体" w:hAnsi="宋体" w:cs="宋体"/>
          <w:color w:val="000000"/>
          <w:sz w:val="24"/>
        </w:rPr>
        <w:t>4.</w:t>
      </w:r>
      <w:r>
        <w:rPr>
          <w:rFonts w:hint="eastAsia" w:ascii="宋体" w:hAnsi="宋体" w:cs="宋体"/>
          <w:color w:val="000000"/>
          <w:sz w:val="24"/>
          <w:lang w:val="en-US" w:eastAsia="zh-CN"/>
        </w:rPr>
        <w:t>1</w:t>
      </w:r>
      <w:r>
        <w:rPr>
          <w:rFonts w:hint="eastAsia" w:ascii="宋体" w:hAnsi="宋体" w:cs="宋体"/>
          <w:color w:val="000000"/>
          <w:sz w:val="24"/>
        </w:rPr>
        <w:t xml:space="preserve">.2 </w:t>
      </w:r>
      <w:r>
        <w:rPr>
          <w:rFonts w:hint="eastAsia" w:ascii="宋体" w:hAnsi="宋体" w:cs="宋体"/>
          <w:kern w:val="0"/>
          <w:sz w:val="24"/>
        </w:rPr>
        <w:t>安全廉洁双控的生产后勤联动智能助手开发技术研究实施要求</w:t>
      </w:r>
    </w:p>
    <w:p>
      <w:pPr>
        <w:pStyle w:val="10"/>
        <w:spacing w:after="0" w:line="360" w:lineRule="auto"/>
        <w:ind w:left="0"/>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.2.1总体要求</w:t>
      </w:r>
    </w:p>
    <w:p>
      <w:pPr>
        <w:pStyle w:val="10"/>
        <w:spacing w:after="0" w:line="360" w:lineRule="auto"/>
        <w:ind w:left="0"/>
        <w:rPr>
          <w:rFonts w:ascii="宋体" w:hAnsi="宋体" w:cs="宋体"/>
          <w:sz w:val="24"/>
        </w:rPr>
      </w:pPr>
      <w:r>
        <w:rPr>
          <w:rFonts w:hint="eastAsia" w:ascii="宋体" w:hAnsi="宋体" w:cs="宋体"/>
          <w:sz w:val="24"/>
        </w:rPr>
        <w:t>（1）稳定性和可靠性：系统为独立运行的服务应用，具备完善的本地数据存储管理，确保车辆轨迹、费用等关键数据不丢失。 （2）易用性：提供符合客户端操作习惯的交互界面，支持调度指令下发、状态查看、预警处理等操作；界面简洁直观，降低基层人员使用门槛</w:t>
      </w:r>
      <w:r>
        <w:rPr>
          <w:rFonts w:ascii="宋体" w:hAnsi="宋体" w:cs="宋体"/>
          <w:sz w:val="24"/>
        </w:rPr>
        <w:t>。</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.2.2系统实施要求</w:t>
      </w:r>
    </w:p>
    <w:p>
      <w:pPr>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4.1.2.2.1 系统架构及技术 （1）采用openEuler、Anolis OS、红旗 Linux或其他非闭源平台框架开发，系统为B/S架构。 （2）按照《中国南方电网统一物联网平台SDK使用指南》文件规范通信对接，实现车辆终端数据传输到南网物联网平台功能（如涉及硬件改造），数据通信使用MQTT协议，消息主题满足《中国南方电网自定义Topic命令下发操作指引》要求，消息payload满足《中国南方电网设备物模型》要求。 （3）按照南方电网数据安全要求，使用满足安全需求的系统、数据库、中间件开发应用系统，现场调试测试并实现应用系统与数智彩虹、E报表、物联网等平台的数据交互。 （4）系统提供标准化本地化支持。 （5）具备业务功能操作的便捷性，符合鼠标和键盘的操作习惯。 （6）可靠性要求：系统需支持长时间后台驻留与前台连续运行，本地核心数据不丢失。</w:t>
      </w:r>
    </w:p>
    <w:p>
      <w:pPr>
        <w:pStyle w:val="1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.2.3系统功能</w:t>
      </w:r>
    </w:p>
    <w:tbl>
      <w:tblPr>
        <w:tblStyle w:val="12"/>
        <w:tblW w:w="87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268"/>
        <w:gridCol w:w="54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pPr>
              <w:jc w:val="center"/>
              <w:rPr>
                <w:rFonts w:ascii="Arial" w:hAnsi="Arial" w:cs="Arial"/>
              </w:rPr>
            </w:pPr>
            <w:r>
              <w:rPr>
                <w:rFonts w:hint="eastAsia" w:ascii="Arial" w:hAnsi="Arial" w:cs="Arial"/>
              </w:rPr>
              <w:t>序号</w:t>
            </w:r>
          </w:p>
        </w:tc>
        <w:tc>
          <w:tcPr>
            <w:tcW w:w="2268" w:type="dxa"/>
            <w:vAlign w:val="center"/>
          </w:tcPr>
          <w:p>
            <w:pPr>
              <w:jc w:val="center"/>
              <w:rPr>
                <w:rFonts w:ascii="Arial" w:hAnsi="Arial" w:cs="Arial"/>
              </w:rPr>
            </w:pPr>
            <w:r>
              <w:rPr>
                <w:rFonts w:hint="eastAsia" w:ascii="Arial" w:hAnsi="Arial" w:cs="Arial"/>
              </w:rPr>
              <w:t>功能</w:t>
            </w:r>
          </w:p>
        </w:tc>
        <w:tc>
          <w:tcPr>
            <w:tcW w:w="5494" w:type="dxa"/>
            <w:vAlign w:val="center"/>
          </w:tcPr>
          <w:p>
            <w:pPr>
              <w:jc w:val="center"/>
              <w:rPr>
                <w:rFonts w:ascii="Arial" w:hAnsi="Arial" w:cs="Arial"/>
              </w:rPr>
            </w:pPr>
            <w:r>
              <w:rPr>
                <w:rFonts w:hint="eastAsia" w:ascii="Arial" w:hAnsi="Arial" w:cs="Arial"/>
              </w:rPr>
              <w:t>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pPr>
              <w:keepNext w:val="0"/>
              <w:keepLines w:val="0"/>
              <w:widowControl/>
              <w:suppressLineNumbers w:val="0"/>
              <w:ind w:left="0" w:leftChars="0" w:firstLine="0" w:firstLineChars="0"/>
              <w:jc w:val="left"/>
              <w:rPr>
                <w:rFonts w:ascii="Arial" w:hAnsi="Arial" w:cs="Arial"/>
              </w:rPr>
            </w:pPr>
            <w:r>
              <w:rPr>
                <w:rFonts w:hint="default" w:ascii="Segoe UI" w:hAnsi="Segoe UI" w:eastAsia="Segoe UI" w:cs="Segoe UI"/>
                <w:i w:val="0"/>
                <w:iCs w:val="0"/>
                <w:caps w:val="0"/>
                <w:color w:val="415462"/>
                <w:spacing w:val="0"/>
                <w:kern w:val="0"/>
                <w:sz w:val="24"/>
                <w:szCs w:val="24"/>
                <w:lang w:val="en-US" w:eastAsia="zh-CN" w:bidi="ar"/>
              </w:rPr>
              <w:t>1</w:t>
            </w:r>
          </w:p>
        </w:tc>
        <w:tc>
          <w:tcPr>
            <w:tcW w:w="2268" w:type="dxa"/>
            <w:vAlign w:val="center"/>
          </w:tcPr>
          <w:p>
            <w:pPr>
              <w:keepNext w:val="0"/>
              <w:keepLines w:val="0"/>
              <w:widowControl/>
              <w:suppressLineNumbers w:val="0"/>
              <w:ind w:left="0" w:leftChars="0" w:firstLine="0" w:firstLineChars="0"/>
              <w:jc w:val="left"/>
              <w:rPr>
                <w:rFonts w:ascii="Arial" w:hAnsi="Arial" w:cs="Arial"/>
              </w:rPr>
            </w:pPr>
            <w:r>
              <w:rPr>
                <w:rStyle w:val="15"/>
                <w:rFonts w:hint="default" w:ascii="Segoe UI" w:hAnsi="Segoe UI" w:eastAsia="Segoe UI" w:cs="Segoe UI"/>
                <w:b/>
                <w:bCs/>
                <w:i w:val="0"/>
                <w:iCs w:val="0"/>
                <w:caps w:val="0"/>
                <w:color w:val="415462"/>
                <w:spacing w:val="0"/>
                <w:kern w:val="0"/>
                <w:sz w:val="24"/>
                <w:szCs w:val="24"/>
                <w:lang w:val="en-US" w:eastAsia="zh-CN" w:bidi="ar"/>
              </w:rPr>
              <w:t>多源数据融合与车辆画像</w:t>
            </w:r>
          </w:p>
        </w:tc>
        <w:tc>
          <w:tcPr>
            <w:tcW w:w="5494" w:type="dxa"/>
            <w:vAlign w:val="center"/>
          </w:tcPr>
          <w:p>
            <w:pPr>
              <w:keepNext w:val="0"/>
              <w:keepLines w:val="0"/>
              <w:widowControl/>
              <w:suppressLineNumbers w:val="0"/>
              <w:ind w:left="0" w:leftChars="0" w:firstLine="0" w:firstLineChars="0"/>
              <w:jc w:val="left"/>
              <w:rPr>
                <w:rFonts w:ascii="Arial" w:hAnsi="Arial" w:cs="Arial"/>
              </w:rPr>
            </w:pPr>
            <w:r>
              <w:rPr>
                <w:rFonts w:hint="default" w:ascii="Segoe UI" w:hAnsi="Segoe UI" w:eastAsia="Segoe UI" w:cs="Segoe UI"/>
                <w:i w:val="0"/>
                <w:iCs w:val="0"/>
                <w:caps w:val="0"/>
                <w:color w:val="415462"/>
                <w:spacing w:val="0"/>
                <w:kern w:val="0"/>
                <w:sz w:val="24"/>
                <w:szCs w:val="24"/>
                <w:lang w:val="en-US" w:eastAsia="zh-CN" w:bidi="ar"/>
              </w:rPr>
              <w:t>整合车辆GPS轨迹、车载状态、维保、加油、报销、任务等多源数据，构建车辆“动态画像”，展示实时状态、健康度评分、历史费用偏好等。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pPr>
              <w:keepNext w:val="0"/>
              <w:keepLines w:val="0"/>
              <w:widowControl/>
              <w:suppressLineNumbers w:val="0"/>
              <w:ind w:left="0" w:leftChars="0" w:firstLine="0" w:firstLineChars="0"/>
              <w:jc w:val="left"/>
              <w:rPr>
                <w:rFonts w:ascii="Arial" w:hAnsi="Arial" w:cs="Arial"/>
              </w:rPr>
            </w:pPr>
            <w:r>
              <w:rPr>
                <w:rFonts w:hint="default" w:ascii="Segoe UI" w:hAnsi="Segoe UI" w:eastAsia="Segoe UI" w:cs="Segoe UI"/>
                <w:i w:val="0"/>
                <w:iCs w:val="0"/>
                <w:caps w:val="0"/>
                <w:color w:val="415462"/>
                <w:spacing w:val="0"/>
                <w:kern w:val="0"/>
                <w:sz w:val="24"/>
                <w:szCs w:val="24"/>
                <w:lang w:val="en-US" w:eastAsia="zh-CN" w:bidi="ar"/>
              </w:rPr>
              <w:t>2</w:t>
            </w:r>
          </w:p>
        </w:tc>
        <w:tc>
          <w:tcPr>
            <w:tcW w:w="2268" w:type="dxa"/>
            <w:vAlign w:val="center"/>
          </w:tcPr>
          <w:p>
            <w:pPr>
              <w:keepNext w:val="0"/>
              <w:keepLines w:val="0"/>
              <w:widowControl/>
              <w:suppressLineNumbers w:val="0"/>
              <w:ind w:left="0" w:leftChars="0" w:firstLine="0" w:firstLineChars="0"/>
              <w:jc w:val="left"/>
              <w:rPr>
                <w:rFonts w:ascii="Arial" w:hAnsi="Arial" w:cs="Arial"/>
              </w:rPr>
            </w:pPr>
            <w:r>
              <w:rPr>
                <w:rStyle w:val="15"/>
                <w:rFonts w:hint="default" w:ascii="Segoe UI" w:hAnsi="Segoe UI" w:eastAsia="Segoe UI" w:cs="Segoe UI"/>
                <w:b/>
                <w:bCs/>
                <w:i w:val="0"/>
                <w:iCs w:val="0"/>
                <w:caps w:val="0"/>
                <w:color w:val="415462"/>
                <w:spacing w:val="0"/>
                <w:kern w:val="0"/>
                <w:sz w:val="24"/>
                <w:szCs w:val="24"/>
                <w:lang w:val="en-US" w:eastAsia="zh-CN" w:bidi="ar"/>
              </w:rPr>
              <w:t>智能调度算法应用</w:t>
            </w:r>
          </w:p>
        </w:tc>
        <w:tc>
          <w:tcPr>
            <w:tcW w:w="5494" w:type="dxa"/>
            <w:vAlign w:val="center"/>
          </w:tcPr>
          <w:p>
            <w:pPr>
              <w:keepNext w:val="0"/>
              <w:keepLines w:val="0"/>
              <w:widowControl/>
              <w:suppressLineNumbers w:val="0"/>
              <w:ind w:left="0" w:leftChars="0" w:firstLine="0" w:firstLineChars="0"/>
              <w:jc w:val="left"/>
              <w:rPr>
                <w:rFonts w:ascii="Arial" w:hAnsi="Arial" w:cs="Arial"/>
              </w:rPr>
            </w:pPr>
            <w:r>
              <w:rPr>
                <w:rFonts w:hint="default" w:ascii="Segoe UI" w:hAnsi="Segoe UI" w:eastAsia="Segoe UI" w:cs="Segoe UI"/>
                <w:i w:val="0"/>
                <w:iCs w:val="0"/>
                <w:caps w:val="0"/>
                <w:color w:val="415462"/>
                <w:spacing w:val="0"/>
                <w:kern w:val="0"/>
                <w:sz w:val="24"/>
                <w:szCs w:val="24"/>
                <w:lang w:val="en-US" w:eastAsia="zh-CN" w:bidi="ar"/>
              </w:rPr>
              <w:t>基于约束优化算法，综合实时位置、任务紧急度、路况、车况等因素，生成最优调度建议，支持临时任务动态响应。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pPr>
              <w:keepNext w:val="0"/>
              <w:keepLines w:val="0"/>
              <w:widowControl/>
              <w:suppressLineNumbers w:val="0"/>
              <w:ind w:left="0" w:leftChars="0" w:firstLine="0" w:firstLineChars="0"/>
              <w:jc w:val="left"/>
              <w:rPr>
                <w:rFonts w:ascii="Arial" w:hAnsi="Arial" w:cs="Arial"/>
              </w:rPr>
            </w:pPr>
            <w:r>
              <w:rPr>
                <w:rFonts w:hint="default" w:ascii="Segoe UI" w:hAnsi="Segoe UI" w:eastAsia="Segoe UI" w:cs="Segoe UI"/>
                <w:i w:val="0"/>
                <w:iCs w:val="0"/>
                <w:caps w:val="0"/>
                <w:color w:val="415462"/>
                <w:spacing w:val="0"/>
                <w:kern w:val="0"/>
                <w:sz w:val="24"/>
                <w:szCs w:val="24"/>
                <w:lang w:val="en-US" w:eastAsia="zh-CN" w:bidi="ar"/>
              </w:rPr>
              <w:t>3</w:t>
            </w:r>
          </w:p>
        </w:tc>
        <w:tc>
          <w:tcPr>
            <w:tcW w:w="2268" w:type="dxa"/>
            <w:vAlign w:val="center"/>
          </w:tcPr>
          <w:p>
            <w:pPr>
              <w:keepNext w:val="0"/>
              <w:keepLines w:val="0"/>
              <w:widowControl/>
              <w:suppressLineNumbers w:val="0"/>
              <w:ind w:left="0" w:leftChars="0" w:firstLine="0" w:firstLineChars="0"/>
              <w:jc w:val="left"/>
              <w:rPr>
                <w:rFonts w:ascii="Arial" w:hAnsi="Arial" w:cs="Arial"/>
              </w:rPr>
            </w:pPr>
            <w:r>
              <w:rPr>
                <w:rStyle w:val="15"/>
                <w:rFonts w:hint="default" w:ascii="Segoe UI" w:hAnsi="Segoe UI" w:eastAsia="Segoe UI" w:cs="Segoe UI"/>
                <w:b/>
                <w:bCs/>
                <w:i w:val="0"/>
                <w:iCs w:val="0"/>
                <w:caps w:val="0"/>
                <w:color w:val="415462"/>
                <w:spacing w:val="0"/>
                <w:kern w:val="0"/>
                <w:sz w:val="24"/>
                <w:szCs w:val="24"/>
                <w:lang w:val="en-US" w:eastAsia="zh-CN" w:bidi="ar"/>
              </w:rPr>
              <w:t>全流程风险识别与预警</w:t>
            </w:r>
          </w:p>
        </w:tc>
        <w:tc>
          <w:tcPr>
            <w:tcW w:w="5494" w:type="dxa"/>
            <w:vAlign w:val="center"/>
          </w:tcPr>
          <w:p>
            <w:pPr>
              <w:keepNext w:val="0"/>
              <w:keepLines w:val="0"/>
              <w:widowControl/>
              <w:suppressLineNumbers w:val="0"/>
              <w:ind w:left="0" w:leftChars="0" w:firstLine="0" w:firstLineChars="0"/>
              <w:jc w:val="left"/>
              <w:rPr>
                <w:rFonts w:ascii="Arial" w:hAnsi="Arial" w:cs="Arial"/>
              </w:rPr>
            </w:pPr>
            <w:r>
              <w:rPr>
                <w:rFonts w:hint="default" w:ascii="Segoe UI" w:hAnsi="Segoe UI" w:eastAsia="Segoe UI" w:cs="Segoe UI"/>
                <w:i w:val="0"/>
                <w:iCs w:val="0"/>
                <w:caps w:val="0"/>
                <w:color w:val="415462"/>
                <w:spacing w:val="0"/>
                <w:kern w:val="0"/>
                <w:sz w:val="24"/>
                <w:szCs w:val="24"/>
                <w:lang w:val="en-US" w:eastAsia="zh-CN" w:bidi="ar"/>
              </w:rPr>
              <w:t>基于轨迹挖掘与机器学习，自动检测异常时段用车、敏感地点停靠等行为；自动比对报销单据与任务里程、历史费用，触发红灯预警。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pPr>
              <w:keepNext w:val="0"/>
              <w:keepLines w:val="0"/>
              <w:widowControl/>
              <w:suppressLineNumbers w:val="0"/>
              <w:ind w:left="0" w:leftChars="0" w:firstLine="0" w:firstLineChars="0"/>
              <w:jc w:val="left"/>
              <w:rPr>
                <w:rFonts w:ascii="Arial" w:hAnsi="Arial" w:cs="Arial"/>
              </w:rPr>
            </w:pPr>
            <w:r>
              <w:rPr>
                <w:rFonts w:hint="default" w:ascii="Segoe UI" w:hAnsi="Segoe UI" w:eastAsia="Segoe UI" w:cs="Segoe UI"/>
                <w:i w:val="0"/>
                <w:iCs w:val="0"/>
                <w:caps w:val="0"/>
                <w:color w:val="415462"/>
                <w:spacing w:val="0"/>
                <w:kern w:val="0"/>
                <w:sz w:val="24"/>
                <w:szCs w:val="24"/>
                <w:lang w:val="en-US" w:eastAsia="zh-CN" w:bidi="ar"/>
              </w:rPr>
              <w:t>4</w:t>
            </w:r>
          </w:p>
        </w:tc>
        <w:tc>
          <w:tcPr>
            <w:tcW w:w="2268" w:type="dxa"/>
            <w:vAlign w:val="center"/>
          </w:tcPr>
          <w:p>
            <w:pPr>
              <w:keepNext w:val="0"/>
              <w:keepLines w:val="0"/>
              <w:widowControl/>
              <w:suppressLineNumbers w:val="0"/>
              <w:ind w:left="0" w:leftChars="0" w:firstLine="0" w:firstLineChars="0"/>
              <w:jc w:val="left"/>
              <w:rPr>
                <w:rFonts w:hint="eastAsia" w:ascii="Arial" w:hAnsi="Arial" w:cs="Arial"/>
              </w:rPr>
            </w:pPr>
            <w:r>
              <w:rPr>
                <w:rStyle w:val="15"/>
                <w:rFonts w:hint="default" w:ascii="Segoe UI" w:hAnsi="Segoe UI" w:eastAsia="Segoe UI" w:cs="Segoe UI"/>
                <w:b/>
                <w:bCs/>
                <w:i w:val="0"/>
                <w:iCs w:val="0"/>
                <w:caps w:val="0"/>
                <w:color w:val="415462"/>
                <w:spacing w:val="0"/>
                <w:kern w:val="0"/>
                <w:sz w:val="24"/>
                <w:szCs w:val="24"/>
                <w:lang w:val="en-US" w:eastAsia="zh-CN" w:bidi="ar"/>
              </w:rPr>
              <w:t>信息推送与交互</w:t>
            </w:r>
          </w:p>
        </w:tc>
        <w:tc>
          <w:tcPr>
            <w:tcW w:w="5494" w:type="dxa"/>
            <w:vAlign w:val="center"/>
          </w:tcPr>
          <w:p>
            <w:pPr>
              <w:keepNext w:val="0"/>
              <w:keepLines w:val="0"/>
              <w:widowControl/>
              <w:suppressLineNumbers w:val="0"/>
              <w:ind w:left="0" w:leftChars="0" w:firstLine="0" w:firstLineChars="0"/>
              <w:jc w:val="left"/>
              <w:rPr>
                <w:rFonts w:ascii="Arial" w:hAnsi="Arial" w:cs="Arial"/>
              </w:rPr>
            </w:pPr>
            <w:r>
              <w:rPr>
                <w:rFonts w:hint="default" w:ascii="Segoe UI" w:hAnsi="Segoe UI" w:eastAsia="Segoe UI" w:cs="Segoe UI"/>
                <w:i w:val="0"/>
                <w:iCs w:val="0"/>
                <w:caps w:val="0"/>
                <w:color w:val="415462"/>
                <w:spacing w:val="0"/>
                <w:kern w:val="0"/>
                <w:sz w:val="24"/>
                <w:szCs w:val="24"/>
                <w:lang w:val="en-US" w:eastAsia="zh-CN" w:bidi="ar"/>
              </w:rPr>
              <w:t>智能助手与数智彩虹、E报表等平台对接，接收后勤调度下发的各类任务和预警、提醒信息，并推送至相关人员。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pPr>
              <w:keepNext w:val="0"/>
              <w:keepLines w:val="0"/>
              <w:widowControl/>
              <w:suppressLineNumbers w:val="0"/>
              <w:ind w:left="0" w:leftChars="0" w:firstLine="0" w:firstLineChars="0"/>
              <w:jc w:val="left"/>
              <w:rPr>
                <w:rFonts w:hint="eastAsia" w:ascii="Arial" w:hAnsi="Arial" w:cs="Arial"/>
              </w:rPr>
            </w:pPr>
            <w:r>
              <w:rPr>
                <w:rFonts w:hint="default" w:ascii="Segoe UI" w:hAnsi="Segoe UI" w:eastAsia="Segoe UI" w:cs="Segoe UI"/>
                <w:i w:val="0"/>
                <w:iCs w:val="0"/>
                <w:caps w:val="0"/>
                <w:color w:val="415462"/>
                <w:spacing w:val="0"/>
                <w:kern w:val="0"/>
                <w:sz w:val="24"/>
                <w:szCs w:val="24"/>
                <w:lang w:val="en-US" w:eastAsia="zh-CN" w:bidi="ar"/>
              </w:rPr>
              <w:t>5</w:t>
            </w:r>
          </w:p>
        </w:tc>
        <w:tc>
          <w:tcPr>
            <w:tcW w:w="2268" w:type="dxa"/>
            <w:vAlign w:val="center"/>
          </w:tcPr>
          <w:p>
            <w:pPr>
              <w:keepNext w:val="0"/>
              <w:keepLines w:val="0"/>
              <w:widowControl/>
              <w:suppressLineNumbers w:val="0"/>
              <w:ind w:left="0" w:leftChars="0" w:firstLine="0" w:firstLineChars="0"/>
              <w:jc w:val="left"/>
              <w:rPr>
                <w:rFonts w:hint="eastAsia" w:ascii="Arial" w:hAnsi="Arial" w:cs="Arial"/>
              </w:rPr>
            </w:pPr>
            <w:r>
              <w:rPr>
                <w:rStyle w:val="15"/>
                <w:rFonts w:hint="default" w:ascii="Segoe UI" w:hAnsi="Segoe UI" w:eastAsia="Segoe UI" w:cs="Segoe UI"/>
                <w:b/>
                <w:bCs/>
                <w:i w:val="0"/>
                <w:iCs w:val="0"/>
                <w:caps w:val="0"/>
                <w:color w:val="415462"/>
                <w:spacing w:val="0"/>
                <w:kern w:val="0"/>
                <w:sz w:val="24"/>
                <w:szCs w:val="24"/>
                <w:lang w:val="en-US" w:eastAsia="zh-CN" w:bidi="ar"/>
              </w:rPr>
              <w:t>历史数据查询与分析</w:t>
            </w:r>
          </w:p>
        </w:tc>
        <w:tc>
          <w:tcPr>
            <w:tcW w:w="5494" w:type="dxa"/>
            <w:vAlign w:val="center"/>
          </w:tcPr>
          <w:p>
            <w:pPr>
              <w:keepNext w:val="0"/>
              <w:keepLines w:val="0"/>
              <w:widowControl/>
              <w:suppressLineNumbers w:val="0"/>
              <w:ind w:left="0" w:leftChars="0" w:firstLine="0" w:firstLineChars="0"/>
              <w:jc w:val="left"/>
              <w:rPr>
                <w:rFonts w:hint="eastAsia" w:ascii="Arial" w:hAnsi="Arial" w:cs="Arial"/>
              </w:rPr>
            </w:pPr>
            <w:r>
              <w:rPr>
                <w:rFonts w:hint="default" w:ascii="Segoe UI" w:hAnsi="Segoe UI" w:eastAsia="Segoe UI" w:cs="Segoe UI"/>
                <w:i w:val="0"/>
                <w:iCs w:val="0"/>
                <w:caps w:val="0"/>
                <w:color w:val="415462"/>
                <w:spacing w:val="0"/>
                <w:kern w:val="0"/>
                <w:sz w:val="24"/>
                <w:szCs w:val="24"/>
                <w:lang w:val="en-US" w:eastAsia="zh-CN" w:bidi="ar"/>
              </w:rPr>
              <w:t>支持查询车辆历史轨迹、费用明细、调度记录等，支持多维度统计分析，辅助管理决策。</w:t>
            </w:r>
          </w:p>
        </w:tc>
      </w:tr>
    </w:tbl>
    <w:p>
      <w:pPr>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.2.4实施要求</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提供全方位、优质、高效的质量保证体系，以及技术支持和售后服务。投标方应充分考虑技术支持与售后服务，提供详细的售后服务计划，服务内容、服务方式及响应时间。要求如下： （1）验收合格后提供1年免费维护。 （2）中标方在故障发生2小时响应处置。 （3）中标方对招标方提供技术培训和操作指导，中标方负责培训全部费用。 （4）不少于2个工作日的现场对接。中标方负责招标方人员的软件系统操作方面培训工作。 （5）中标方应免费提供远程技术服务，远程技术服务项目期限不受限于保修期，远程技术服务在设备报废前有效</w:t>
      </w:r>
      <w:r>
        <w:rPr>
          <w:rFonts w:asciiTheme="minorEastAsia" w:hAnsiTheme="minorEastAsia" w:eastAsiaTheme="minorEastAsia" w:cstheme="minorEastAsia"/>
          <w:sz w:val="24"/>
        </w:rPr>
        <w:t>。</w:t>
      </w:r>
    </w:p>
    <w:p>
      <w:pPr>
        <w:pStyle w:val="10"/>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.2.5技术服务要求</w:t>
      </w:r>
    </w:p>
    <w:p>
      <w:pPr>
        <w:ind w:firstLine="480" w:firstLineChars="200"/>
        <w:rPr>
          <w:rFonts w:ascii="宋体" w:hAnsi="宋体" w:cs="宋体"/>
          <w:sz w:val="24"/>
        </w:rPr>
      </w:pPr>
      <w:r>
        <w:rPr>
          <w:rFonts w:hint="eastAsia" w:ascii="宋体" w:hAnsi="宋体" w:cs="宋体"/>
          <w:sz w:val="24"/>
        </w:rPr>
        <w:t>提供全方位、优质、高效的质量保证体系，以及技术支持和售后服务。投标方应充分考虑技术支持与售后服务，提供详细的售后服务计划，服务内容、服务方式及响应时间。要求如下：</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（1）验收合格后提供1年免费维护。</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（2）中标方在故障发生2小时响应处置。</w:t>
      </w:r>
    </w:p>
    <w:p>
      <w:pP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中标方对招标方提供技术培训和操作指导，中标方负责培训全部费用</w:t>
      </w:r>
      <w:r>
        <w:rPr>
          <w:rFonts w:hint="eastAsia" w:asciiTheme="minorEastAsia" w:hAnsiTheme="minorEastAsia" w:eastAsiaTheme="minorEastAsia" w:cstheme="minorEastAsia"/>
          <w:sz w:val="24"/>
          <w:lang w:eastAsia="zh-CN"/>
        </w:rPr>
        <w:t>。</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不少于</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个工作日的现场</w:t>
      </w:r>
      <w:r>
        <w:rPr>
          <w:rFonts w:hint="eastAsia" w:asciiTheme="minorEastAsia" w:hAnsiTheme="minorEastAsia" w:eastAsiaTheme="minorEastAsia" w:cstheme="minorEastAsia"/>
          <w:sz w:val="24"/>
          <w:lang w:val="en-US" w:eastAsia="zh-CN"/>
        </w:rPr>
        <w:t>对接</w:t>
      </w:r>
      <w:r>
        <w:rPr>
          <w:rFonts w:hint="eastAsia" w:asciiTheme="minorEastAsia" w:hAnsiTheme="minorEastAsia" w:eastAsiaTheme="minorEastAsia" w:cstheme="minorEastAsia"/>
          <w:sz w:val="24"/>
        </w:rPr>
        <w:t>。中标方负责招标方人员的软件系统操作方面培训工作。</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中标方应免费提供远程技术服务，远程技术服务项目期限不受限于保修期，远程技术服务在设备报废前有效。</w:t>
      </w:r>
    </w:p>
    <w:p>
      <w:pPr>
        <w:pStyle w:val="10"/>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.2.6系统交付项</w:t>
      </w:r>
    </w:p>
    <w:p>
      <w:pPr>
        <w:ind w:firstLine="480" w:firstLineChars="200"/>
        <w:rPr>
          <w:rFonts w:ascii="宋体" w:hAnsi="宋体" w:cs="宋体"/>
          <w:sz w:val="24"/>
        </w:rPr>
      </w:pPr>
      <w:r>
        <w:rPr>
          <w:rFonts w:hint="eastAsia" w:ascii="宋体" w:hAnsi="宋体" w:cs="宋体"/>
          <w:sz w:val="24"/>
        </w:rPr>
        <w:t>投标方应在合同规定时间内，向招标方提供相应资料，包括：</w:t>
      </w:r>
    </w:p>
    <w:p>
      <w:pPr>
        <w:rPr>
          <w:rFonts w:hint="eastAsia" w:ascii="宋体" w:hAnsi="宋体" w:eastAsia="宋体" w:cs="宋体"/>
          <w:sz w:val="24"/>
          <w:lang w:eastAsia="zh-CN"/>
        </w:rPr>
      </w:pPr>
      <w:r>
        <w:rPr>
          <w:rFonts w:hint="eastAsia" w:ascii="宋体" w:hAnsi="宋体" w:cs="宋体"/>
          <w:sz w:val="24"/>
        </w:rPr>
        <w:t>（1）用户操作手册</w:t>
      </w:r>
      <w:r>
        <w:rPr>
          <w:rFonts w:hint="eastAsia" w:ascii="宋体" w:hAnsi="宋体" w:cs="宋体"/>
          <w:sz w:val="24"/>
          <w:lang w:eastAsia="zh-CN"/>
        </w:rPr>
        <w:t>。</w:t>
      </w:r>
    </w:p>
    <w:p>
      <w:pPr>
        <w:rPr>
          <w:rFonts w:hint="eastAsia" w:ascii="宋体" w:hAnsi="宋体" w:eastAsia="宋体" w:cs="宋体"/>
          <w:sz w:val="24"/>
          <w:lang w:eastAsia="zh-CN"/>
        </w:rPr>
      </w:pPr>
      <w:r>
        <w:rPr>
          <w:rFonts w:hint="eastAsia" w:ascii="宋体" w:hAnsi="宋体" w:cs="宋体"/>
          <w:sz w:val="24"/>
        </w:rPr>
        <w:t>（2）</w:t>
      </w:r>
      <w:r>
        <w:rPr>
          <w:rFonts w:ascii="宋体" w:hAnsi="宋体" w:cs="宋体"/>
          <w:sz w:val="24"/>
        </w:rPr>
        <w:t>可安装</w:t>
      </w:r>
      <w:r>
        <w:rPr>
          <w:rFonts w:hint="eastAsia" w:ascii="宋体" w:hAnsi="宋体" w:cs="宋体"/>
          <w:sz w:val="24"/>
        </w:rPr>
        <w:t>服务软件</w:t>
      </w:r>
      <w:r>
        <w:rPr>
          <w:rFonts w:hint="eastAsia" w:ascii="宋体" w:hAnsi="宋体" w:cs="宋体"/>
          <w:sz w:val="24"/>
          <w:lang w:eastAsia="zh-CN"/>
        </w:rPr>
        <w:t>。</w:t>
      </w:r>
    </w:p>
    <w:p>
      <w:pPr>
        <w:rPr>
          <w:rFonts w:ascii="宋体" w:hAnsi="宋体" w:cs="宋体"/>
          <w:color w:val="000000"/>
          <w:sz w:val="24"/>
        </w:rPr>
      </w:pPr>
      <w:r>
        <w:rPr>
          <w:rFonts w:hint="eastAsia" w:ascii="宋体" w:hAnsi="宋体" w:cs="宋体"/>
          <w:color w:val="000000"/>
          <w:sz w:val="24"/>
        </w:rPr>
        <w:t>4.</w:t>
      </w:r>
      <w:r>
        <w:rPr>
          <w:rFonts w:hint="eastAsia" w:ascii="宋体" w:hAnsi="宋体" w:cs="宋体"/>
          <w:color w:val="000000"/>
          <w:sz w:val="24"/>
          <w:lang w:val="en-US" w:eastAsia="zh-CN"/>
        </w:rPr>
        <w:t>2</w:t>
      </w:r>
      <w:r>
        <w:rPr>
          <w:rFonts w:hint="eastAsia" w:ascii="宋体" w:hAnsi="宋体" w:cs="宋体"/>
          <w:color w:val="000000"/>
          <w:sz w:val="24"/>
        </w:rPr>
        <w:t xml:space="preserve"> 项目组织。投标方需成立项目组</w:t>
      </w:r>
      <w:r>
        <w:rPr>
          <w:rFonts w:hint="eastAsia" w:ascii="宋体" w:hAnsi="宋体"/>
          <w:sz w:val="24"/>
        </w:rPr>
        <w:t>，具备良好的专业背景和经验。在与招标方协商的基础上确定，确保人员稳定。更换项目组成员的替代人选及更换时机需经双方协商认可，并保证工作的连续性和工作质量。</w:t>
      </w:r>
    </w:p>
    <w:bookmarkEnd w:id="11"/>
    <w:bookmarkEnd w:id="12"/>
    <w:bookmarkEnd w:id="13"/>
    <w:bookmarkEnd w:id="14"/>
    <w:bookmarkEnd w:id="15"/>
    <w:bookmarkEnd w:id="16"/>
    <w:bookmarkEnd w:id="17"/>
    <w:bookmarkEnd w:id="18"/>
    <w:bookmarkEnd w:id="19"/>
    <w:bookmarkEnd w:id="20"/>
    <w:bookmarkEnd w:id="21"/>
    <w:p>
      <w:pPr>
        <w:rPr>
          <w:rFonts w:ascii="宋体" w:hAnsi="宋体" w:cs="宋体"/>
          <w:sz w:val="24"/>
        </w:rPr>
      </w:pPr>
      <w:bookmarkStart w:id="28" w:name="_Toc20013"/>
      <w:r>
        <w:rPr>
          <w:rFonts w:hint="eastAsia" w:ascii="宋体" w:hAnsi="宋体" w:cs="宋体"/>
          <w:sz w:val="24"/>
        </w:rPr>
        <w:t>4.</w:t>
      </w:r>
      <w:r>
        <w:rPr>
          <w:rFonts w:hint="eastAsia" w:ascii="宋体" w:hAnsi="宋体" w:cs="宋体"/>
          <w:sz w:val="24"/>
          <w:lang w:val="en-US" w:eastAsia="zh-CN"/>
        </w:rPr>
        <w:t>3</w:t>
      </w:r>
      <w:r>
        <w:rPr>
          <w:rFonts w:hint="eastAsia" w:ascii="宋体" w:hAnsi="宋体" w:cs="宋体"/>
          <w:sz w:val="24"/>
        </w:rPr>
        <w:t xml:space="preserve"> 研究成果。</w:t>
      </w:r>
      <w:bookmarkEnd w:id="28"/>
      <w:r>
        <w:rPr>
          <w:rFonts w:hint="eastAsia" w:ascii="宋体" w:hAnsi="宋体" w:cs="宋体"/>
          <w:sz w:val="24"/>
        </w:rPr>
        <w:t>通过项目实施，制定符合超高压输电公司实际。投标方提供的图纸、资料、文件应使用国家法定单位制即国际单位制，语言为中文。资料的组织结构清晰、逻辑性强。资料内容要正确、准确、一致、清晰、完整。</w:t>
      </w:r>
      <w:bookmarkStart w:id="29" w:name="_Toc309805604"/>
      <w:bookmarkStart w:id="30" w:name="_Toc441483969"/>
      <w:bookmarkStart w:id="31" w:name="_Toc531004269"/>
      <w:bookmarkStart w:id="32" w:name="_Toc309593280"/>
      <w:bookmarkStart w:id="33" w:name="_Toc312827040"/>
      <w:bookmarkStart w:id="34" w:name="_Toc309593209"/>
      <w:bookmarkStart w:id="35" w:name="_Toc531004215"/>
      <w:bookmarkStart w:id="36" w:name="_Toc18633"/>
    </w:p>
    <w:p>
      <w:pPr>
        <w:pStyle w:val="8"/>
        <w:rPr>
          <w:rFonts w:hAnsi="宋体"/>
          <w:sz w:val="24"/>
        </w:rPr>
      </w:pPr>
      <w:r>
        <w:rPr>
          <w:rFonts w:hint="eastAsia" w:hAnsi="宋体" w:cs="宋体"/>
          <w:sz w:val="24"/>
          <w:szCs w:val="24"/>
        </w:rPr>
        <w:t>4.</w:t>
      </w:r>
      <w:r>
        <w:rPr>
          <w:rFonts w:hint="eastAsia" w:hAnsi="宋体" w:cs="宋体"/>
          <w:sz w:val="24"/>
          <w:szCs w:val="24"/>
          <w:lang w:val="en-US" w:eastAsia="zh-CN"/>
        </w:rPr>
        <w:t>4</w:t>
      </w:r>
      <w:r>
        <w:rPr>
          <w:rFonts w:hint="eastAsia" w:hAnsi="宋体" w:cs="宋体"/>
          <w:sz w:val="24"/>
          <w:szCs w:val="24"/>
        </w:rPr>
        <w:t xml:space="preserve"> </w:t>
      </w:r>
      <w:r>
        <w:rPr>
          <w:rFonts w:hint="eastAsia"/>
          <w:sz w:val="24"/>
        </w:rPr>
        <w:t>招标方技术团队有权对投标方研发制造全过程的技术工作进行检查监督，有权参与设备图纸设计、审核、主要原材料选用、重大技术变更等关键技术环节工作。投标方应在设备研发、制造主要技术节点通知招标方技术团队参与</w:t>
      </w:r>
      <w:r>
        <w:rPr>
          <w:rFonts w:hint="eastAsia" w:hAnsi="宋体"/>
          <w:sz w:val="24"/>
        </w:rPr>
        <w:t>。</w:t>
      </w:r>
    </w:p>
    <w:p>
      <w:pPr>
        <w:autoSpaceDN w:val="0"/>
        <w:rPr>
          <w:rFonts w:ascii="宋体" w:hAnsi="宋体"/>
          <w:sz w:val="24"/>
          <w:szCs w:val="21"/>
        </w:rPr>
      </w:pPr>
      <w:r>
        <w:rPr>
          <w:rFonts w:hint="eastAsia" w:ascii="宋体" w:hAnsi="宋体" w:cs="宋体"/>
          <w:sz w:val="24"/>
        </w:rPr>
        <w:t>4.</w:t>
      </w:r>
      <w:r>
        <w:rPr>
          <w:rFonts w:hint="eastAsia" w:ascii="宋体" w:hAnsi="宋体" w:cs="宋体"/>
          <w:sz w:val="24"/>
          <w:lang w:val="en-US" w:eastAsia="zh-CN"/>
        </w:rPr>
        <w:t>5</w:t>
      </w:r>
      <w:r>
        <w:rPr>
          <w:rFonts w:hint="eastAsia" w:ascii="宋体" w:hAnsi="宋体" w:cs="宋体"/>
          <w:sz w:val="24"/>
        </w:rPr>
        <w:t xml:space="preserve"> </w:t>
      </w:r>
      <w:r>
        <w:rPr>
          <w:rFonts w:hint="eastAsia" w:ascii="宋体" w:hAnsi="宋体"/>
          <w:sz w:val="24"/>
          <w:szCs w:val="21"/>
        </w:rPr>
        <w:t>为保证投标方有效进行技术服务工作，招标方提供与项目有关的技术资料，并协助投标方协调项目实施过程中所需解决的事项。</w:t>
      </w:r>
    </w:p>
    <w:p>
      <w:pPr>
        <w:pStyle w:val="8"/>
        <w:rPr>
          <w:rFonts w:hAnsi="宋体"/>
          <w:sz w:val="24"/>
        </w:rPr>
      </w:pPr>
      <w:r>
        <w:rPr>
          <w:rFonts w:hint="eastAsia" w:hAnsi="宋体" w:cs="宋体"/>
          <w:sz w:val="24"/>
          <w:szCs w:val="24"/>
        </w:rPr>
        <w:t>4.</w:t>
      </w:r>
      <w:r>
        <w:rPr>
          <w:rFonts w:hint="eastAsia" w:hAnsi="宋体" w:cs="宋体"/>
          <w:sz w:val="24"/>
          <w:szCs w:val="24"/>
          <w:lang w:val="en-US" w:eastAsia="zh-CN"/>
        </w:rPr>
        <w:t>6</w:t>
      </w:r>
      <w:r>
        <w:rPr>
          <w:rFonts w:hint="eastAsia" w:hAnsi="宋体" w:cs="宋体"/>
          <w:sz w:val="24"/>
          <w:szCs w:val="24"/>
        </w:rPr>
        <w:t>双</w:t>
      </w:r>
      <w:r>
        <w:rPr>
          <w:rFonts w:hint="eastAsia" w:hAnsi="宋体"/>
          <w:sz w:val="24"/>
        </w:rPr>
        <w:t>方确定，在项目进行期内，双方均指定项目联系人。项目联系人承担以下责任：</w:t>
      </w:r>
    </w:p>
    <w:p>
      <w:pPr>
        <w:pStyle w:val="8"/>
        <w:rPr>
          <w:rFonts w:hAnsi="宋体"/>
          <w:sz w:val="24"/>
        </w:rPr>
      </w:pPr>
      <w:r>
        <w:rPr>
          <w:rFonts w:hint="eastAsia" w:ascii="Times New Roman" w:hAnsi="Times New Roman"/>
          <w:sz w:val="24"/>
        </w:rPr>
        <w:t>（1）沟通项目所需资料的收集</w:t>
      </w:r>
      <w:r>
        <w:rPr>
          <w:rFonts w:hint="eastAsia" w:hAnsi="宋体"/>
          <w:sz w:val="24"/>
        </w:rPr>
        <w:t>。</w:t>
      </w:r>
    </w:p>
    <w:p>
      <w:pPr>
        <w:pStyle w:val="8"/>
        <w:rPr>
          <w:rFonts w:hAnsi="宋体"/>
          <w:sz w:val="24"/>
        </w:rPr>
      </w:pPr>
      <w:r>
        <w:rPr>
          <w:rFonts w:hint="eastAsia" w:ascii="Times New Roman" w:hAnsi="Times New Roman"/>
          <w:sz w:val="24"/>
        </w:rPr>
        <w:t>（2）沟通项目进度信息。</w:t>
      </w:r>
    </w:p>
    <w:p>
      <w:pPr>
        <w:pStyle w:val="8"/>
        <w:rPr>
          <w:rFonts w:hAnsi="宋体"/>
          <w:sz w:val="24"/>
        </w:rPr>
      </w:pPr>
      <w:r>
        <w:rPr>
          <w:rFonts w:hint="eastAsia" w:ascii="Times New Roman" w:hAnsi="Times New Roman"/>
          <w:sz w:val="24"/>
        </w:rPr>
        <w:t>（3）协商解决项目执行过程中遇到的问题。</w:t>
      </w:r>
    </w:p>
    <w:p>
      <w:pPr>
        <w:pStyle w:val="8"/>
        <w:ind w:firstLine="480" w:firstLineChars="200"/>
        <w:rPr>
          <w:rFonts w:hAnsi="宋体"/>
          <w:sz w:val="24"/>
          <w:szCs w:val="24"/>
        </w:rPr>
      </w:pPr>
      <w:r>
        <w:rPr>
          <w:rFonts w:hAnsi="宋体"/>
          <w:sz w:val="24"/>
        </w:rPr>
        <w:t>一方变更项目联系人的，应当及时以书面形式通知另一方。未及时通知并影响</w:t>
      </w:r>
      <w:r>
        <w:rPr>
          <w:rFonts w:hint="eastAsia" w:hAnsi="宋体"/>
          <w:sz w:val="24"/>
        </w:rPr>
        <w:t>项目进</w:t>
      </w:r>
      <w:r>
        <w:rPr>
          <w:rFonts w:hAnsi="宋体"/>
          <w:sz w:val="24"/>
        </w:rPr>
        <w:t>行或造成损失的，应承担相应的责任。</w:t>
      </w:r>
    </w:p>
    <w:p>
      <w:pPr>
        <w:pStyle w:val="8"/>
        <w:rPr>
          <w:rFonts w:hAnsi="宋体"/>
          <w:sz w:val="24"/>
        </w:rPr>
      </w:pPr>
      <w:r>
        <w:rPr>
          <w:rFonts w:hint="eastAsia" w:hAnsi="宋体" w:cs="宋体"/>
          <w:sz w:val="24"/>
          <w:szCs w:val="24"/>
        </w:rPr>
        <w:t>4.</w:t>
      </w:r>
      <w:r>
        <w:rPr>
          <w:rFonts w:hint="eastAsia" w:hAnsi="宋体" w:cs="宋体"/>
          <w:sz w:val="24"/>
          <w:szCs w:val="24"/>
          <w:lang w:val="en-US" w:eastAsia="zh-CN"/>
        </w:rPr>
        <w:t>7</w:t>
      </w:r>
      <w:r>
        <w:rPr>
          <w:rFonts w:hint="eastAsia" w:hAnsi="宋体" w:cs="宋体"/>
          <w:sz w:val="24"/>
          <w:szCs w:val="24"/>
        </w:rPr>
        <w:t>双</w:t>
      </w:r>
      <w:r>
        <w:rPr>
          <w:rFonts w:hAnsi="宋体"/>
          <w:sz w:val="24"/>
        </w:rPr>
        <w:t>方确定</w:t>
      </w:r>
      <w:r>
        <w:rPr>
          <w:rFonts w:hint="eastAsia" w:hAnsi="宋体"/>
          <w:sz w:val="24"/>
        </w:rPr>
        <w:t>项目有关</w:t>
      </w:r>
      <w:r>
        <w:rPr>
          <w:rFonts w:hAnsi="宋体"/>
          <w:sz w:val="24"/>
        </w:rPr>
        <w:t>保密义务如下：</w:t>
      </w:r>
    </w:p>
    <w:p>
      <w:pPr>
        <w:pStyle w:val="8"/>
        <w:ind w:firstLine="240"/>
        <w:rPr>
          <w:rFonts w:hAnsi="宋体"/>
          <w:sz w:val="24"/>
        </w:rPr>
      </w:pPr>
      <w:r>
        <w:rPr>
          <w:rFonts w:hAnsi="宋体"/>
          <w:sz w:val="24"/>
        </w:rPr>
        <w:t xml:space="preserve">    </w:t>
      </w:r>
      <w:r>
        <w:rPr>
          <w:rFonts w:hint="eastAsia" w:hAnsi="宋体"/>
          <w:sz w:val="24"/>
        </w:rPr>
        <w:t>招标方</w:t>
      </w:r>
      <w:r>
        <w:rPr>
          <w:rFonts w:hAnsi="宋体"/>
          <w:sz w:val="24"/>
        </w:rPr>
        <w:t>：</w:t>
      </w:r>
    </w:p>
    <w:p>
      <w:pPr>
        <w:pStyle w:val="8"/>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pPr>
        <w:pStyle w:val="8"/>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pPr>
        <w:pStyle w:val="8"/>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pPr>
        <w:pStyle w:val="8"/>
        <w:ind w:firstLine="720" w:firstLineChars="300"/>
        <w:rPr>
          <w:rFonts w:hAnsi="宋体"/>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w:t>
      </w:r>
      <w:r>
        <w:rPr>
          <w:rFonts w:hint="eastAsia" w:hAnsi="宋体"/>
          <w:sz w:val="24"/>
        </w:rPr>
        <w:t>投标方</w:t>
      </w:r>
      <w:r>
        <w:rPr>
          <w:rFonts w:hint="eastAsia" w:ascii="Times New Roman" w:hAnsi="Times New Roman"/>
          <w:sz w:val="24"/>
        </w:rPr>
        <w:t>造成的损失。</w:t>
      </w:r>
    </w:p>
    <w:p>
      <w:pPr>
        <w:pStyle w:val="8"/>
        <w:ind w:firstLine="240"/>
        <w:rPr>
          <w:rFonts w:hAnsi="宋体"/>
          <w:sz w:val="24"/>
        </w:rPr>
      </w:pPr>
      <w:r>
        <w:rPr>
          <w:rFonts w:hAnsi="宋体"/>
          <w:sz w:val="24"/>
        </w:rPr>
        <w:t xml:space="preserve">    </w:t>
      </w:r>
      <w:r>
        <w:rPr>
          <w:rFonts w:hint="eastAsia" w:hAnsi="宋体"/>
          <w:sz w:val="24"/>
        </w:rPr>
        <w:t>投标方</w:t>
      </w:r>
      <w:r>
        <w:rPr>
          <w:rFonts w:hAnsi="宋体"/>
          <w:sz w:val="24"/>
        </w:rPr>
        <w:t xml:space="preserve">：  </w:t>
      </w:r>
    </w:p>
    <w:p>
      <w:pPr>
        <w:pStyle w:val="8"/>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pPr>
        <w:pStyle w:val="8"/>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pPr>
        <w:pStyle w:val="8"/>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pPr>
        <w:pStyle w:val="8"/>
        <w:ind w:firstLine="720" w:firstLineChars="300"/>
        <w:rPr>
          <w:rFonts w:hint="eastAsia" w:ascii="Times New Roman" w:hAnsi="Times New Roman"/>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承担法律责任并赔偿由此给招标方造成的损失。</w:t>
      </w:r>
    </w:p>
    <w:p>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5.投标方技术文件编制要求</w:t>
      </w:r>
    </w:p>
    <w:p>
      <w:pPr>
        <w:spacing w:line="360" w:lineRule="auto"/>
        <w:ind w:left="6" w:leftChars="3" w:firstLine="480" w:firstLineChars="200"/>
        <w:rPr>
          <w:sz w:val="24"/>
        </w:rPr>
      </w:pPr>
      <w:r>
        <w:rPr>
          <w:rFonts w:hint="eastAsia"/>
          <w:sz w:val="24"/>
        </w:rPr>
        <w:t>投标方</w:t>
      </w:r>
      <w:r>
        <w:rPr>
          <w:sz w:val="24"/>
        </w:rPr>
        <w:t>技术文件应包括：</w:t>
      </w:r>
    </w:p>
    <w:p>
      <w:pPr>
        <w:spacing w:line="360" w:lineRule="auto"/>
        <w:ind w:left="6" w:leftChars="3" w:firstLine="480" w:firstLineChars="200"/>
        <w:rPr>
          <w:sz w:val="24"/>
        </w:rPr>
      </w:pPr>
      <w:r>
        <w:rPr>
          <w:sz w:val="24"/>
        </w:rPr>
        <w:t>（1）</w:t>
      </w:r>
      <w:r>
        <w:rPr>
          <w:rFonts w:ascii="宋体" w:hAnsi="宋体" w:cs="宋体"/>
          <w:sz w:val="24"/>
        </w:rPr>
        <w:t>提供完整的系统设计方案、</w:t>
      </w:r>
      <w:r>
        <w:rPr>
          <w:rFonts w:hint="eastAsia" w:ascii="宋体" w:hAnsi="宋体" w:cs="宋体"/>
          <w:sz w:val="24"/>
        </w:rPr>
        <w:t>系统架构说明，数据库设计说明</w:t>
      </w:r>
      <w:r>
        <w:rPr>
          <w:rFonts w:ascii="宋体" w:hAnsi="宋体" w:cs="宋体"/>
          <w:sz w:val="24"/>
        </w:rPr>
        <w:t>、数据流转逻辑及实施方案与计划</w:t>
      </w:r>
      <w:r>
        <w:rPr>
          <w:rFonts w:hint="eastAsia" w:ascii="宋体" w:hAnsi="宋体" w:cs="宋体"/>
          <w:sz w:val="24"/>
          <w:lang w:eastAsia="zh-CN"/>
        </w:rPr>
        <w:t>；</w:t>
      </w:r>
    </w:p>
    <w:p>
      <w:pPr>
        <w:spacing w:line="360" w:lineRule="auto"/>
        <w:ind w:left="6" w:leftChars="3" w:firstLine="480" w:firstLineChars="200"/>
        <w:rPr>
          <w:rFonts w:hint="eastAsia" w:eastAsia="宋体"/>
          <w:sz w:val="24"/>
          <w:lang w:eastAsia="zh-CN"/>
        </w:rPr>
      </w:pPr>
      <w:r>
        <w:rPr>
          <w:sz w:val="24"/>
        </w:rPr>
        <w:t>（2）预期目标和成果，主要技术难点、创新点及解决措施</w:t>
      </w:r>
      <w:r>
        <w:rPr>
          <w:rFonts w:hint="eastAsia"/>
          <w:sz w:val="24"/>
          <w:lang w:eastAsia="zh-CN"/>
        </w:rPr>
        <w:t>。</w:t>
      </w:r>
    </w:p>
    <w:p>
      <w:pPr>
        <w:pStyle w:val="4"/>
        <w:numPr>
          <w:ilvl w:val="0"/>
          <w:numId w:val="0"/>
        </w:numPr>
        <w:rPr>
          <w:rFonts w:hint="eastAsia" w:ascii="黑体" w:hAnsi="黑体" w:eastAsia="黑体" w:cs="黑体"/>
          <w:b/>
          <w:bCs/>
          <w:kern w:val="2"/>
          <w:sz w:val="28"/>
          <w:szCs w:val="36"/>
          <w:lang w:val="en-US" w:eastAsia="zh-CN" w:bidi="ar-SA"/>
        </w:rPr>
      </w:pPr>
      <w:bookmarkStart w:id="37" w:name="_Toc23520"/>
      <w:bookmarkStart w:id="38" w:name="_Toc309805603"/>
      <w:bookmarkStart w:id="39" w:name="_Toc12192"/>
      <w:bookmarkStart w:id="40" w:name="_Toc309593279"/>
      <w:bookmarkStart w:id="41" w:name="_Toc14774"/>
      <w:bookmarkStart w:id="42" w:name="_Toc309593208"/>
      <w:bookmarkStart w:id="43" w:name="_Toc26448179"/>
      <w:bookmarkStart w:id="44" w:name="_Toc312827039"/>
      <w:bookmarkStart w:id="45" w:name="_Toc12135"/>
      <w:r>
        <w:rPr>
          <w:rFonts w:hint="eastAsia" w:ascii="黑体" w:hAnsi="黑体" w:eastAsia="黑体" w:cs="黑体"/>
          <w:b/>
          <w:bCs/>
          <w:kern w:val="2"/>
          <w:sz w:val="28"/>
          <w:szCs w:val="36"/>
          <w:lang w:val="en-US" w:eastAsia="zh-CN" w:bidi="ar-SA"/>
        </w:rPr>
        <w:t>6.※工期进度要求</w:t>
      </w:r>
      <w:bookmarkEnd w:id="37"/>
      <w:bookmarkEnd w:id="38"/>
      <w:bookmarkEnd w:id="39"/>
      <w:bookmarkEnd w:id="40"/>
      <w:bookmarkEnd w:id="41"/>
      <w:bookmarkEnd w:id="42"/>
      <w:bookmarkEnd w:id="43"/>
      <w:bookmarkEnd w:id="44"/>
      <w:bookmarkEnd w:id="45"/>
    </w:p>
    <w:p>
      <w:pPr>
        <w:spacing w:line="360" w:lineRule="auto"/>
        <w:ind w:left="6" w:leftChars="3" w:firstLine="480" w:firstLineChars="200"/>
        <w:rPr>
          <w:sz w:val="24"/>
        </w:rPr>
      </w:pPr>
      <w:r>
        <w:rPr>
          <w:sz w:val="24"/>
        </w:rPr>
        <w:t>本项目应按照下表所示进度安排开展试验工作：</w:t>
      </w:r>
    </w:p>
    <w:tbl>
      <w:tblPr>
        <w:tblStyle w:val="12"/>
        <w:tblW w:w="8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7"/>
        <w:gridCol w:w="1734"/>
        <w:gridCol w:w="53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pPr>
              <w:jc w:val="center"/>
              <w:rPr>
                <w:b/>
                <w:sz w:val="24"/>
              </w:rPr>
            </w:pPr>
            <w:r>
              <w:rPr>
                <w:b/>
                <w:sz w:val="24"/>
              </w:rPr>
              <w:t>任务名称</w:t>
            </w:r>
          </w:p>
        </w:tc>
        <w:tc>
          <w:tcPr>
            <w:tcW w:w="1734" w:type="dxa"/>
            <w:noWrap w:val="0"/>
            <w:vAlign w:val="center"/>
          </w:tcPr>
          <w:p>
            <w:pPr>
              <w:jc w:val="center"/>
              <w:rPr>
                <w:b/>
                <w:sz w:val="24"/>
              </w:rPr>
            </w:pPr>
            <w:r>
              <w:rPr>
                <w:b/>
                <w:sz w:val="24"/>
              </w:rPr>
              <w:t>工作时间</w:t>
            </w:r>
          </w:p>
        </w:tc>
        <w:tc>
          <w:tcPr>
            <w:tcW w:w="5358" w:type="dxa"/>
            <w:noWrap w:val="0"/>
            <w:vAlign w:val="center"/>
          </w:tcPr>
          <w:p>
            <w:pPr>
              <w:tabs>
                <w:tab w:val="left" w:pos="859"/>
              </w:tabs>
              <w:ind w:left="111" w:leftChars="53" w:firstLine="7" w:firstLineChars="3"/>
              <w:jc w:val="center"/>
              <w:rPr>
                <w:b/>
                <w:sz w:val="24"/>
              </w:rPr>
            </w:pPr>
            <w:r>
              <w:rPr>
                <w:b/>
                <w:sz w:val="24"/>
              </w:rPr>
              <w:t>主要内容及交付项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1" w:hRule="atLeast"/>
          <w:jc w:val="center"/>
        </w:trPr>
        <w:tc>
          <w:tcPr>
            <w:tcW w:w="1737" w:type="dxa"/>
            <w:noWrap w:val="0"/>
            <w:vAlign w:val="center"/>
          </w:tcPr>
          <w:p>
            <w:pPr>
              <w:keepNext w:val="0"/>
              <w:keepLines w:val="0"/>
              <w:widowControl/>
              <w:suppressLineNumbers w:val="0"/>
              <w:ind w:left="0" w:leftChars="0" w:firstLine="0" w:firstLineChars="0"/>
              <w:jc w:val="left"/>
              <w:rPr>
                <w:rFonts w:hint="eastAsia" w:ascii="Times New Roman" w:eastAsia="宋体"/>
                <w:kern w:val="2"/>
                <w:sz w:val="21"/>
                <w:szCs w:val="21"/>
                <w:lang w:eastAsia="zh-CN"/>
              </w:rPr>
            </w:pPr>
            <w:r>
              <w:rPr>
                <w:rStyle w:val="15"/>
                <w:rFonts w:hint="default" w:ascii="Segoe UI" w:hAnsi="Segoe UI" w:eastAsia="Segoe UI" w:cs="Segoe UI"/>
                <w:b/>
                <w:bCs/>
                <w:i w:val="0"/>
                <w:iCs w:val="0"/>
                <w:caps w:val="0"/>
                <w:color w:val="415462"/>
                <w:spacing w:val="0"/>
                <w:kern w:val="0"/>
                <w:sz w:val="24"/>
                <w:szCs w:val="24"/>
                <w:lang w:val="en-US" w:eastAsia="zh-CN" w:bidi="ar"/>
              </w:rPr>
              <w:t>需求调研与系统设计</w:t>
            </w:r>
          </w:p>
        </w:tc>
        <w:tc>
          <w:tcPr>
            <w:tcW w:w="1734" w:type="dxa"/>
            <w:noWrap w:val="0"/>
            <w:vAlign w:val="center"/>
          </w:tcPr>
          <w:p>
            <w:pPr>
              <w:keepNext w:val="0"/>
              <w:keepLines w:val="0"/>
              <w:widowControl/>
              <w:suppressLineNumbers w:val="0"/>
              <w:ind w:left="0" w:leftChars="0" w:firstLine="0" w:firstLineChars="0"/>
              <w:jc w:val="left"/>
              <w:rPr>
                <w:szCs w:val="21"/>
              </w:rPr>
            </w:pPr>
            <w:r>
              <w:rPr>
                <w:rFonts w:hint="default" w:ascii="Segoe UI" w:hAnsi="Segoe UI" w:eastAsia="Segoe UI" w:cs="Segoe UI"/>
                <w:i w:val="0"/>
                <w:iCs w:val="0"/>
                <w:caps w:val="0"/>
                <w:color w:val="415462"/>
                <w:spacing w:val="0"/>
                <w:kern w:val="0"/>
                <w:sz w:val="24"/>
                <w:szCs w:val="24"/>
                <w:lang w:val="en-US" w:eastAsia="zh-CN" w:bidi="ar"/>
              </w:rPr>
              <w:t>采购结果确定后1月内</w:t>
            </w:r>
          </w:p>
        </w:tc>
        <w:tc>
          <w:tcPr>
            <w:tcW w:w="5358" w:type="dxa"/>
            <w:noWrap w:val="0"/>
            <w:vAlign w:val="center"/>
          </w:tcPr>
          <w:p>
            <w:pPr>
              <w:keepNext w:val="0"/>
              <w:keepLines w:val="0"/>
              <w:widowControl/>
              <w:suppressLineNumbers w:val="0"/>
              <w:ind w:left="0" w:leftChars="0" w:firstLine="0" w:firstLineChars="0"/>
              <w:jc w:val="left"/>
              <w:rPr>
                <w:rFonts w:ascii="Times New Roman" w:eastAsia="宋体"/>
                <w:b/>
                <w:kern w:val="2"/>
                <w:sz w:val="21"/>
                <w:szCs w:val="21"/>
              </w:rPr>
            </w:pPr>
            <w:r>
              <w:rPr>
                <w:rFonts w:hint="default" w:ascii="Segoe UI" w:hAnsi="Segoe UI" w:eastAsia="Segoe UI" w:cs="Segoe UI"/>
                <w:i w:val="0"/>
                <w:iCs w:val="0"/>
                <w:caps w:val="0"/>
                <w:color w:val="415462"/>
                <w:spacing w:val="0"/>
                <w:kern w:val="0"/>
                <w:sz w:val="24"/>
                <w:szCs w:val="24"/>
                <w:lang w:val="en-US" w:eastAsia="zh-CN" w:bidi="ar"/>
              </w:rPr>
              <w:t>主要内容：（1）调研车辆现状及数智彩虹、E报表等平台接口规范；</w:t>
            </w:r>
            <w:bookmarkStart w:id="46" w:name="_GoBack"/>
            <w:bookmarkEnd w:id="46"/>
            <w:r>
              <w:rPr>
                <w:rFonts w:hint="default" w:ascii="Segoe UI" w:hAnsi="Segoe UI" w:eastAsia="Segoe UI" w:cs="Segoe UI"/>
                <w:i w:val="0"/>
                <w:iCs w:val="0"/>
                <w:caps w:val="0"/>
                <w:color w:val="415462"/>
                <w:spacing w:val="0"/>
                <w:kern w:val="0"/>
                <w:sz w:val="24"/>
                <w:szCs w:val="24"/>
                <w:lang w:val="en-US" w:eastAsia="zh-CN" w:bidi="ar"/>
              </w:rPr>
              <w:t>（2）分析后勤调度与现场作业人员业务需求；（3）完成系统总体架构设计、数据库设计及接口设计方案；（4）组织设计方案评审。交付项：系统设计方案1份。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7" w:hRule="atLeast"/>
          <w:jc w:val="center"/>
        </w:trPr>
        <w:tc>
          <w:tcPr>
            <w:tcW w:w="1737" w:type="dxa"/>
            <w:noWrap w:val="0"/>
            <w:vAlign w:val="center"/>
          </w:tcPr>
          <w:p>
            <w:pPr>
              <w:keepNext w:val="0"/>
              <w:keepLines w:val="0"/>
              <w:widowControl/>
              <w:suppressLineNumbers w:val="0"/>
              <w:ind w:left="0" w:leftChars="0" w:firstLine="0" w:firstLineChars="0"/>
              <w:jc w:val="left"/>
              <w:rPr>
                <w:rFonts w:ascii="Times New Roman" w:eastAsia="宋体" w:cs="Times New Roman"/>
                <w:kern w:val="2"/>
                <w:sz w:val="21"/>
                <w:szCs w:val="21"/>
                <w:highlight w:val="none"/>
              </w:rPr>
            </w:pPr>
            <w:r>
              <w:rPr>
                <w:rStyle w:val="15"/>
                <w:rFonts w:hint="default" w:ascii="Segoe UI" w:hAnsi="Segoe UI" w:eastAsia="Segoe UI" w:cs="Segoe UI"/>
                <w:b/>
                <w:bCs/>
                <w:i w:val="0"/>
                <w:iCs w:val="0"/>
                <w:caps w:val="0"/>
                <w:color w:val="415462"/>
                <w:spacing w:val="0"/>
                <w:kern w:val="0"/>
                <w:sz w:val="24"/>
                <w:szCs w:val="24"/>
                <w:lang w:val="en-US" w:eastAsia="zh-CN" w:bidi="ar"/>
              </w:rPr>
              <w:t>系统开发与平台对接</w:t>
            </w:r>
          </w:p>
        </w:tc>
        <w:tc>
          <w:tcPr>
            <w:tcW w:w="1734" w:type="dxa"/>
            <w:noWrap w:val="0"/>
            <w:vAlign w:val="center"/>
          </w:tcPr>
          <w:p>
            <w:pPr>
              <w:keepNext w:val="0"/>
              <w:keepLines w:val="0"/>
              <w:widowControl/>
              <w:suppressLineNumbers w:val="0"/>
              <w:ind w:left="0" w:leftChars="0" w:firstLine="0" w:firstLineChars="0"/>
              <w:jc w:val="left"/>
              <w:rPr>
                <w:sz w:val="24"/>
              </w:rPr>
            </w:pPr>
            <w:r>
              <w:rPr>
                <w:rFonts w:hint="default" w:ascii="Segoe UI" w:hAnsi="Segoe UI" w:eastAsia="Segoe UI" w:cs="Segoe UI"/>
                <w:i w:val="0"/>
                <w:iCs w:val="0"/>
                <w:caps w:val="0"/>
                <w:color w:val="415462"/>
                <w:spacing w:val="0"/>
                <w:kern w:val="0"/>
                <w:sz w:val="24"/>
                <w:szCs w:val="24"/>
                <w:lang w:val="en-US" w:eastAsia="zh-CN" w:bidi="ar"/>
              </w:rPr>
              <w:t>采购结果确定后3月内</w:t>
            </w:r>
          </w:p>
        </w:tc>
        <w:tc>
          <w:tcPr>
            <w:tcW w:w="5358" w:type="dxa"/>
            <w:noWrap w:val="0"/>
            <w:vAlign w:val="center"/>
          </w:tcPr>
          <w:p>
            <w:pPr>
              <w:keepNext w:val="0"/>
              <w:keepLines w:val="0"/>
              <w:widowControl/>
              <w:suppressLineNumbers w:val="0"/>
              <w:ind w:left="0" w:leftChars="0" w:firstLine="0" w:firstLineChars="0"/>
              <w:jc w:val="left"/>
              <w:rPr>
                <w:rFonts w:hint="eastAsia" w:ascii="Times New Roman" w:eastAsia="宋体"/>
              </w:rPr>
            </w:pPr>
            <w:r>
              <w:rPr>
                <w:rFonts w:hint="default" w:ascii="Segoe UI" w:hAnsi="Segoe UI" w:eastAsia="Segoe UI" w:cs="Segoe UI"/>
                <w:i w:val="0"/>
                <w:iCs w:val="0"/>
                <w:caps w:val="0"/>
                <w:color w:val="415462"/>
                <w:spacing w:val="0"/>
                <w:kern w:val="0"/>
                <w:sz w:val="24"/>
                <w:szCs w:val="24"/>
                <w:lang w:val="en-US" w:eastAsia="zh-CN" w:bidi="ar"/>
              </w:rPr>
              <w:t>主要内容：（1）基于B/S架构开发智能助手系统；（2）完成与数智彩虹、E报表、物联网等平台的数据对接开发；（3）实现车辆画像、智能调度、风险预警、费用核验等核心功能；（4）完成相关算法通信及消息主题开发。交付项：（1）系统源代码及开发文档；（2）平台对接测试报告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9" w:hRule="atLeast"/>
          <w:jc w:val="center"/>
        </w:trPr>
        <w:tc>
          <w:tcPr>
            <w:tcW w:w="1737" w:type="dxa"/>
            <w:noWrap w:val="0"/>
            <w:vAlign w:val="center"/>
          </w:tcPr>
          <w:p>
            <w:pPr>
              <w:keepNext w:val="0"/>
              <w:keepLines w:val="0"/>
              <w:widowControl/>
              <w:suppressLineNumbers w:val="0"/>
              <w:ind w:left="0" w:leftChars="0" w:firstLine="0" w:firstLineChars="0"/>
              <w:jc w:val="left"/>
              <w:rPr>
                <w:rFonts w:ascii="Times New Roman" w:eastAsia="宋体" w:cs="Times New Roman"/>
                <w:kern w:val="2"/>
                <w:sz w:val="21"/>
                <w:szCs w:val="21"/>
                <w:highlight w:val="none"/>
              </w:rPr>
            </w:pPr>
            <w:r>
              <w:rPr>
                <w:rStyle w:val="15"/>
                <w:rFonts w:hint="default" w:ascii="Segoe UI" w:hAnsi="Segoe UI" w:eastAsia="Segoe UI" w:cs="Segoe UI"/>
                <w:b/>
                <w:bCs/>
                <w:i w:val="0"/>
                <w:iCs w:val="0"/>
                <w:caps w:val="0"/>
                <w:color w:val="415462"/>
                <w:spacing w:val="0"/>
                <w:kern w:val="0"/>
                <w:sz w:val="24"/>
                <w:szCs w:val="24"/>
                <w:lang w:val="en-US" w:eastAsia="zh-CN" w:bidi="ar"/>
              </w:rPr>
              <w:t>系统集成测试与现场调试</w:t>
            </w:r>
          </w:p>
        </w:tc>
        <w:tc>
          <w:tcPr>
            <w:tcW w:w="1734" w:type="dxa"/>
            <w:noWrap w:val="0"/>
            <w:vAlign w:val="center"/>
          </w:tcPr>
          <w:p>
            <w:pPr>
              <w:keepNext w:val="0"/>
              <w:keepLines w:val="0"/>
              <w:widowControl/>
              <w:suppressLineNumbers w:val="0"/>
              <w:ind w:left="0" w:leftChars="0" w:firstLine="0" w:firstLineChars="0"/>
              <w:jc w:val="left"/>
              <w:rPr>
                <w:sz w:val="24"/>
              </w:rPr>
            </w:pPr>
            <w:r>
              <w:rPr>
                <w:rFonts w:hint="default" w:ascii="Segoe UI" w:hAnsi="Segoe UI" w:eastAsia="Segoe UI" w:cs="Segoe UI"/>
                <w:i w:val="0"/>
                <w:iCs w:val="0"/>
                <w:caps w:val="0"/>
                <w:color w:val="415462"/>
                <w:spacing w:val="0"/>
                <w:kern w:val="0"/>
                <w:sz w:val="24"/>
                <w:szCs w:val="24"/>
                <w:lang w:val="en-US" w:eastAsia="zh-CN" w:bidi="ar"/>
              </w:rPr>
              <w:t>采购结果确定后5月内</w:t>
            </w:r>
          </w:p>
        </w:tc>
        <w:tc>
          <w:tcPr>
            <w:tcW w:w="5358" w:type="dxa"/>
            <w:noWrap w:val="0"/>
            <w:vAlign w:val="center"/>
          </w:tcPr>
          <w:p>
            <w:pPr>
              <w:keepNext w:val="0"/>
              <w:keepLines w:val="0"/>
              <w:widowControl/>
              <w:suppressLineNumbers w:val="0"/>
              <w:ind w:left="0" w:leftChars="0" w:firstLine="0" w:firstLineChars="0"/>
              <w:jc w:val="left"/>
              <w:rPr>
                <w:rFonts w:hint="default" w:ascii="Times New Roman" w:eastAsia="宋体"/>
                <w:kern w:val="2"/>
                <w:sz w:val="21"/>
                <w:szCs w:val="21"/>
                <w:lang w:val="en-US" w:eastAsia="zh-CN"/>
              </w:rPr>
            </w:pPr>
            <w:r>
              <w:rPr>
                <w:rFonts w:hint="default" w:ascii="Segoe UI" w:hAnsi="Segoe UI" w:eastAsia="Segoe UI" w:cs="Segoe UI"/>
                <w:i w:val="0"/>
                <w:iCs w:val="0"/>
                <w:caps w:val="0"/>
                <w:color w:val="415462"/>
                <w:spacing w:val="0"/>
                <w:kern w:val="0"/>
                <w:sz w:val="24"/>
                <w:szCs w:val="24"/>
                <w:lang w:val="en-US" w:eastAsia="zh-CN" w:bidi="ar"/>
              </w:rPr>
              <w:t>主要内容：（1）完成系统功能测试、性能测试及安全测试；（2）现场部署调试，验证车辆数据传输与展示功能；（3）优化系统稳定性与用户体验；（4）编写用户操作手册。交付项：（1）系统测试报告1份；（2）智能助手系统安装包1套；（3）用户操作手册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pPr>
              <w:keepNext w:val="0"/>
              <w:keepLines w:val="0"/>
              <w:widowControl/>
              <w:suppressLineNumbers w:val="0"/>
              <w:ind w:left="0" w:leftChars="0" w:firstLine="0" w:firstLineChars="0"/>
              <w:jc w:val="left"/>
              <w:rPr>
                <w:rFonts w:ascii="Times New Roman"/>
                <w:highlight w:val="none"/>
              </w:rPr>
            </w:pPr>
            <w:r>
              <w:rPr>
                <w:rStyle w:val="15"/>
                <w:rFonts w:hint="default" w:ascii="Segoe UI" w:hAnsi="Segoe UI" w:eastAsia="Segoe UI" w:cs="Segoe UI"/>
                <w:b/>
                <w:bCs/>
                <w:i w:val="0"/>
                <w:iCs w:val="0"/>
                <w:caps w:val="0"/>
                <w:color w:val="415462"/>
                <w:spacing w:val="0"/>
                <w:kern w:val="0"/>
                <w:sz w:val="24"/>
                <w:szCs w:val="24"/>
                <w:lang w:val="en-US" w:eastAsia="zh-CN" w:bidi="ar"/>
              </w:rPr>
              <w:t>项目验收</w:t>
            </w:r>
          </w:p>
        </w:tc>
        <w:tc>
          <w:tcPr>
            <w:tcW w:w="1734" w:type="dxa"/>
            <w:noWrap w:val="0"/>
            <w:vAlign w:val="center"/>
          </w:tcPr>
          <w:p>
            <w:pPr>
              <w:keepNext w:val="0"/>
              <w:keepLines w:val="0"/>
              <w:widowControl/>
              <w:suppressLineNumbers w:val="0"/>
              <w:ind w:left="0" w:leftChars="0" w:firstLine="0" w:firstLineChars="0"/>
              <w:jc w:val="left"/>
              <w:rPr>
                <w:sz w:val="24"/>
                <w:highlight w:val="none"/>
              </w:rPr>
            </w:pPr>
            <w:r>
              <w:rPr>
                <w:rFonts w:hint="default" w:ascii="Segoe UI" w:hAnsi="Segoe UI" w:eastAsia="Segoe UI" w:cs="Segoe UI"/>
                <w:i w:val="0"/>
                <w:iCs w:val="0"/>
                <w:caps w:val="0"/>
                <w:color w:val="415462"/>
                <w:spacing w:val="0"/>
                <w:kern w:val="0"/>
                <w:sz w:val="24"/>
                <w:szCs w:val="24"/>
                <w:lang w:val="en-US" w:eastAsia="zh-CN" w:bidi="ar"/>
              </w:rPr>
              <w:t>2026年12月</w:t>
            </w:r>
          </w:p>
        </w:tc>
        <w:tc>
          <w:tcPr>
            <w:tcW w:w="5358" w:type="dxa"/>
            <w:noWrap w:val="0"/>
            <w:vAlign w:val="center"/>
          </w:tcPr>
          <w:p>
            <w:pPr>
              <w:keepNext w:val="0"/>
              <w:keepLines w:val="0"/>
              <w:widowControl/>
              <w:suppressLineNumbers w:val="0"/>
              <w:ind w:left="0" w:leftChars="0" w:firstLine="0" w:firstLineChars="0"/>
              <w:jc w:val="left"/>
              <w:rPr>
                <w:rFonts w:ascii="Times New Roman"/>
                <w:highlight w:val="none"/>
              </w:rPr>
            </w:pPr>
            <w:r>
              <w:rPr>
                <w:rFonts w:hint="default" w:ascii="Segoe UI" w:hAnsi="Segoe UI" w:eastAsia="Segoe UI" w:cs="Segoe UI"/>
                <w:i w:val="0"/>
                <w:iCs w:val="0"/>
                <w:caps w:val="0"/>
                <w:color w:val="415462"/>
                <w:spacing w:val="0"/>
                <w:kern w:val="0"/>
                <w:sz w:val="24"/>
                <w:szCs w:val="24"/>
                <w:lang w:val="en-US" w:eastAsia="zh-CN" w:bidi="ar"/>
              </w:rPr>
              <w:t>主要内容：项目结题验收。交付项：（1）项目研究报告1份；（2）专利受理通知书1项；（3）项目验收材料全套。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pPr>
              <w:keepNext w:val="0"/>
              <w:keepLines w:val="0"/>
              <w:widowControl/>
              <w:suppressLineNumbers w:val="0"/>
              <w:ind w:left="0" w:leftChars="0" w:firstLine="0" w:firstLineChars="0"/>
              <w:jc w:val="left"/>
              <w:rPr>
                <w:rFonts w:ascii="Times New Roman"/>
                <w:highlight w:val="none"/>
              </w:rPr>
            </w:pPr>
            <w:r>
              <w:rPr>
                <w:rStyle w:val="15"/>
                <w:rFonts w:hint="default" w:ascii="Segoe UI" w:hAnsi="Segoe UI" w:eastAsia="Segoe UI" w:cs="Segoe UI"/>
                <w:b/>
                <w:bCs/>
                <w:i w:val="0"/>
                <w:iCs w:val="0"/>
                <w:caps w:val="0"/>
                <w:color w:val="415462"/>
                <w:spacing w:val="0"/>
                <w:kern w:val="0"/>
                <w:sz w:val="24"/>
                <w:szCs w:val="24"/>
                <w:lang w:val="en-US" w:eastAsia="zh-CN" w:bidi="ar"/>
              </w:rPr>
              <w:t>需求调研与系统设计</w:t>
            </w:r>
          </w:p>
        </w:tc>
        <w:tc>
          <w:tcPr>
            <w:tcW w:w="1734" w:type="dxa"/>
            <w:noWrap w:val="0"/>
            <w:vAlign w:val="center"/>
          </w:tcPr>
          <w:p>
            <w:pPr>
              <w:keepNext w:val="0"/>
              <w:keepLines w:val="0"/>
              <w:widowControl/>
              <w:suppressLineNumbers w:val="0"/>
              <w:ind w:left="0" w:leftChars="0" w:firstLine="0" w:firstLineChars="0"/>
              <w:jc w:val="left"/>
              <w:rPr>
                <w:sz w:val="24"/>
                <w:highlight w:val="none"/>
              </w:rPr>
            </w:pPr>
            <w:r>
              <w:rPr>
                <w:rFonts w:hint="default" w:ascii="Segoe UI" w:hAnsi="Segoe UI" w:eastAsia="Segoe UI" w:cs="Segoe UI"/>
                <w:i w:val="0"/>
                <w:iCs w:val="0"/>
                <w:caps w:val="0"/>
                <w:color w:val="415462"/>
                <w:spacing w:val="0"/>
                <w:kern w:val="0"/>
                <w:sz w:val="24"/>
                <w:szCs w:val="24"/>
                <w:lang w:val="en-US" w:eastAsia="zh-CN" w:bidi="ar"/>
              </w:rPr>
              <w:t>采购结果确定后1月内</w:t>
            </w:r>
          </w:p>
        </w:tc>
        <w:tc>
          <w:tcPr>
            <w:tcW w:w="5358" w:type="dxa"/>
            <w:noWrap w:val="0"/>
            <w:vAlign w:val="center"/>
          </w:tcPr>
          <w:p>
            <w:pPr>
              <w:keepNext w:val="0"/>
              <w:keepLines w:val="0"/>
              <w:widowControl/>
              <w:suppressLineNumbers w:val="0"/>
              <w:ind w:left="0" w:leftChars="0" w:firstLine="0" w:firstLineChars="0"/>
              <w:jc w:val="left"/>
              <w:rPr>
                <w:rFonts w:ascii="Times New Roman"/>
                <w:highlight w:val="none"/>
              </w:rPr>
            </w:pPr>
            <w:r>
              <w:rPr>
                <w:rFonts w:hint="default" w:ascii="Segoe UI" w:hAnsi="Segoe UI" w:eastAsia="Segoe UI" w:cs="Segoe UI"/>
                <w:i w:val="0"/>
                <w:iCs w:val="0"/>
                <w:caps w:val="0"/>
                <w:color w:val="415462"/>
                <w:spacing w:val="0"/>
                <w:kern w:val="0"/>
                <w:sz w:val="24"/>
                <w:szCs w:val="24"/>
                <w:lang w:val="en-US" w:eastAsia="zh-CN" w:bidi="ar"/>
              </w:rPr>
              <w:t>主要内容：（1）调研车辆现状及数智彩虹、E报表等平台接口规范；（2）分析后勤调度与现场作业人员业务需求；（3）完成系统总体架构设计、数据库设计及接口设计方案；（4）组织设计方案评审。交付项：系统设计方案1份。</w:t>
            </w:r>
          </w:p>
        </w:tc>
      </w:tr>
    </w:tbl>
    <w:p>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7</w:t>
      </w:r>
      <w:r>
        <w:rPr>
          <w:rFonts w:hint="eastAsia" w:ascii="黑体" w:hAnsi="黑体" w:eastAsia="黑体" w:cs="黑体"/>
          <w:b/>
          <w:bCs/>
          <w:sz w:val="28"/>
          <w:szCs w:val="36"/>
        </w:rPr>
        <w:t>.项目验收</w:t>
      </w:r>
      <w:bookmarkEnd w:id="29"/>
      <w:bookmarkEnd w:id="30"/>
      <w:bookmarkEnd w:id="31"/>
      <w:bookmarkEnd w:id="32"/>
      <w:bookmarkEnd w:id="33"/>
      <w:bookmarkEnd w:id="34"/>
      <w:bookmarkEnd w:id="35"/>
    </w:p>
    <w:p>
      <w:pPr>
        <w:rPr>
          <w:rFonts w:ascii="宋体" w:hAnsi="宋体" w:cs="宋体"/>
          <w:sz w:val="24"/>
        </w:rPr>
      </w:pPr>
      <w:r>
        <w:rPr>
          <w:rFonts w:hint="eastAsia" w:ascii="宋体" w:hAnsi="宋体" w:cs="宋体"/>
          <w:sz w:val="24"/>
          <w:lang w:val="en-US" w:eastAsia="zh-CN"/>
        </w:rPr>
        <w:t>7</w:t>
      </w:r>
      <w:r>
        <w:rPr>
          <w:rFonts w:hint="eastAsia" w:ascii="宋体" w:hAnsi="宋体" w:cs="宋体"/>
          <w:sz w:val="24"/>
        </w:rPr>
        <w:t>.1项目验收。投标方在自评具备验收条件后提出验收申请，招标方在收到验收申请后组织专家对所有项目材料和相关成果进行评审，开展项目验收。项目验收后，验收人员将根据实际情况提出验收报告，如若有需要整改的内容，投标方在验收后应主动配合招标方严格按照整改意见进行整改完善。</w:t>
      </w:r>
    </w:p>
    <w:p>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8.</w:t>
      </w:r>
      <w:r>
        <w:rPr>
          <w:rFonts w:hint="eastAsia" w:ascii="黑体" w:hAnsi="黑体" w:eastAsia="黑体" w:cs="黑体"/>
          <w:b/>
          <w:bCs/>
          <w:sz w:val="28"/>
          <w:szCs w:val="36"/>
        </w:rPr>
        <w:t>其他要求</w:t>
      </w:r>
      <w:bookmarkEnd w:id="36"/>
    </w:p>
    <w:p>
      <w:pPr>
        <w:rPr>
          <w:rFonts w:ascii="宋体" w:hAnsi="宋体" w:cs="宋体"/>
          <w:sz w:val="24"/>
        </w:rPr>
      </w:pPr>
      <w:r>
        <w:rPr>
          <w:rFonts w:hint="eastAsia" w:ascii="宋体" w:hAnsi="宋体" w:cs="宋体"/>
          <w:sz w:val="24"/>
        </w:rPr>
        <w:t>本技术规范书中的未尽事宜，请与中国南方电网有限责任公司超高压输电公司南宁局联系。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4"/>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0177AE"/>
    <w:rsid w:val="00082A13"/>
    <w:rsid w:val="000A3B84"/>
    <w:rsid w:val="000B5C76"/>
    <w:rsid w:val="00103E7B"/>
    <w:rsid w:val="00122F3E"/>
    <w:rsid w:val="00134895"/>
    <w:rsid w:val="00146961"/>
    <w:rsid w:val="00180D33"/>
    <w:rsid w:val="00216FE8"/>
    <w:rsid w:val="0028440A"/>
    <w:rsid w:val="00291379"/>
    <w:rsid w:val="002A457E"/>
    <w:rsid w:val="00385919"/>
    <w:rsid w:val="003A4DD8"/>
    <w:rsid w:val="00452C8A"/>
    <w:rsid w:val="004A72AF"/>
    <w:rsid w:val="004C0933"/>
    <w:rsid w:val="00513DAD"/>
    <w:rsid w:val="00531528"/>
    <w:rsid w:val="00533971"/>
    <w:rsid w:val="00536D1C"/>
    <w:rsid w:val="005641EA"/>
    <w:rsid w:val="00583545"/>
    <w:rsid w:val="0058678F"/>
    <w:rsid w:val="00595297"/>
    <w:rsid w:val="005C42BD"/>
    <w:rsid w:val="005C7AAE"/>
    <w:rsid w:val="00633F47"/>
    <w:rsid w:val="00640D75"/>
    <w:rsid w:val="006852F9"/>
    <w:rsid w:val="006D6C23"/>
    <w:rsid w:val="006F59F4"/>
    <w:rsid w:val="007157BD"/>
    <w:rsid w:val="007318D0"/>
    <w:rsid w:val="00746122"/>
    <w:rsid w:val="007C6002"/>
    <w:rsid w:val="007D39A6"/>
    <w:rsid w:val="0081520A"/>
    <w:rsid w:val="00825484"/>
    <w:rsid w:val="008806DD"/>
    <w:rsid w:val="009062CC"/>
    <w:rsid w:val="00921326"/>
    <w:rsid w:val="009622E8"/>
    <w:rsid w:val="009648F6"/>
    <w:rsid w:val="00975AE9"/>
    <w:rsid w:val="009B6782"/>
    <w:rsid w:val="009D048B"/>
    <w:rsid w:val="00A17398"/>
    <w:rsid w:val="00A34D7E"/>
    <w:rsid w:val="00A5073F"/>
    <w:rsid w:val="00A9312B"/>
    <w:rsid w:val="00AA6538"/>
    <w:rsid w:val="00AA7138"/>
    <w:rsid w:val="00B5473C"/>
    <w:rsid w:val="00B548A2"/>
    <w:rsid w:val="00C50F57"/>
    <w:rsid w:val="00CA3628"/>
    <w:rsid w:val="00CC1C57"/>
    <w:rsid w:val="00D235DA"/>
    <w:rsid w:val="00D620BA"/>
    <w:rsid w:val="00D70460"/>
    <w:rsid w:val="00DA4BCD"/>
    <w:rsid w:val="00DB19A9"/>
    <w:rsid w:val="00DD2B82"/>
    <w:rsid w:val="00DD609C"/>
    <w:rsid w:val="00E4648D"/>
    <w:rsid w:val="00E54E64"/>
    <w:rsid w:val="00EA1831"/>
    <w:rsid w:val="00F11A8A"/>
    <w:rsid w:val="00F71D64"/>
    <w:rsid w:val="00F73F8D"/>
    <w:rsid w:val="00FA086C"/>
    <w:rsid w:val="00FB4F1D"/>
    <w:rsid w:val="01543C57"/>
    <w:rsid w:val="04340829"/>
    <w:rsid w:val="06D27AF8"/>
    <w:rsid w:val="06F2484F"/>
    <w:rsid w:val="0A210078"/>
    <w:rsid w:val="0C030754"/>
    <w:rsid w:val="0CA05D46"/>
    <w:rsid w:val="0F966A31"/>
    <w:rsid w:val="10550F6F"/>
    <w:rsid w:val="128F30ED"/>
    <w:rsid w:val="12BD66DE"/>
    <w:rsid w:val="13132954"/>
    <w:rsid w:val="163A1216"/>
    <w:rsid w:val="166F3EB8"/>
    <w:rsid w:val="191A5617"/>
    <w:rsid w:val="1A0A5C1B"/>
    <w:rsid w:val="1BD511FB"/>
    <w:rsid w:val="1F8A11CF"/>
    <w:rsid w:val="20F20322"/>
    <w:rsid w:val="22431066"/>
    <w:rsid w:val="23D05B4F"/>
    <w:rsid w:val="27FA20BD"/>
    <w:rsid w:val="28677108"/>
    <w:rsid w:val="2AEE2FCE"/>
    <w:rsid w:val="2C0D5456"/>
    <w:rsid w:val="2C4C628B"/>
    <w:rsid w:val="2D630FAE"/>
    <w:rsid w:val="2DB575CA"/>
    <w:rsid w:val="2E9A689E"/>
    <w:rsid w:val="2F036DE8"/>
    <w:rsid w:val="2F8649A3"/>
    <w:rsid w:val="30936BC2"/>
    <w:rsid w:val="319B592F"/>
    <w:rsid w:val="33A11AE7"/>
    <w:rsid w:val="33F27DDD"/>
    <w:rsid w:val="34574C85"/>
    <w:rsid w:val="35577297"/>
    <w:rsid w:val="36515C79"/>
    <w:rsid w:val="373C54BB"/>
    <w:rsid w:val="37643739"/>
    <w:rsid w:val="37E33064"/>
    <w:rsid w:val="3B016E25"/>
    <w:rsid w:val="3B4F326E"/>
    <w:rsid w:val="3C0F5DF2"/>
    <w:rsid w:val="3EF75647"/>
    <w:rsid w:val="3FC46A7B"/>
    <w:rsid w:val="40C512FC"/>
    <w:rsid w:val="428F0505"/>
    <w:rsid w:val="42C6746E"/>
    <w:rsid w:val="42EE5CD4"/>
    <w:rsid w:val="45D97826"/>
    <w:rsid w:val="45F20916"/>
    <w:rsid w:val="46927C50"/>
    <w:rsid w:val="48736764"/>
    <w:rsid w:val="48D82303"/>
    <w:rsid w:val="4D3F13B6"/>
    <w:rsid w:val="4DFF75F2"/>
    <w:rsid w:val="512F5EAF"/>
    <w:rsid w:val="52420D12"/>
    <w:rsid w:val="56061A78"/>
    <w:rsid w:val="5643156F"/>
    <w:rsid w:val="57AF48B9"/>
    <w:rsid w:val="592823C4"/>
    <w:rsid w:val="592C035C"/>
    <w:rsid w:val="5981212C"/>
    <w:rsid w:val="5B187842"/>
    <w:rsid w:val="5D615387"/>
    <w:rsid w:val="61C27952"/>
    <w:rsid w:val="6212562E"/>
    <w:rsid w:val="62DB3950"/>
    <w:rsid w:val="62F53AC8"/>
    <w:rsid w:val="637B25C6"/>
    <w:rsid w:val="63D72C4E"/>
    <w:rsid w:val="66FE4F15"/>
    <w:rsid w:val="69A41DA4"/>
    <w:rsid w:val="69BA736E"/>
    <w:rsid w:val="6A5A6906"/>
    <w:rsid w:val="6BCF0AA5"/>
    <w:rsid w:val="6BEF5D56"/>
    <w:rsid w:val="6C17004B"/>
    <w:rsid w:val="6E062826"/>
    <w:rsid w:val="6F0B1CE7"/>
    <w:rsid w:val="6F664872"/>
    <w:rsid w:val="6F942155"/>
    <w:rsid w:val="704439AD"/>
    <w:rsid w:val="74366DF1"/>
    <w:rsid w:val="74F35D39"/>
    <w:rsid w:val="75083064"/>
    <w:rsid w:val="75110011"/>
    <w:rsid w:val="7CCD3754"/>
    <w:rsid w:val="7D5140B3"/>
    <w:rsid w:val="7ECD2D40"/>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paragraph" w:styleId="5">
    <w:name w:val="heading 4"/>
    <w:basedOn w:val="1"/>
    <w:next w:val="1"/>
    <w:semiHidden/>
    <w:unhideWhenUsed/>
    <w:qFormat/>
    <w:uiPriority w:val="0"/>
    <w:pPr>
      <w:spacing w:beforeAutospacing="1" w:afterAutospacing="1"/>
      <w:outlineLvl w:val="3"/>
    </w:pPr>
    <w:rPr>
      <w:rFonts w:hint="eastAsia" w:ascii="宋体" w:hAnsi="宋体"/>
      <w:b/>
      <w:bCs/>
      <w:kern w:val="0"/>
      <w:sz w:val="2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pPr>
  </w:style>
  <w:style w:type="paragraph" w:styleId="3">
    <w:name w:val="Body Text Indent"/>
    <w:basedOn w:val="1"/>
    <w:unhideWhenUsed/>
    <w:qFormat/>
    <w:uiPriority w:val="99"/>
    <w:pPr>
      <w:spacing w:after="120"/>
      <w:ind w:left="420" w:leftChars="200"/>
    </w:pPr>
  </w:style>
  <w:style w:type="paragraph" w:styleId="6">
    <w:name w:val="Body Text"/>
    <w:basedOn w:val="7"/>
    <w:next w:val="7"/>
    <w:qFormat/>
    <w:uiPriority w:val="99"/>
    <w:pPr>
      <w:ind w:firstLine="880" w:firstLineChars="200"/>
    </w:pPr>
    <w:rPr>
      <w:rFonts w:ascii="仿宋_GB2312" w:hAnsi="仿宋_GB2312" w:eastAsia="仿宋_GB2312" w:cs="Arial"/>
      <w:sz w:val="32"/>
      <w:szCs w:val="20"/>
    </w:rPr>
  </w:style>
  <w:style w:type="paragraph" w:styleId="7">
    <w:name w:val="Title"/>
    <w:basedOn w:val="1"/>
    <w:next w:val="1"/>
    <w:qFormat/>
    <w:uiPriority w:val="99"/>
    <w:pPr>
      <w:spacing w:before="240" w:after="60"/>
      <w:jc w:val="center"/>
      <w:outlineLvl w:val="0"/>
    </w:pPr>
    <w:rPr>
      <w:rFonts w:ascii="Arial" w:hAnsi="Arial"/>
      <w:b/>
      <w:bCs/>
      <w:sz w:val="32"/>
      <w:szCs w:val="32"/>
    </w:rPr>
  </w:style>
  <w:style w:type="paragraph" w:styleId="8">
    <w:name w:val="Plain Text"/>
    <w:basedOn w:val="1"/>
    <w:qFormat/>
    <w:uiPriority w:val="0"/>
    <w:rPr>
      <w:rFonts w:ascii="宋体" w:hAnsi="Courier New"/>
      <w:szCs w:val="21"/>
    </w:rPr>
  </w:style>
  <w:style w:type="paragraph" w:styleId="9">
    <w:name w:val="footer"/>
    <w:basedOn w:val="1"/>
    <w:qFormat/>
    <w:uiPriority w:val="99"/>
    <w:pPr>
      <w:tabs>
        <w:tab w:val="center" w:pos="4153"/>
        <w:tab w:val="right" w:pos="8306"/>
      </w:tabs>
      <w:snapToGrid w:val="0"/>
    </w:pPr>
    <w:rPr>
      <w:sz w:val="18"/>
      <w:szCs w:val="18"/>
    </w:rPr>
  </w:style>
  <w:style w:type="paragraph" w:styleId="10">
    <w:name w:val="toc 2"/>
    <w:basedOn w:val="1"/>
    <w:next w:val="1"/>
    <w:unhideWhenUsed/>
    <w:qFormat/>
    <w:uiPriority w:val="39"/>
    <w:pPr>
      <w:widowControl/>
      <w:spacing w:after="100" w:line="259" w:lineRule="auto"/>
      <w:ind w:left="220"/>
    </w:pPr>
    <w:rPr>
      <w:kern w:val="0"/>
      <w:sz w:val="22"/>
    </w:rPr>
  </w:style>
  <w:style w:type="paragraph" w:styleId="11">
    <w:name w:val="Normal (Web)"/>
    <w:basedOn w:val="1"/>
    <w:qFormat/>
    <w:uiPriority w:val="0"/>
    <w:pPr>
      <w:spacing w:beforeAutospacing="1" w:afterAutospacing="1"/>
    </w:pPr>
    <w:rPr>
      <w:kern w:val="0"/>
      <w:sz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bCs/>
    </w:rPr>
  </w:style>
  <w:style w:type="character" w:styleId="16">
    <w:name w:val="FollowedHyperlink"/>
    <w:basedOn w:val="14"/>
    <w:qFormat/>
    <w:uiPriority w:val="0"/>
    <w:rPr>
      <w:color w:val="696969"/>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Variable"/>
    <w:basedOn w:val="14"/>
    <w:qFormat/>
    <w:uiPriority w:val="0"/>
  </w:style>
  <w:style w:type="character" w:styleId="20">
    <w:name w:val="Hyperlink"/>
    <w:basedOn w:val="14"/>
    <w:qFormat/>
    <w:uiPriority w:val="0"/>
    <w:rPr>
      <w:color w:val="696969"/>
      <w:u w:val="none"/>
    </w:rPr>
  </w:style>
  <w:style w:type="character" w:styleId="21">
    <w:name w:val="HTML Code"/>
    <w:basedOn w:val="14"/>
    <w:qFormat/>
    <w:uiPriority w:val="0"/>
    <w:rPr>
      <w:rFonts w:ascii="Courier New" w:hAnsi="Courier New"/>
      <w:sz w:val="20"/>
    </w:rPr>
  </w:style>
  <w:style w:type="character" w:styleId="22">
    <w:name w:val="HTML Cite"/>
    <w:basedOn w:val="14"/>
    <w:qFormat/>
    <w:uiPriority w:val="0"/>
    <w:rPr>
      <w:rFonts w:ascii="Helvetica" w:hAnsi="Helvetica" w:eastAsia="Helvetica" w:cs="Helvetica"/>
      <w:sz w:val="19"/>
      <w:szCs w:val="19"/>
    </w:rPr>
  </w:style>
  <w:style w:type="character" w:styleId="23">
    <w:name w:val="HTML Keyboard"/>
    <w:basedOn w:val="14"/>
    <w:qFormat/>
    <w:uiPriority w:val="0"/>
    <w:rPr>
      <w:rFonts w:ascii="Courier New" w:hAnsi="Courier New"/>
      <w:sz w:val="20"/>
    </w:rPr>
  </w:style>
  <w:style w:type="character" w:styleId="24">
    <w:name w:val="HTML Sample"/>
    <w:basedOn w:val="14"/>
    <w:qFormat/>
    <w:uiPriority w:val="0"/>
    <w:rPr>
      <w:rFonts w:ascii="Courier New" w:hAnsi="Courier New"/>
    </w:rPr>
  </w:style>
  <w:style w:type="character" w:customStyle="1" w:styleId="25">
    <w:name w:val="hover2"/>
    <w:basedOn w:val="14"/>
    <w:qFormat/>
    <w:uiPriority w:val="0"/>
    <w:rPr>
      <w:color w:val="333333"/>
      <w:u w:val="single"/>
    </w:rPr>
  </w:style>
  <w:style w:type="paragraph" w:customStyle="1" w:styleId="26">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7">
    <w:name w:val="after8"/>
    <w:basedOn w:val="14"/>
    <w:qFormat/>
    <w:uiPriority w:val="0"/>
    <w:rPr>
      <w:bdr w:val="dashed" w:color="auto" w:sz="48" w:space="0"/>
    </w:rPr>
  </w:style>
  <w:style w:type="character" w:customStyle="1" w:styleId="28">
    <w:name w:val="after9"/>
    <w:basedOn w:val="14"/>
    <w:qFormat/>
    <w:uiPriority w:val="0"/>
  </w:style>
  <w:style w:type="character" w:customStyle="1" w:styleId="29">
    <w:name w:val="hover52"/>
    <w:basedOn w:val="14"/>
    <w:qFormat/>
    <w:uiPriority w:val="0"/>
  </w:style>
  <w:style w:type="character" w:customStyle="1" w:styleId="30">
    <w:name w:val="hover53"/>
    <w:basedOn w:val="14"/>
    <w:qFormat/>
    <w:uiPriority w:val="0"/>
    <w:rPr>
      <w:shd w:val="clear" w:color="auto" w:fill="2590FF"/>
    </w:rPr>
  </w:style>
  <w:style w:type="character" w:customStyle="1" w:styleId="31">
    <w:name w:val="hover54"/>
    <w:basedOn w:val="14"/>
    <w:qFormat/>
    <w:uiPriority w:val="0"/>
    <w:rPr>
      <w:color w:val="4285F4"/>
    </w:rPr>
  </w:style>
  <w:style w:type="character" w:customStyle="1" w:styleId="32">
    <w:name w:val="hover55"/>
    <w:basedOn w:val="14"/>
    <w:qFormat/>
    <w:uiPriority w:val="0"/>
    <w:rPr>
      <w:color w:val="2590FF"/>
      <w:u w:val="none"/>
    </w:rPr>
  </w:style>
  <w:style w:type="character" w:customStyle="1" w:styleId="33">
    <w:name w:val="hover56"/>
    <w:basedOn w:val="14"/>
    <w:qFormat/>
    <w:uiPriority w:val="0"/>
    <w:rPr>
      <w:color w:val="2590FF"/>
    </w:rPr>
  </w:style>
  <w:style w:type="character" w:customStyle="1" w:styleId="34">
    <w:name w:val="hover57"/>
    <w:basedOn w:val="14"/>
    <w:qFormat/>
    <w:uiPriority w:val="0"/>
    <w:rPr>
      <w:color w:val="1A85D7"/>
    </w:rPr>
  </w:style>
  <w:style w:type="character" w:customStyle="1" w:styleId="35">
    <w:name w:val="empty"/>
    <w:basedOn w:val="14"/>
    <w:qFormat/>
    <w:uiPriority w:val="0"/>
  </w:style>
  <w:style w:type="character" w:customStyle="1" w:styleId="36">
    <w:name w:val="before"/>
    <w:basedOn w:val="14"/>
    <w:qFormat/>
    <w:uiPriority w:val="0"/>
    <w:rPr>
      <w:bdr w:val="single" w:color="auto" w:sz="48" w:space="0"/>
    </w:rPr>
  </w:style>
  <w:style w:type="character" w:customStyle="1" w:styleId="37">
    <w:name w:val="before1"/>
    <w:basedOn w:val="14"/>
    <w:qFormat/>
    <w:uiPriority w:val="0"/>
    <w:rPr>
      <w:shd w:val="clear" w:color="auto" w:fill="D8D8D8"/>
    </w:rPr>
  </w:style>
  <w:style w:type="character" w:customStyle="1" w:styleId="38">
    <w:name w:val="credit"/>
    <w:basedOn w:val="14"/>
    <w:qFormat/>
    <w:uiPriority w:val="0"/>
    <w:rPr>
      <w:sz w:val="18"/>
      <w:szCs w:val="18"/>
    </w:rPr>
  </w:style>
  <w:style w:type="character" w:customStyle="1" w:styleId="39">
    <w:name w:val="last-child1"/>
    <w:basedOn w:val="14"/>
    <w:qFormat/>
    <w:uiPriority w:val="0"/>
  </w:style>
  <w:style w:type="character" w:customStyle="1" w:styleId="40">
    <w:name w:val="active"/>
    <w:basedOn w:val="14"/>
    <w:qFormat/>
    <w:uiPriority w:val="0"/>
    <w:rPr>
      <w:color w:val="4285F4"/>
      <w:bdr w:val="single" w:color="4285F4" w:sz="6" w:space="0"/>
    </w:rPr>
  </w:style>
  <w:style w:type="character" w:customStyle="1" w:styleId="41">
    <w:name w:val="lui-classic-hidden"/>
    <w:basedOn w:val="14"/>
    <w:qFormat/>
    <w:uiPriority w:val="0"/>
    <w:rPr>
      <w:vanish/>
    </w:rPr>
  </w:style>
  <w:style w:type="character" w:customStyle="1" w:styleId="42">
    <w:name w:val="radio-label"/>
    <w:basedOn w:val="14"/>
    <w:qFormat/>
    <w:uiPriority w:val="0"/>
    <w:rPr>
      <w:sz w:val="24"/>
      <w:szCs w:val="24"/>
    </w:rPr>
  </w:style>
  <w:style w:type="character" w:customStyle="1" w:styleId="43">
    <w:name w:val="first-child"/>
    <w:basedOn w:val="14"/>
    <w:qFormat/>
    <w:uiPriority w:val="0"/>
  </w:style>
  <w:style w:type="character" w:customStyle="1" w:styleId="44">
    <w:name w:val="after"/>
    <w:basedOn w:val="14"/>
    <w:qFormat/>
    <w:uiPriority w:val="0"/>
    <w:rPr>
      <w:bdr w:val="dashed" w:color="auto" w:sz="48" w:space="0"/>
    </w:rPr>
  </w:style>
  <w:style w:type="character" w:customStyle="1" w:styleId="45">
    <w:name w:val="after1"/>
    <w:basedOn w:val="14"/>
    <w:qFormat/>
    <w:uiPriority w:val="0"/>
  </w:style>
  <w:style w:type="character" w:customStyle="1" w:styleId="46">
    <w:name w:val="hover"/>
    <w:basedOn w:val="14"/>
    <w:qFormat/>
    <w:uiPriority w:val="0"/>
    <w:rPr>
      <w:shd w:val="clear" w:color="auto" w:fill="2590FF"/>
    </w:rPr>
  </w:style>
  <w:style w:type="character" w:customStyle="1" w:styleId="47">
    <w:name w:val="hover1"/>
    <w:basedOn w:val="14"/>
    <w:qFormat/>
    <w:uiPriority w:val="0"/>
  </w:style>
  <w:style w:type="character" w:customStyle="1" w:styleId="48">
    <w:name w:val="hover3"/>
    <w:basedOn w:val="14"/>
    <w:qFormat/>
    <w:uiPriority w:val="0"/>
    <w:rPr>
      <w:color w:val="2590FF"/>
    </w:rPr>
  </w:style>
  <w:style w:type="character" w:customStyle="1" w:styleId="49">
    <w:name w:val="hover4"/>
    <w:basedOn w:val="14"/>
    <w:qFormat/>
    <w:uiPriority w:val="0"/>
    <w:rPr>
      <w:color w:val="2590FF"/>
      <w:u w:val="none"/>
    </w:rPr>
  </w:style>
  <w:style w:type="character" w:customStyle="1" w:styleId="50">
    <w:name w:val="hover5"/>
    <w:basedOn w:val="14"/>
    <w:qFormat/>
    <w:uiPriority w:val="0"/>
    <w:rPr>
      <w:color w:val="1A85D7"/>
    </w:rPr>
  </w:style>
  <w:style w:type="character" w:customStyle="1" w:styleId="51">
    <w:name w:val="last-child"/>
    <w:basedOn w:val="14"/>
    <w:qFormat/>
    <w:uiPriority w:val="0"/>
  </w:style>
  <w:style w:type="character" w:customStyle="1" w:styleId="52">
    <w:name w:val="active2"/>
    <w:basedOn w:val="14"/>
    <w:qFormat/>
    <w:uiPriority w:val="0"/>
    <w:rPr>
      <w:color w:val="4285F4"/>
      <w:bdr w:val="single" w:color="4285F4" w:sz="6" w:space="0"/>
    </w:rPr>
  </w:style>
  <w:style w:type="character" w:customStyle="1" w:styleId="53">
    <w:name w:val="qwen-markdown-text"/>
    <w:basedOn w:val="14"/>
    <w:qFormat/>
    <w:uiPriority w:val="0"/>
  </w:style>
  <w:style w:type="paragraph" w:customStyle="1" w:styleId="54">
    <w:name w:val="表格仿宋小四靠左"/>
    <w:basedOn w:val="1"/>
    <w:qFormat/>
    <w:uiPriority w:val="99"/>
    <w:rPr>
      <w:rFonts w:ascii="仿宋_GB2312" w:hAnsi="Times New Roman" w:eastAsia="仿宋_GB2312"/>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5169</Words>
  <Characters>5407</Characters>
  <Lines>122</Lines>
  <Paragraphs>127</Paragraphs>
  <TotalTime>1</TotalTime>
  <ScaleCrop>false</ScaleCrop>
  <LinksUpToDate>false</LinksUpToDate>
  <CharactersWithSpaces>5494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卢英俊</cp:lastModifiedBy>
  <dcterms:modified xsi:type="dcterms:W3CDTF">2026-07-22T06:19:20Z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5873278687674BF091178BC59529CDEB_13</vt:lpwstr>
  </property>
  <property fmtid="{D5CDD505-2E9C-101B-9397-08002B2CF9AE}" pid="4" name="KSOTemplateDocerSaveRecord">
    <vt:lpwstr>eyJoZGlkIjoiNmY3MTJkMmE3Zjc0ZDdmZWZhMmM3NDVjMjU0NDU1NjMiLCJ1c2VySWQiOiI0Mzk0MDkwMTkifQ==</vt:lpwstr>
  </property>
</Properties>
</file>