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sz w:val="32"/>
          <w:szCs w:val="32"/>
          <w:highlight w:val="none"/>
          <w:lang w:val="en-US" w:eastAsia="zh-CN"/>
        </w:rPr>
      </w:pPr>
      <w:r>
        <w:rPr>
          <w:rFonts w:hint="eastAsia"/>
          <w:sz w:val="32"/>
          <w:szCs w:val="32"/>
          <w:highlight w:val="none"/>
          <w:lang w:val="en-US" w:eastAsia="zh-CN"/>
        </w:rPr>
        <w:t>招标文件差异表</w:t>
      </w:r>
    </w:p>
    <w:p>
      <w:pPr>
        <w:rPr>
          <w:highlight w:val="none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9"/>
        <w:gridCol w:w="1335"/>
        <w:gridCol w:w="3349"/>
        <w:gridCol w:w="33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9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招标文件章节及条款号</w:t>
            </w:r>
          </w:p>
        </w:tc>
        <w:tc>
          <w:tcPr>
            <w:tcW w:w="334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变更前描述</w:t>
            </w:r>
          </w:p>
        </w:tc>
        <w:tc>
          <w:tcPr>
            <w:tcW w:w="3349" w:type="dxa"/>
            <w:vAlign w:val="center"/>
          </w:tcPr>
          <w:p>
            <w:pPr>
              <w:jc w:val="center"/>
              <w:rPr>
                <w:rFonts w:hint="default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变更后描述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9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jc w:val="both"/>
              <w:rPr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招标文件2.7其他关键要素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（3）结算方式</w:t>
            </w:r>
          </w:p>
        </w:tc>
        <w:tc>
          <w:tcPr>
            <w:tcW w:w="3349" w:type="dxa"/>
            <w:vAlign w:val="center"/>
          </w:tcPr>
          <w:p>
            <w:pPr>
              <w:jc w:val="both"/>
              <w:rPr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3.1 可行性研究或勘察设计费结算价款=结算时按照最新版《20kV 及以下配电网工程建设预算编制与计算规定》中设计费部分相关的收取标准×招标人按规定程序审定的竣工结算费用中的相关金额×中标费率。结算价款包含招标范围中所列明的有关设计部分的一切工作内容，对未完成工作内容所产生的一切费用不再额外支付。非投标方原因，招标方要求终止或解除订单合同，投标方已开始可行性研究工作的，招标方应根据投标方已进行的实际工作量，酌情支付一定的费用，但最高不超过暂定咨询报酬的 60% ；若已完成可研工作并获取可研批复后，因招标方原因无法进行下一阶段工作的，双方按照招标人按规定程序审定的可研估算中的可研费用*中标费率进行结算。</w:t>
            </w:r>
          </w:p>
        </w:tc>
        <w:tc>
          <w:tcPr>
            <w:tcW w:w="3349" w:type="dxa"/>
            <w:shd w:val="clear" w:color="auto" w:fill="auto"/>
            <w:vAlign w:val="center"/>
          </w:tcPr>
          <w:p>
            <w:pPr>
              <w:jc w:val="both"/>
              <w:rPr>
                <w:rFonts w:hint="eastAsia" w:eastAsia="宋体" w:asciiTheme="minorHAnsi" w:hAnsiTheme="minorHAnsi" w:cstheme="minorBidi"/>
                <w:kern w:val="2"/>
                <w:sz w:val="21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3.1 可行性研究或勘察设计费结算价款=结算时按照最新版《20kV 及以下配电网工程建设预算编制与计算规定》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及《工程勘查设计收费标准》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中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可研勘查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设计费部分相关的收取标准×招标人按规定程序审定的竣工结算费用中的相关金额×中标费率。结算价款包含招标范围中所列明的有关设计部分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的一切工作内容，对未完成工作内容所产生的一切费用不再额外支付。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对设计单位仅提供方案设计阶段的总平面布置及估算等资料，甲方单位自行或委托其他第三人开展可行性研究服务的，不予支付相关可行性研究服务费用。对设计单位应甲方要求，开展并提供收集已有资料、现场踏勘、制定勘察纲要，进行测绘、勘探、取样、试验、测试、检测、监测等勘察作业，以及编制工程勘察文件和岩土工程设计文件等服务的，按照建议内容支付相关费用；对于未开展或未提供相应勘查成果文件的，不予支付相关勘查费用。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非投标方原因，招标方要求终止或解除订单合同，投标方已开始可行性研究工作的，招标方应根据投标方已进行的实际工作量，酌情支付一定的费用，但最高不超过暂定咨询报酬的 60% ；若已完成可研工作并获取可研批复后，因招标方原因无法进行下一阶段工作的，双方按照招标人按规定程序审定的可研估算中的可研费用*中标费率进行结算。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9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335" w:type="dxa"/>
            <w:vAlign w:val="center"/>
          </w:tcPr>
          <w:p>
            <w:pPr>
              <w:jc w:val="both"/>
              <w:rPr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20kV及以下配网工程设计合同（2025年版）--[合同文本_20kV及以下配网工程设计合同（2025年版）]第三节 专用合同条款</w:t>
            </w:r>
          </w:p>
        </w:tc>
        <w:tc>
          <w:tcPr>
            <w:tcW w:w="3349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3.1.10 履约担保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设计人应于不迟于合同签订后14日内按合同附件格式或南网下属财务公司开具并提交履约保函，履约保函额度为合同价的5%，保证其履约保函在发包人颁发工程接收证书前一直有效。发包人应在工程接收证书颁发后28 天内把履约担保退还给设计人。</w:t>
            </w:r>
          </w:p>
        </w:tc>
        <w:tc>
          <w:tcPr>
            <w:tcW w:w="3349" w:type="dxa"/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3.1.10 履约担保</w:t>
            </w:r>
          </w:p>
          <w:p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设计人应于不迟于合同签订后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u w:val="singl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日内按合同附件格式或南网下属财务公司开具并提交履约保函，履约保函额度为合同价的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u w:val="singl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%，保证其履约保函在发包人颁发工程接收证书前一直有效。发包人应在工程接收证书颁发后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u w:val="singl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天内把履约担保退还给设计人。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9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20kV及以下配网工程设计合同（2025年版）--[合同文本_20kV及以下配网工程设计合同（2025年版）]第三节 专用合同条款</w:t>
            </w:r>
          </w:p>
        </w:tc>
        <w:tc>
          <w:tcPr>
            <w:tcW w:w="3349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10.3 定金或预付款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增加以下内容到第10.3 款：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预付款担保形式：设计人需要提供预付款保函，金额为合同总价的10%。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合同生效后 天内，发包人应按合同暂定价10%的金额向设计人支付预付款。</w:t>
            </w:r>
          </w:p>
        </w:tc>
        <w:tc>
          <w:tcPr>
            <w:tcW w:w="3349" w:type="dxa"/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10.3 定金或预付款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增加以下内容到第10.3 款：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预付款的额度：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u w:val="singl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合同生效后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u w:val="singl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天内，发包人应按合同暂定价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u w:val="singl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%的金额向设计人支付预付款。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9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335" w:type="dxa"/>
            <w:vAlign w:val="center"/>
          </w:tcPr>
          <w:p>
            <w:pPr>
              <w:jc w:val="both"/>
              <w:rPr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20kV及以下配网工程设计合同（2025年版）--[合同文本_20kV及以下配网工程设计合同（2025年版）]第三节 专用合同条款</w:t>
            </w:r>
          </w:p>
        </w:tc>
        <w:tc>
          <w:tcPr>
            <w:tcW w:w="3349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10.4 进度款支付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（4）竣工图完成后, 经档案部门确认后，支付除质量保证金外的合同余款。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（5）质量保证金按合同结算价的3%计列，在工程竣工投产满一年后，设计成果无合同约定的明显缺陷，发包人将余款支付给设计人。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49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10.4 进度款支付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（4）竣工图完成后, 经档案部门确认后，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设计人在申请最终支付的同时提交质量保证金担保（担保的形式包括银行提供的保函、央企财务公司提供的保函、保险公司提供的国家认可的具有法律效力的保险等，格式自定）[担保有效期应至工程投运、消除全部设计缺陷后且缺陷责任期（竣工验收后1 年）满]，发包人向设计人支付合同余款。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（5）质量保证金按合同结算价的3%计列。</w:t>
            </w:r>
          </w:p>
        </w:tc>
      </w:tr>
    </w:tbl>
    <w:p>
      <w:pPr>
        <w:jc w:val="center"/>
        <w:rPr>
          <w:rFonts w:hint="eastAsia"/>
          <w:highlight w:val="none"/>
          <w:vertAlign w:val="baseline"/>
          <w:lang w:val="en-US" w:eastAsia="zh-CN"/>
        </w:rPr>
      </w:pPr>
      <w:r>
        <w:rPr>
          <w:rFonts w:hint="eastAsia"/>
          <w:highlight w:val="none"/>
          <w:vertAlign w:val="baseline"/>
          <w:lang w:val="en-US" w:eastAsia="zh-CN"/>
        </w:rPr>
        <w:br w:type="page"/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9"/>
        <w:gridCol w:w="1335"/>
        <w:gridCol w:w="3349"/>
        <w:gridCol w:w="33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9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335" w:type="dxa"/>
            <w:vAlign w:val="center"/>
          </w:tcPr>
          <w:p>
            <w:pPr>
              <w:jc w:val="both"/>
              <w:rPr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20kV及以下配网工程设计合同（2025年版）--[合同文本_20kV及以下配网工程设计合同（2025年版）]第三节 专用合同条款</w:t>
            </w:r>
          </w:p>
        </w:tc>
        <w:tc>
          <w:tcPr>
            <w:tcW w:w="3349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10.5 合同价款的结算与支付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本合同采用固定总价形式，最终合同结算价为：固定合同总价包干，不调整。</w:t>
            </w:r>
          </w:p>
        </w:tc>
        <w:tc>
          <w:tcPr>
            <w:tcW w:w="3349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10.5 合同价款的结算与支付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本合同采用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暂定价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形式，最终合同结算价为：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以招标文件2.7(3)结算方式为准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9" w:type="dxa"/>
            <w:vAlign w:val="center"/>
          </w:tcPr>
          <w:p>
            <w:pPr>
              <w:jc w:val="center"/>
              <w:rPr>
                <w:rFonts w:hint="eastAsia" w:eastAsiaTheme="minor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highlight w:val="none"/>
                <w:vertAlign w:val="baseline"/>
                <w:lang w:eastAsia="zh-CN"/>
              </w:rPr>
              <w:t>……</w:t>
            </w:r>
          </w:p>
        </w:tc>
        <w:tc>
          <w:tcPr>
            <w:tcW w:w="3349" w:type="dxa"/>
            <w:vAlign w:val="center"/>
          </w:tcPr>
          <w:p>
            <w:pPr>
              <w:jc w:val="both"/>
              <w:rPr>
                <w:rFonts w:hint="eastAsia" w:eastAsiaTheme="minorEastAsia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highlight w:val="none"/>
                <w:vertAlign w:val="baseline"/>
                <w:lang w:eastAsia="zh-CN"/>
              </w:rPr>
              <w:t>……</w:t>
            </w:r>
          </w:p>
        </w:tc>
        <w:tc>
          <w:tcPr>
            <w:tcW w:w="3349" w:type="dxa"/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highlight w:val="none"/>
                <w:vertAlign w:val="baseline"/>
                <w:lang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9" w:type="dxa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both"/>
              <w:rPr>
                <w:highlight w:val="none"/>
                <w:vertAlign w:val="baseline"/>
              </w:rPr>
            </w:pPr>
          </w:p>
        </w:tc>
        <w:tc>
          <w:tcPr>
            <w:tcW w:w="3349" w:type="dxa"/>
            <w:vAlign w:val="center"/>
          </w:tcPr>
          <w:p>
            <w:pPr>
              <w:jc w:val="both"/>
              <w:rPr>
                <w:highlight w:val="none"/>
                <w:vertAlign w:val="baseline"/>
              </w:rPr>
            </w:pPr>
          </w:p>
        </w:tc>
        <w:tc>
          <w:tcPr>
            <w:tcW w:w="3349" w:type="dxa"/>
            <w:vAlign w:val="center"/>
          </w:tcPr>
          <w:p>
            <w:pPr>
              <w:jc w:val="both"/>
              <w:rPr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9" w:type="dxa"/>
            <w:vAlign w:val="center"/>
          </w:tcPr>
          <w:p>
            <w:pPr>
              <w:jc w:val="center"/>
              <w:rPr>
                <w:rFonts w:hint="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both"/>
              <w:rPr>
                <w:highlight w:val="none"/>
                <w:vertAlign w:val="baseline"/>
              </w:rPr>
            </w:pPr>
          </w:p>
        </w:tc>
        <w:tc>
          <w:tcPr>
            <w:tcW w:w="3349" w:type="dxa"/>
            <w:vAlign w:val="center"/>
          </w:tcPr>
          <w:p>
            <w:pPr>
              <w:jc w:val="both"/>
              <w:rPr>
                <w:highlight w:val="none"/>
                <w:vertAlign w:val="baseline"/>
              </w:rPr>
            </w:pPr>
          </w:p>
        </w:tc>
        <w:tc>
          <w:tcPr>
            <w:tcW w:w="3349" w:type="dxa"/>
            <w:vAlign w:val="center"/>
          </w:tcPr>
          <w:p>
            <w:pPr>
              <w:jc w:val="both"/>
              <w:rPr>
                <w:highlight w:val="none"/>
                <w:vertAlign w:val="baseline"/>
              </w:rPr>
            </w:pPr>
          </w:p>
        </w:tc>
      </w:tr>
    </w:tbl>
    <w:p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1B616F"/>
    <w:rsid w:val="3E722F39"/>
    <w:rsid w:val="42930E6C"/>
    <w:rsid w:val="43421586"/>
    <w:rsid w:val="44F22928"/>
    <w:rsid w:val="45424E6F"/>
    <w:rsid w:val="7200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200" w:after="0"/>
      <w:outlineLvl w:val="1"/>
    </w:pPr>
    <w:rPr>
      <w:rFonts w:eastAsia="仿宋_GB2312" w:asciiTheme="majorAscii" w:hAnsiTheme="majorAscii" w:cstheme="majorBidi"/>
      <w:b/>
      <w:bCs/>
      <w:color w:val="4874CB" w:themeColor="accent1"/>
      <w:sz w:val="28"/>
      <w:szCs w:val="26"/>
      <w:lang w:eastAsia="en-US"/>
      <w14:textFill>
        <w14:solidFill>
          <w14:schemeClr w14:val="accent1"/>
        </w14:solidFill>
      </w14:textFill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Heading 2 Char"/>
    <w:basedOn w:val="6"/>
    <w:link w:val="2"/>
    <w:qFormat/>
    <w:uiPriority w:val="9"/>
    <w:rPr>
      <w:rFonts w:eastAsia="仿宋_GB2312" w:asciiTheme="majorAscii" w:hAnsiTheme="majorAscii" w:cstheme="majorBidi"/>
      <w:b/>
      <w:bCs/>
      <w:color w:val="4874CB" w:themeColor="accent1"/>
      <w:sz w:val="28"/>
      <w:szCs w:val="26"/>
      <w:lang w:eastAsia="en-US"/>
      <w14:textFill>
        <w14:solidFill>
          <w14:schemeClr w14:val="accent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1759</Words>
  <Characters>1885</Characters>
  <Lines>0</Lines>
  <Paragraphs>0</Paragraphs>
  <TotalTime>7</TotalTime>
  <ScaleCrop>false</ScaleCrop>
  <LinksUpToDate>false</LinksUpToDate>
  <CharactersWithSpaces>1912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2026-06-03T10:26:00Z</dcterms:created>
  <dc:creator>ccj23</dc:creator>
  <cp:lastModifiedBy>邓玉芳</cp:lastModifiedBy>
  <cp:lastPrinted>2026-07-22T08:29:00Z</cp:lastPrinted>
  <dcterms:modified xsi:type="dcterms:W3CDTF">2026-07-22T08:58:20Z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90F0F462F3A84D848131A4B4E50413CB_12</vt:lpwstr>
  </property>
  <property fmtid="{D5CDD505-2E9C-101B-9397-08002B2CF9AE}" pid="4" name="KSOTemplateDocerSaveRecord">
    <vt:lpwstr>eyJoZGlkIjoiY2YxYjJkMmEzZGE5NzAzZGVlNzMzMDZhMzRjYWFjZTciLCJ1c2VySWQiOiIzMzQyNTkwNjIifQ==</vt:lpwstr>
  </property>
</Properties>
</file>