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624" w:beforeLines="200"/>
        <w:jc w:val="center"/>
        <w:rPr>
          <w:rFonts w:eastAsia="黑体"/>
          <w:b/>
          <w:sz w:val="52"/>
          <w:szCs w:val="52"/>
        </w:rPr>
      </w:pPr>
      <w:bookmarkStart w:id="0" w:name="_Hlt186339968"/>
      <w:bookmarkEnd w:id="0"/>
      <w:bookmarkStart w:id="1" w:name="_Hlt186343530"/>
      <w:bookmarkEnd w:id="1"/>
      <w:bookmarkStart w:id="2" w:name="SectionMark4"/>
      <w:bookmarkStart w:id="3" w:name="_Toc181697739"/>
      <w:bookmarkStart w:id="4" w:name="_Toc178435217"/>
      <w:bookmarkStart w:id="5" w:name="_Toc178435078"/>
      <w:bookmarkStart w:id="6" w:name="_Toc35246424"/>
      <w:r>
        <w:rPr>
          <w:rFonts w:hint="eastAsia" w:eastAsia="黑体"/>
          <w:b/>
          <w:sz w:val="52"/>
          <w:szCs w:val="52"/>
          <w:lang w:eastAsia="zh-CN"/>
        </w:rPr>
        <w:t>2026</w:t>
      </w:r>
      <w:r>
        <w:rPr>
          <w:rFonts w:hint="eastAsia" w:eastAsia="黑体"/>
          <w:b/>
          <w:sz w:val="52"/>
          <w:szCs w:val="52"/>
        </w:rPr>
        <w:t>年南方电网公司信息类设备</w:t>
      </w:r>
    </w:p>
    <w:p>
      <w:pPr>
        <w:adjustRightInd w:val="0"/>
        <w:snapToGrid w:val="0"/>
        <w:spacing w:before="624" w:beforeLines="200"/>
        <w:jc w:val="center"/>
        <w:rPr>
          <w:rFonts w:eastAsia="黑体"/>
          <w:b/>
          <w:sz w:val="52"/>
          <w:szCs w:val="52"/>
        </w:rPr>
      </w:pPr>
      <w:r>
        <w:rPr>
          <w:rFonts w:hint="eastAsia" w:eastAsia="黑体"/>
          <w:b/>
          <w:sz w:val="52"/>
          <w:szCs w:val="52"/>
        </w:rPr>
        <w:t>（中间件）框架采购项目</w:t>
      </w:r>
      <w:bookmarkStart w:id="7" w:name="gz0"/>
      <w:bookmarkEnd w:id="7"/>
      <w:r>
        <w:rPr>
          <w:rFonts w:hint="eastAsia" w:eastAsia="黑体"/>
          <w:b/>
          <w:sz w:val="52"/>
          <w:szCs w:val="20"/>
        </w:rPr>
        <w:drawing>
          <wp:anchor distT="0" distB="0" distL="114300" distR="114300" simplePos="0" relativeHeight="251659264" behindDoc="1" locked="0" layoutInCell="1" allowOverlap="1">
            <wp:simplePos x="0" y="0"/>
            <wp:positionH relativeFrom="column">
              <wp:posOffset>-899795</wp:posOffset>
            </wp:positionH>
            <wp:positionV relativeFrom="paragraph">
              <wp:posOffset>-1724025</wp:posOffset>
            </wp:positionV>
            <wp:extent cx="7560310" cy="2320925"/>
            <wp:effectExtent l="0" t="0" r="2540" b="3175"/>
            <wp:wrapTight wrapText="bothSides">
              <wp:wrapPolygon>
                <wp:start x="0" y="0"/>
                <wp:lineTo x="0" y="21452"/>
                <wp:lineTo x="21553" y="21452"/>
                <wp:lineTo x="21553" y="0"/>
                <wp:lineTo x="0" y="0"/>
              </wp:wrapPolygon>
            </wp:wrapTight>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9"/>
                    <a:stretch>
                      <a:fillRect/>
                    </a:stretch>
                  </pic:blipFill>
                  <pic:spPr>
                    <a:xfrm>
                      <a:off x="0" y="0"/>
                      <a:ext cx="7560310" cy="2320925"/>
                    </a:xfrm>
                    <a:prstGeom prst="rect">
                      <a:avLst/>
                    </a:prstGeom>
                    <a:noFill/>
                    <a:ln>
                      <a:noFill/>
                    </a:ln>
                  </pic:spPr>
                </pic:pic>
              </a:graphicData>
            </a:graphic>
          </wp:anchor>
        </w:drawing>
      </w:r>
    </w:p>
    <w:p>
      <w:pPr>
        <w:adjustRightInd w:val="0"/>
        <w:snapToGrid w:val="0"/>
        <w:spacing w:before="624" w:beforeLines="200"/>
        <w:jc w:val="center"/>
        <w:rPr>
          <w:rFonts w:eastAsia="黑体"/>
          <w:b/>
          <w:sz w:val="52"/>
          <w:szCs w:val="52"/>
        </w:rPr>
      </w:pPr>
      <w:r>
        <w:rPr>
          <w:rFonts w:hint="eastAsia" w:eastAsia="黑体"/>
          <w:b/>
          <w:sz w:val="52"/>
          <w:szCs w:val="52"/>
        </w:rPr>
        <w:t>技术规范书</w:t>
      </w:r>
    </w:p>
    <w:p>
      <w:pPr>
        <w:adjustRightInd w:val="0"/>
        <w:snapToGrid w:val="0"/>
        <w:spacing w:before="624" w:beforeLines="200"/>
        <w:jc w:val="center"/>
        <w:rPr>
          <w:rFonts w:eastAsia="黑体"/>
          <w:b/>
          <w:sz w:val="52"/>
          <w:szCs w:val="52"/>
        </w:rPr>
      </w:pPr>
    </w:p>
    <w:p>
      <w:pPr>
        <w:adjustRightInd w:val="0"/>
        <w:snapToGrid w:val="0"/>
        <w:spacing w:before="624" w:beforeLines="200"/>
        <w:jc w:val="center"/>
        <w:rPr>
          <w:rFonts w:eastAsia="黑体"/>
          <w:b/>
          <w:sz w:val="52"/>
          <w:szCs w:val="52"/>
        </w:rPr>
      </w:pPr>
    </w:p>
    <w:p>
      <w:pPr>
        <w:adjustRightInd w:val="0"/>
        <w:snapToGrid w:val="0"/>
        <w:spacing w:before="624" w:beforeLines="200"/>
        <w:jc w:val="center"/>
        <w:rPr>
          <w:rFonts w:eastAsia="黑体"/>
          <w:b/>
          <w:sz w:val="52"/>
          <w:szCs w:val="52"/>
        </w:rPr>
      </w:pPr>
    </w:p>
    <w:p>
      <w:pPr>
        <w:spacing w:before="624" w:beforeLines="200"/>
        <w:jc w:val="center"/>
        <w:rPr>
          <w:rFonts w:ascii="黑体" w:hAnsi="宋体" w:eastAsia="黑体"/>
          <w:b/>
          <w:spacing w:val="20"/>
          <w:w w:val="135"/>
          <w:sz w:val="30"/>
          <w:szCs w:val="20"/>
        </w:rPr>
      </w:pPr>
      <w:r>
        <w:rPr>
          <w:rFonts w:hint="eastAsia" w:ascii="黑体" w:hAnsi="宋体" w:eastAsia="黑体"/>
          <w:b/>
          <w:spacing w:val="20"/>
          <w:w w:val="135"/>
          <w:sz w:val="30"/>
          <w:szCs w:val="20"/>
        </w:rPr>
        <w:t>中国南方电网有限责任公司</w:t>
      </w:r>
    </w:p>
    <w:p>
      <w:pPr>
        <w:spacing w:before="624" w:beforeLines="200"/>
        <w:jc w:val="center"/>
        <w:rPr>
          <w:rFonts w:ascii="黑体" w:hAnsi="宋体" w:eastAsia="黑体"/>
          <w:b/>
          <w:spacing w:val="20"/>
          <w:w w:val="135"/>
          <w:sz w:val="30"/>
          <w:szCs w:val="20"/>
        </w:rPr>
      </w:pPr>
      <w:r>
        <w:rPr>
          <w:rFonts w:hint="eastAsia" w:ascii="黑体" w:hAnsi="宋体" w:eastAsia="黑体"/>
          <w:b/>
          <w:spacing w:val="20"/>
          <w:w w:val="135"/>
          <w:sz w:val="30"/>
          <w:szCs w:val="20"/>
          <w:lang w:eastAsia="zh-CN"/>
        </w:rPr>
        <w:t>2026</w:t>
      </w:r>
      <w:r>
        <w:rPr>
          <w:rFonts w:hint="eastAsia" w:ascii="黑体" w:hAnsi="宋体" w:eastAsia="黑体"/>
          <w:b/>
          <w:spacing w:val="20"/>
          <w:w w:val="135"/>
          <w:sz w:val="30"/>
          <w:szCs w:val="20"/>
        </w:rPr>
        <w:t>年</w:t>
      </w:r>
      <w:r>
        <w:rPr>
          <w:rFonts w:hint="eastAsia" w:ascii="黑体" w:hAnsi="宋体" w:eastAsia="黑体"/>
          <w:b/>
          <w:spacing w:val="20"/>
          <w:w w:val="135"/>
          <w:sz w:val="30"/>
          <w:szCs w:val="20"/>
          <w:lang w:val="en-US" w:eastAsia="zh-CN"/>
        </w:rPr>
        <w:t>5</w:t>
      </w:r>
      <w:r>
        <w:rPr>
          <w:rFonts w:hint="eastAsia" w:ascii="黑体" w:hAnsi="宋体" w:eastAsia="黑体"/>
          <w:b/>
          <w:spacing w:val="20"/>
          <w:w w:val="135"/>
          <w:sz w:val="30"/>
          <w:szCs w:val="20"/>
        </w:rPr>
        <w:t>月</w:t>
      </w:r>
    </w:p>
    <w:bookmarkEnd w:id="2"/>
    <w:p>
      <w:pPr>
        <w:spacing w:before="624" w:beforeLines="200"/>
        <w:jc w:val="center"/>
        <w:rPr>
          <w:rFonts w:ascii="黑体" w:hAnsi="宋体" w:eastAsia="黑体"/>
          <w:b/>
          <w:spacing w:val="20"/>
          <w:w w:val="135"/>
          <w:sz w:val="30"/>
          <w:szCs w:val="20"/>
          <w:lang w:val="zh-CN"/>
        </w:rPr>
        <w:sectPr>
          <w:headerReference r:id="rId3" w:type="default"/>
          <w:footerReference r:id="rId4" w:type="default"/>
          <w:footerReference r:id="rId5" w:type="even"/>
          <w:pgSz w:w="11906" w:h="16838"/>
          <w:pgMar w:top="1417" w:right="1417" w:bottom="1417" w:left="1417" w:header="851" w:footer="567" w:gutter="0"/>
          <w:cols w:space="720" w:num="1"/>
          <w:docGrid w:type="lines" w:linePitch="312" w:charSpace="0"/>
        </w:sectPr>
      </w:pPr>
    </w:p>
    <w:p>
      <w:pPr>
        <w:jc w:val="center"/>
        <w:rPr>
          <w:b/>
          <w:bCs/>
          <w:sz w:val="40"/>
          <w:szCs w:val="40"/>
        </w:rPr>
      </w:pPr>
      <w:r>
        <w:rPr>
          <w:rFonts w:ascii="宋体" w:hAnsi="宋体"/>
          <w:b/>
          <w:bCs/>
          <w:sz w:val="40"/>
          <w:szCs w:val="40"/>
        </w:rPr>
        <w:t>目录</w:t>
      </w:r>
    </w:p>
    <w:p>
      <w:pPr>
        <w:pStyle w:val="56"/>
        <w:tabs>
          <w:tab w:val="right" w:leader="dot" w:pos="9638"/>
        </w:tabs>
        <w:rPr>
          <w:b/>
        </w:rPr>
      </w:pPr>
      <w:r>
        <w:fldChar w:fldCharType="begin"/>
      </w:r>
      <w:r>
        <w:instrText xml:space="preserve">TOC \o "1-2" \h \u </w:instrText>
      </w:r>
      <w:r>
        <w:fldChar w:fldCharType="separate"/>
      </w:r>
    </w:p>
    <w:p>
      <w:pPr>
        <w:pStyle w:val="56"/>
        <w:tabs>
          <w:tab w:val="right" w:leader="dot" w:pos="9638"/>
        </w:tabs>
        <w:spacing w:line="360" w:lineRule="auto"/>
        <w:rPr>
          <w:rFonts w:ascii="宋体" w:hAnsi="宋体" w:cs="宋体"/>
          <w:b/>
          <w:sz w:val="24"/>
          <w:szCs w:val="24"/>
        </w:rPr>
      </w:pPr>
      <w:r>
        <w:fldChar w:fldCharType="begin"/>
      </w:r>
      <w:r>
        <w:instrText xml:space="preserve"> HYPERLINK \l "_Toc3377" </w:instrText>
      </w:r>
      <w:r>
        <w:fldChar w:fldCharType="separate"/>
      </w:r>
      <w:r>
        <w:rPr>
          <w:rFonts w:hint="eastAsia" w:ascii="宋体" w:hAnsi="宋体" w:cs="宋体"/>
          <w:b/>
          <w:sz w:val="24"/>
          <w:szCs w:val="24"/>
        </w:rPr>
        <w:t>一 、 总则</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_Toc3377 \h </w:instrText>
      </w:r>
      <w:r>
        <w:rPr>
          <w:rFonts w:hint="eastAsia" w:ascii="宋体" w:hAnsi="宋体" w:cs="宋体"/>
          <w:b/>
          <w:sz w:val="24"/>
          <w:szCs w:val="24"/>
        </w:rPr>
        <w:fldChar w:fldCharType="separate"/>
      </w:r>
      <w:r>
        <w:rPr>
          <w:rFonts w:hint="eastAsia" w:ascii="宋体" w:hAnsi="宋体" w:cs="宋体"/>
          <w:b/>
          <w:sz w:val="24"/>
          <w:szCs w:val="24"/>
        </w:rPr>
        <w:t>3</w:t>
      </w:r>
      <w:r>
        <w:rPr>
          <w:rFonts w:hint="eastAsia" w:ascii="宋体" w:hAnsi="宋体" w:cs="宋体"/>
          <w:b/>
          <w:sz w:val="24"/>
          <w:szCs w:val="24"/>
        </w:rPr>
        <w:fldChar w:fldCharType="end"/>
      </w:r>
      <w:r>
        <w:rPr>
          <w:rFonts w:hint="eastAsia" w:ascii="宋体" w:hAnsi="宋体" w:cs="宋体"/>
          <w:b/>
          <w:sz w:val="24"/>
          <w:szCs w:val="24"/>
        </w:rPr>
        <w:fldChar w:fldCharType="end"/>
      </w:r>
    </w:p>
    <w:p>
      <w:pPr>
        <w:pStyle w:val="55"/>
        <w:tabs>
          <w:tab w:val="right" w:leader="dot" w:pos="9638"/>
        </w:tabs>
        <w:spacing w:line="360" w:lineRule="auto"/>
        <w:ind w:left="420"/>
        <w:rPr>
          <w:rFonts w:ascii="宋体" w:hAnsi="宋体" w:cs="宋体"/>
          <w:sz w:val="24"/>
          <w:szCs w:val="24"/>
        </w:rPr>
      </w:pPr>
      <w:r>
        <w:fldChar w:fldCharType="begin"/>
      </w:r>
      <w:r>
        <w:instrText xml:space="preserve"> HYPERLINK \l "_Toc23412" </w:instrText>
      </w:r>
      <w:r>
        <w:fldChar w:fldCharType="separate"/>
      </w:r>
      <w:r>
        <w:rPr>
          <w:rFonts w:hint="eastAsia" w:ascii="宋体" w:hAnsi="宋体" w:cs="宋体"/>
          <w:sz w:val="24"/>
          <w:szCs w:val="24"/>
        </w:rPr>
        <w:t>1.1. 一般规定</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_Toc23412 \h </w:instrText>
      </w:r>
      <w:r>
        <w:rPr>
          <w:rFonts w:hint="eastAsia" w:ascii="宋体" w:hAnsi="宋体" w:cs="宋体"/>
          <w:sz w:val="24"/>
          <w:szCs w:val="24"/>
        </w:rPr>
        <w:fldChar w:fldCharType="separate"/>
      </w:r>
      <w:r>
        <w:rPr>
          <w:rFonts w:hint="eastAsia" w:ascii="宋体" w:hAnsi="宋体" w:cs="宋体"/>
          <w:sz w:val="24"/>
          <w:szCs w:val="24"/>
        </w:rPr>
        <w:t>3</w:t>
      </w:r>
      <w:r>
        <w:rPr>
          <w:rFonts w:hint="eastAsia" w:ascii="宋体" w:hAnsi="宋体" w:cs="宋体"/>
          <w:sz w:val="24"/>
          <w:szCs w:val="24"/>
        </w:rPr>
        <w:fldChar w:fldCharType="end"/>
      </w:r>
      <w:r>
        <w:rPr>
          <w:rFonts w:hint="eastAsia" w:ascii="宋体" w:hAnsi="宋体" w:cs="宋体"/>
          <w:sz w:val="24"/>
          <w:szCs w:val="24"/>
        </w:rPr>
        <w:fldChar w:fldCharType="end"/>
      </w:r>
    </w:p>
    <w:p>
      <w:pPr>
        <w:pStyle w:val="55"/>
        <w:tabs>
          <w:tab w:val="right" w:leader="dot" w:pos="9638"/>
        </w:tabs>
        <w:spacing w:line="360" w:lineRule="auto"/>
        <w:ind w:left="420"/>
        <w:rPr>
          <w:rFonts w:ascii="宋体" w:hAnsi="宋体" w:cs="宋体"/>
          <w:sz w:val="24"/>
          <w:szCs w:val="24"/>
        </w:rPr>
      </w:pPr>
      <w:r>
        <w:fldChar w:fldCharType="begin"/>
      </w:r>
      <w:r>
        <w:instrText xml:space="preserve"> HYPERLINK \l "_Toc9682" </w:instrText>
      </w:r>
      <w:r>
        <w:fldChar w:fldCharType="separate"/>
      </w:r>
      <w:r>
        <w:rPr>
          <w:rFonts w:hint="eastAsia" w:ascii="宋体" w:hAnsi="宋体" w:cs="宋体"/>
          <w:sz w:val="24"/>
          <w:szCs w:val="24"/>
        </w:rPr>
        <w:t>1.2. 标准和性能</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_Toc9682 \h </w:instrText>
      </w:r>
      <w:r>
        <w:rPr>
          <w:rFonts w:hint="eastAsia" w:ascii="宋体" w:hAnsi="宋体" w:cs="宋体"/>
          <w:sz w:val="24"/>
          <w:szCs w:val="24"/>
        </w:rPr>
        <w:fldChar w:fldCharType="separate"/>
      </w:r>
      <w:r>
        <w:rPr>
          <w:rFonts w:hint="eastAsia" w:ascii="宋体" w:hAnsi="宋体" w:cs="宋体"/>
          <w:sz w:val="24"/>
          <w:szCs w:val="24"/>
        </w:rPr>
        <w:t>4</w:t>
      </w:r>
      <w:r>
        <w:rPr>
          <w:rFonts w:hint="eastAsia" w:ascii="宋体" w:hAnsi="宋体" w:cs="宋体"/>
          <w:sz w:val="24"/>
          <w:szCs w:val="24"/>
        </w:rPr>
        <w:fldChar w:fldCharType="end"/>
      </w:r>
      <w:r>
        <w:rPr>
          <w:rFonts w:hint="eastAsia" w:ascii="宋体" w:hAnsi="宋体" w:cs="宋体"/>
          <w:sz w:val="24"/>
          <w:szCs w:val="24"/>
        </w:rPr>
        <w:fldChar w:fldCharType="end"/>
      </w:r>
    </w:p>
    <w:p>
      <w:pPr>
        <w:pStyle w:val="56"/>
        <w:tabs>
          <w:tab w:val="right" w:leader="dot" w:pos="9638"/>
        </w:tabs>
        <w:spacing w:line="360" w:lineRule="auto"/>
        <w:rPr>
          <w:rFonts w:ascii="宋体" w:hAnsi="宋体" w:cs="宋体"/>
          <w:b/>
          <w:sz w:val="24"/>
          <w:szCs w:val="24"/>
        </w:rPr>
      </w:pPr>
      <w:r>
        <w:fldChar w:fldCharType="begin"/>
      </w:r>
      <w:r>
        <w:instrText xml:space="preserve"> HYPERLINK \l "_Toc2166" </w:instrText>
      </w:r>
      <w:r>
        <w:fldChar w:fldCharType="separate"/>
      </w:r>
      <w:r>
        <w:rPr>
          <w:rFonts w:hint="eastAsia" w:ascii="宋体" w:hAnsi="宋体" w:cs="宋体"/>
          <w:b/>
          <w:bCs/>
          <w:sz w:val="24"/>
          <w:szCs w:val="24"/>
        </w:rPr>
        <w:t>二 、 项目概况</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_Toc2166 \h </w:instrText>
      </w:r>
      <w:r>
        <w:rPr>
          <w:rFonts w:hint="eastAsia" w:ascii="宋体" w:hAnsi="宋体" w:cs="宋体"/>
          <w:b/>
          <w:sz w:val="24"/>
          <w:szCs w:val="24"/>
        </w:rPr>
        <w:fldChar w:fldCharType="separate"/>
      </w:r>
      <w:r>
        <w:rPr>
          <w:rFonts w:hint="eastAsia" w:ascii="宋体" w:hAnsi="宋体" w:cs="宋体"/>
          <w:b/>
          <w:sz w:val="24"/>
          <w:szCs w:val="24"/>
        </w:rPr>
        <w:t>5</w:t>
      </w:r>
      <w:r>
        <w:rPr>
          <w:rFonts w:hint="eastAsia" w:ascii="宋体" w:hAnsi="宋体" w:cs="宋体"/>
          <w:b/>
          <w:sz w:val="24"/>
          <w:szCs w:val="24"/>
        </w:rPr>
        <w:fldChar w:fldCharType="end"/>
      </w:r>
      <w:r>
        <w:rPr>
          <w:rFonts w:hint="eastAsia" w:ascii="宋体" w:hAnsi="宋体" w:cs="宋体"/>
          <w:b/>
          <w:sz w:val="24"/>
          <w:szCs w:val="24"/>
        </w:rPr>
        <w:fldChar w:fldCharType="end"/>
      </w:r>
    </w:p>
    <w:p>
      <w:pPr>
        <w:pStyle w:val="55"/>
        <w:tabs>
          <w:tab w:val="right" w:leader="dot" w:pos="9638"/>
        </w:tabs>
        <w:spacing w:line="360" w:lineRule="auto"/>
        <w:ind w:left="420"/>
        <w:rPr>
          <w:rFonts w:ascii="宋体" w:hAnsi="宋体" w:cs="宋体"/>
          <w:sz w:val="24"/>
          <w:szCs w:val="24"/>
        </w:rPr>
      </w:pPr>
      <w:r>
        <w:fldChar w:fldCharType="begin"/>
      </w:r>
      <w:r>
        <w:instrText xml:space="preserve"> HYPERLINK \l "_Toc14275" </w:instrText>
      </w:r>
      <w:r>
        <w:fldChar w:fldCharType="separate"/>
      </w:r>
      <w:r>
        <w:rPr>
          <w:rFonts w:hint="eastAsia" w:ascii="宋体" w:hAnsi="宋体" w:cs="宋体"/>
          <w:sz w:val="24"/>
          <w:szCs w:val="24"/>
        </w:rPr>
        <w:t>2.1. 项目背景</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_Toc14275 \h </w:instrText>
      </w:r>
      <w:r>
        <w:rPr>
          <w:rFonts w:hint="eastAsia" w:ascii="宋体" w:hAnsi="宋体" w:cs="宋体"/>
          <w:sz w:val="24"/>
          <w:szCs w:val="24"/>
        </w:rPr>
        <w:fldChar w:fldCharType="separate"/>
      </w:r>
      <w:r>
        <w:rPr>
          <w:rFonts w:hint="eastAsia" w:ascii="宋体" w:hAnsi="宋体" w:cs="宋体"/>
          <w:sz w:val="24"/>
          <w:szCs w:val="24"/>
        </w:rPr>
        <w:t>5</w:t>
      </w:r>
      <w:r>
        <w:rPr>
          <w:rFonts w:hint="eastAsia" w:ascii="宋体" w:hAnsi="宋体" w:cs="宋体"/>
          <w:sz w:val="24"/>
          <w:szCs w:val="24"/>
        </w:rPr>
        <w:fldChar w:fldCharType="end"/>
      </w:r>
      <w:r>
        <w:rPr>
          <w:rFonts w:hint="eastAsia" w:ascii="宋体" w:hAnsi="宋体" w:cs="宋体"/>
          <w:sz w:val="24"/>
          <w:szCs w:val="24"/>
        </w:rPr>
        <w:fldChar w:fldCharType="end"/>
      </w:r>
    </w:p>
    <w:p>
      <w:pPr>
        <w:pStyle w:val="55"/>
        <w:tabs>
          <w:tab w:val="right" w:leader="dot" w:pos="9638"/>
        </w:tabs>
        <w:spacing w:line="360" w:lineRule="auto"/>
        <w:ind w:left="420"/>
        <w:rPr>
          <w:rFonts w:ascii="宋体" w:hAnsi="宋体" w:cs="宋体"/>
          <w:sz w:val="24"/>
          <w:szCs w:val="24"/>
        </w:rPr>
      </w:pPr>
      <w:r>
        <w:fldChar w:fldCharType="begin"/>
      </w:r>
      <w:r>
        <w:instrText xml:space="preserve"> HYPERLINK \l "_Toc3805" </w:instrText>
      </w:r>
      <w:r>
        <w:fldChar w:fldCharType="separate"/>
      </w:r>
      <w:r>
        <w:rPr>
          <w:rFonts w:hint="eastAsia" w:ascii="宋体" w:hAnsi="宋体" w:cs="宋体"/>
          <w:sz w:val="24"/>
          <w:szCs w:val="24"/>
        </w:rPr>
        <w:t>2.2. 项目建设目标</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_Toc3805 \h </w:instrText>
      </w:r>
      <w:r>
        <w:rPr>
          <w:rFonts w:hint="eastAsia" w:ascii="宋体" w:hAnsi="宋体" w:cs="宋体"/>
          <w:sz w:val="24"/>
          <w:szCs w:val="24"/>
        </w:rPr>
        <w:fldChar w:fldCharType="separate"/>
      </w:r>
      <w:r>
        <w:rPr>
          <w:rFonts w:hint="eastAsia" w:ascii="宋体" w:hAnsi="宋体" w:cs="宋体"/>
          <w:sz w:val="24"/>
          <w:szCs w:val="24"/>
        </w:rPr>
        <w:t>5</w:t>
      </w:r>
      <w:r>
        <w:rPr>
          <w:rFonts w:hint="eastAsia" w:ascii="宋体" w:hAnsi="宋体" w:cs="宋体"/>
          <w:sz w:val="24"/>
          <w:szCs w:val="24"/>
        </w:rPr>
        <w:fldChar w:fldCharType="end"/>
      </w:r>
      <w:r>
        <w:rPr>
          <w:rFonts w:hint="eastAsia" w:ascii="宋体" w:hAnsi="宋体" w:cs="宋体"/>
          <w:sz w:val="24"/>
          <w:szCs w:val="24"/>
        </w:rPr>
        <w:fldChar w:fldCharType="end"/>
      </w:r>
    </w:p>
    <w:p>
      <w:pPr>
        <w:pStyle w:val="55"/>
        <w:tabs>
          <w:tab w:val="right" w:leader="dot" w:pos="9638"/>
        </w:tabs>
        <w:spacing w:line="360" w:lineRule="auto"/>
        <w:ind w:left="420"/>
        <w:rPr>
          <w:rFonts w:ascii="宋体" w:hAnsi="宋体" w:cs="宋体"/>
          <w:sz w:val="24"/>
          <w:szCs w:val="24"/>
        </w:rPr>
      </w:pPr>
      <w:r>
        <w:fldChar w:fldCharType="begin"/>
      </w:r>
      <w:r>
        <w:instrText xml:space="preserve"> HYPERLINK \l "_Toc23169" </w:instrText>
      </w:r>
      <w:r>
        <w:fldChar w:fldCharType="separate"/>
      </w:r>
      <w:r>
        <w:rPr>
          <w:rFonts w:hint="eastAsia" w:ascii="宋体" w:hAnsi="宋体" w:cs="宋体"/>
          <w:sz w:val="24"/>
          <w:szCs w:val="24"/>
        </w:rPr>
        <w:t>2.3. 项目原则</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_Toc23169 \h </w:instrText>
      </w:r>
      <w:r>
        <w:rPr>
          <w:rFonts w:hint="eastAsia" w:ascii="宋体" w:hAnsi="宋体" w:cs="宋体"/>
          <w:sz w:val="24"/>
          <w:szCs w:val="24"/>
        </w:rPr>
        <w:fldChar w:fldCharType="separate"/>
      </w:r>
      <w:r>
        <w:rPr>
          <w:rFonts w:hint="eastAsia" w:ascii="宋体" w:hAnsi="宋体" w:cs="宋体"/>
          <w:sz w:val="24"/>
          <w:szCs w:val="24"/>
        </w:rPr>
        <w:t>5</w:t>
      </w:r>
      <w:r>
        <w:rPr>
          <w:rFonts w:hint="eastAsia" w:ascii="宋体" w:hAnsi="宋体" w:cs="宋体"/>
          <w:sz w:val="24"/>
          <w:szCs w:val="24"/>
        </w:rPr>
        <w:fldChar w:fldCharType="end"/>
      </w:r>
      <w:r>
        <w:rPr>
          <w:rFonts w:hint="eastAsia" w:ascii="宋体" w:hAnsi="宋体" w:cs="宋体"/>
          <w:sz w:val="24"/>
          <w:szCs w:val="24"/>
        </w:rPr>
        <w:fldChar w:fldCharType="end"/>
      </w:r>
    </w:p>
    <w:p>
      <w:pPr>
        <w:pStyle w:val="56"/>
        <w:tabs>
          <w:tab w:val="right" w:leader="dot" w:pos="9638"/>
        </w:tabs>
        <w:spacing w:line="360" w:lineRule="auto"/>
        <w:rPr>
          <w:rFonts w:ascii="宋体" w:hAnsi="宋体" w:cs="宋体"/>
          <w:b/>
          <w:sz w:val="24"/>
          <w:szCs w:val="24"/>
        </w:rPr>
      </w:pPr>
      <w:r>
        <w:fldChar w:fldCharType="begin"/>
      </w:r>
      <w:r>
        <w:instrText xml:space="preserve"> HYPERLINK \l "_Toc17646" </w:instrText>
      </w:r>
      <w:r>
        <w:fldChar w:fldCharType="separate"/>
      </w:r>
      <w:r>
        <w:rPr>
          <w:rFonts w:hint="eastAsia" w:ascii="宋体" w:hAnsi="宋体" w:cs="宋体"/>
          <w:b/>
          <w:sz w:val="24"/>
          <w:szCs w:val="24"/>
        </w:rPr>
        <w:t>三 、 招标内容与要求</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_Toc17646 \h </w:instrText>
      </w:r>
      <w:r>
        <w:rPr>
          <w:rFonts w:hint="eastAsia" w:ascii="宋体" w:hAnsi="宋体" w:cs="宋体"/>
          <w:b/>
          <w:sz w:val="24"/>
          <w:szCs w:val="24"/>
        </w:rPr>
        <w:fldChar w:fldCharType="separate"/>
      </w:r>
      <w:r>
        <w:rPr>
          <w:rFonts w:hint="eastAsia" w:ascii="宋体" w:hAnsi="宋体" w:cs="宋体"/>
          <w:b/>
          <w:sz w:val="24"/>
          <w:szCs w:val="24"/>
        </w:rPr>
        <w:t>8</w:t>
      </w:r>
      <w:r>
        <w:rPr>
          <w:rFonts w:hint="eastAsia" w:ascii="宋体" w:hAnsi="宋体" w:cs="宋体"/>
          <w:b/>
          <w:sz w:val="24"/>
          <w:szCs w:val="24"/>
        </w:rPr>
        <w:fldChar w:fldCharType="end"/>
      </w:r>
      <w:r>
        <w:rPr>
          <w:rFonts w:hint="eastAsia" w:ascii="宋体" w:hAnsi="宋体" w:cs="宋体"/>
          <w:b/>
          <w:sz w:val="24"/>
          <w:szCs w:val="24"/>
        </w:rPr>
        <w:fldChar w:fldCharType="end"/>
      </w:r>
    </w:p>
    <w:p>
      <w:pPr>
        <w:pStyle w:val="55"/>
        <w:tabs>
          <w:tab w:val="right" w:leader="dot" w:pos="9638"/>
        </w:tabs>
        <w:spacing w:line="360" w:lineRule="auto"/>
        <w:ind w:left="420"/>
        <w:rPr>
          <w:rFonts w:ascii="宋体" w:hAnsi="宋体" w:cs="宋体"/>
          <w:sz w:val="24"/>
          <w:szCs w:val="24"/>
        </w:rPr>
      </w:pPr>
      <w:r>
        <w:fldChar w:fldCharType="begin"/>
      </w:r>
      <w:r>
        <w:instrText xml:space="preserve"> HYPERLINK \l "_Toc7435" </w:instrText>
      </w:r>
      <w:r>
        <w:fldChar w:fldCharType="separate"/>
      </w:r>
      <w:r>
        <w:rPr>
          <w:rFonts w:hint="eastAsia" w:ascii="宋体" w:hAnsi="宋体" w:cs="宋体"/>
          <w:sz w:val="24"/>
          <w:szCs w:val="24"/>
        </w:rPr>
        <w:t>3.1. 基本技术要求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_Toc7435 \h </w:instrText>
      </w:r>
      <w:r>
        <w:rPr>
          <w:rFonts w:hint="eastAsia" w:ascii="宋体" w:hAnsi="宋体" w:cs="宋体"/>
          <w:sz w:val="24"/>
          <w:szCs w:val="24"/>
        </w:rPr>
        <w:fldChar w:fldCharType="separate"/>
      </w:r>
      <w:r>
        <w:rPr>
          <w:rFonts w:hint="eastAsia" w:ascii="宋体" w:hAnsi="宋体" w:cs="宋体"/>
          <w:sz w:val="24"/>
          <w:szCs w:val="24"/>
        </w:rPr>
        <w:t>8</w:t>
      </w:r>
      <w:r>
        <w:rPr>
          <w:rFonts w:hint="eastAsia" w:ascii="宋体" w:hAnsi="宋体" w:cs="宋体"/>
          <w:sz w:val="24"/>
          <w:szCs w:val="24"/>
        </w:rPr>
        <w:fldChar w:fldCharType="end"/>
      </w:r>
      <w:r>
        <w:rPr>
          <w:rFonts w:hint="eastAsia" w:ascii="宋体" w:hAnsi="宋体" w:cs="宋体"/>
          <w:sz w:val="24"/>
          <w:szCs w:val="24"/>
        </w:rPr>
        <w:fldChar w:fldCharType="end"/>
      </w:r>
    </w:p>
    <w:p>
      <w:pPr>
        <w:pStyle w:val="55"/>
        <w:tabs>
          <w:tab w:val="right" w:leader="dot" w:pos="9638"/>
        </w:tabs>
        <w:spacing w:line="360" w:lineRule="auto"/>
        <w:ind w:left="420"/>
        <w:rPr>
          <w:rFonts w:ascii="宋体" w:hAnsi="宋体" w:cs="宋体"/>
          <w:sz w:val="24"/>
          <w:szCs w:val="24"/>
        </w:rPr>
      </w:pPr>
      <w:r>
        <w:fldChar w:fldCharType="begin"/>
      </w:r>
      <w:r>
        <w:instrText xml:space="preserve"> HYPERLINK \l "_Toc4151" </w:instrText>
      </w:r>
      <w:r>
        <w:fldChar w:fldCharType="separate"/>
      </w:r>
      <w:r>
        <w:rPr>
          <w:rFonts w:hint="eastAsia" w:ascii="宋体" w:hAnsi="宋体" w:cs="宋体"/>
          <w:sz w:val="24"/>
          <w:szCs w:val="24"/>
        </w:rPr>
        <w:t>3.2. 产品要求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_Toc4151 \h </w:instrText>
      </w:r>
      <w:r>
        <w:rPr>
          <w:rFonts w:hint="eastAsia" w:ascii="宋体" w:hAnsi="宋体" w:cs="宋体"/>
          <w:sz w:val="24"/>
          <w:szCs w:val="24"/>
        </w:rPr>
        <w:fldChar w:fldCharType="separate"/>
      </w:r>
      <w:r>
        <w:rPr>
          <w:rFonts w:hint="eastAsia" w:ascii="宋体" w:hAnsi="宋体" w:cs="宋体"/>
          <w:sz w:val="24"/>
          <w:szCs w:val="24"/>
        </w:rPr>
        <w:t>9</w:t>
      </w:r>
      <w:r>
        <w:rPr>
          <w:rFonts w:hint="eastAsia" w:ascii="宋体" w:hAnsi="宋体" w:cs="宋体"/>
          <w:sz w:val="24"/>
          <w:szCs w:val="24"/>
        </w:rPr>
        <w:fldChar w:fldCharType="end"/>
      </w:r>
      <w:r>
        <w:rPr>
          <w:rFonts w:hint="eastAsia" w:ascii="宋体" w:hAnsi="宋体" w:cs="宋体"/>
          <w:sz w:val="24"/>
          <w:szCs w:val="24"/>
        </w:rPr>
        <w:fldChar w:fldCharType="end"/>
      </w:r>
    </w:p>
    <w:p>
      <w:pPr>
        <w:pStyle w:val="55"/>
        <w:tabs>
          <w:tab w:val="right" w:leader="dot" w:pos="9638"/>
        </w:tabs>
        <w:spacing w:line="360" w:lineRule="auto"/>
        <w:ind w:left="420"/>
        <w:rPr>
          <w:rFonts w:ascii="宋体" w:hAnsi="宋体" w:cs="宋体"/>
          <w:sz w:val="24"/>
          <w:szCs w:val="24"/>
        </w:rPr>
      </w:pPr>
      <w:r>
        <w:fldChar w:fldCharType="begin"/>
      </w:r>
      <w:r>
        <w:instrText xml:space="preserve"> HYPERLINK \l "_Toc16157" </w:instrText>
      </w:r>
      <w:r>
        <w:fldChar w:fldCharType="separate"/>
      </w:r>
      <w:r>
        <w:rPr>
          <w:rFonts w:hint="eastAsia" w:ascii="宋体" w:hAnsi="宋体" w:cs="宋体"/>
          <w:sz w:val="24"/>
          <w:szCs w:val="24"/>
        </w:rPr>
        <w:t>3.3. 项目实施要求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_Toc16157 \h </w:instrText>
      </w:r>
      <w:r>
        <w:rPr>
          <w:rFonts w:hint="eastAsia" w:ascii="宋体" w:hAnsi="宋体" w:cs="宋体"/>
          <w:sz w:val="24"/>
          <w:szCs w:val="24"/>
        </w:rPr>
        <w:fldChar w:fldCharType="separate"/>
      </w:r>
      <w:r>
        <w:rPr>
          <w:rFonts w:hint="eastAsia" w:ascii="宋体" w:hAnsi="宋体" w:cs="宋体"/>
          <w:sz w:val="24"/>
          <w:szCs w:val="24"/>
        </w:rPr>
        <w:t>15</w:t>
      </w:r>
      <w:r>
        <w:rPr>
          <w:rFonts w:hint="eastAsia" w:ascii="宋体" w:hAnsi="宋体" w:cs="宋体"/>
          <w:sz w:val="24"/>
          <w:szCs w:val="24"/>
        </w:rPr>
        <w:fldChar w:fldCharType="end"/>
      </w:r>
      <w:r>
        <w:rPr>
          <w:rFonts w:hint="eastAsia" w:ascii="宋体" w:hAnsi="宋体" w:cs="宋体"/>
          <w:sz w:val="24"/>
          <w:szCs w:val="24"/>
        </w:rPr>
        <w:fldChar w:fldCharType="end"/>
      </w:r>
    </w:p>
    <w:p>
      <w:pPr>
        <w:pStyle w:val="55"/>
        <w:tabs>
          <w:tab w:val="right" w:leader="dot" w:pos="9638"/>
        </w:tabs>
        <w:spacing w:line="360" w:lineRule="auto"/>
        <w:ind w:left="420"/>
        <w:rPr>
          <w:rFonts w:ascii="宋体" w:hAnsi="宋体" w:cs="宋体"/>
          <w:sz w:val="24"/>
          <w:szCs w:val="24"/>
        </w:rPr>
      </w:pPr>
      <w:r>
        <w:fldChar w:fldCharType="begin"/>
      </w:r>
      <w:r>
        <w:instrText xml:space="preserve"> HYPERLINK \l "_Toc26717" </w:instrText>
      </w:r>
      <w:r>
        <w:fldChar w:fldCharType="separate"/>
      </w:r>
      <w:r>
        <w:rPr>
          <w:rFonts w:hint="eastAsia" w:ascii="宋体" w:hAnsi="宋体" w:cs="宋体"/>
          <w:sz w:val="24"/>
          <w:szCs w:val="24"/>
        </w:rPr>
        <w:t>3.4. 培训要求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_Toc26717 \h </w:instrText>
      </w:r>
      <w:r>
        <w:rPr>
          <w:rFonts w:hint="eastAsia" w:ascii="宋体" w:hAnsi="宋体" w:cs="宋体"/>
          <w:sz w:val="24"/>
          <w:szCs w:val="24"/>
        </w:rPr>
        <w:fldChar w:fldCharType="separate"/>
      </w:r>
      <w:r>
        <w:rPr>
          <w:rFonts w:hint="eastAsia" w:ascii="宋体" w:hAnsi="宋体" w:cs="宋体"/>
          <w:sz w:val="24"/>
          <w:szCs w:val="24"/>
        </w:rPr>
        <w:t>18</w:t>
      </w:r>
      <w:r>
        <w:rPr>
          <w:rFonts w:hint="eastAsia" w:ascii="宋体" w:hAnsi="宋体" w:cs="宋体"/>
          <w:sz w:val="24"/>
          <w:szCs w:val="24"/>
        </w:rPr>
        <w:fldChar w:fldCharType="end"/>
      </w:r>
      <w:r>
        <w:rPr>
          <w:rFonts w:hint="eastAsia" w:ascii="宋体" w:hAnsi="宋体" w:cs="宋体"/>
          <w:sz w:val="24"/>
          <w:szCs w:val="24"/>
        </w:rPr>
        <w:fldChar w:fldCharType="end"/>
      </w:r>
    </w:p>
    <w:p>
      <w:pPr>
        <w:pStyle w:val="56"/>
        <w:tabs>
          <w:tab w:val="right" w:leader="dot" w:pos="9638"/>
        </w:tabs>
        <w:spacing w:line="360" w:lineRule="auto"/>
        <w:rPr>
          <w:rFonts w:ascii="宋体" w:hAnsi="宋体" w:cs="宋体"/>
          <w:b/>
          <w:sz w:val="24"/>
          <w:szCs w:val="24"/>
        </w:rPr>
      </w:pPr>
      <w:r>
        <w:fldChar w:fldCharType="begin"/>
      </w:r>
      <w:r>
        <w:instrText xml:space="preserve"> HYPERLINK \l "_Toc7478" </w:instrText>
      </w:r>
      <w:r>
        <w:fldChar w:fldCharType="separate"/>
      </w:r>
      <w:r>
        <w:rPr>
          <w:rFonts w:hint="eastAsia" w:ascii="宋体" w:hAnsi="宋体" w:cs="宋体"/>
          <w:b/>
          <w:sz w:val="24"/>
          <w:szCs w:val="24"/>
        </w:rPr>
        <w:t>四 、 售后服务</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_Toc7478 \h </w:instrText>
      </w:r>
      <w:r>
        <w:rPr>
          <w:rFonts w:hint="eastAsia" w:ascii="宋体" w:hAnsi="宋体" w:cs="宋体"/>
          <w:b/>
          <w:sz w:val="24"/>
          <w:szCs w:val="24"/>
        </w:rPr>
        <w:fldChar w:fldCharType="separate"/>
      </w:r>
      <w:r>
        <w:rPr>
          <w:rFonts w:hint="eastAsia" w:ascii="宋体" w:hAnsi="宋体" w:cs="宋体"/>
          <w:b/>
          <w:sz w:val="24"/>
          <w:szCs w:val="24"/>
        </w:rPr>
        <w:t>21</w:t>
      </w:r>
      <w:r>
        <w:rPr>
          <w:rFonts w:hint="eastAsia" w:ascii="宋体" w:hAnsi="宋体" w:cs="宋体"/>
          <w:b/>
          <w:sz w:val="24"/>
          <w:szCs w:val="24"/>
        </w:rPr>
        <w:fldChar w:fldCharType="end"/>
      </w:r>
      <w:r>
        <w:rPr>
          <w:rFonts w:hint="eastAsia" w:ascii="宋体" w:hAnsi="宋体" w:cs="宋体"/>
          <w:b/>
          <w:sz w:val="24"/>
          <w:szCs w:val="24"/>
        </w:rPr>
        <w:fldChar w:fldCharType="end"/>
      </w:r>
    </w:p>
    <w:p>
      <w:pPr>
        <w:pStyle w:val="55"/>
        <w:tabs>
          <w:tab w:val="right" w:leader="dot" w:pos="9638"/>
        </w:tabs>
        <w:spacing w:line="360" w:lineRule="auto"/>
        <w:ind w:left="420"/>
        <w:rPr>
          <w:rFonts w:ascii="宋体" w:hAnsi="宋体" w:cs="宋体"/>
          <w:sz w:val="24"/>
          <w:szCs w:val="24"/>
        </w:rPr>
      </w:pPr>
      <w:r>
        <w:fldChar w:fldCharType="begin"/>
      </w:r>
      <w:r>
        <w:instrText xml:space="preserve"> HYPERLINK \l "_Toc13709" </w:instrText>
      </w:r>
      <w:r>
        <w:fldChar w:fldCharType="separate"/>
      </w:r>
      <w:r>
        <w:rPr>
          <w:rFonts w:hint="eastAsia" w:ascii="宋体" w:hAnsi="宋体" w:cs="宋体"/>
          <w:sz w:val="24"/>
          <w:szCs w:val="24"/>
        </w:rPr>
        <w:t>4.1. 质保期内技术支持和服务</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_Toc13709 \h </w:instrText>
      </w:r>
      <w:r>
        <w:rPr>
          <w:rFonts w:hint="eastAsia" w:ascii="宋体" w:hAnsi="宋体" w:cs="宋体"/>
          <w:sz w:val="24"/>
          <w:szCs w:val="24"/>
        </w:rPr>
        <w:fldChar w:fldCharType="separate"/>
      </w:r>
      <w:r>
        <w:rPr>
          <w:rFonts w:hint="eastAsia" w:ascii="宋体" w:hAnsi="宋体" w:cs="宋体"/>
          <w:sz w:val="24"/>
          <w:szCs w:val="24"/>
        </w:rPr>
        <w:t>21</w:t>
      </w:r>
      <w:r>
        <w:rPr>
          <w:rFonts w:hint="eastAsia" w:ascii="宋体" w:hAnsi="宋体" w:cs="宋体"/>
          <w:sz w:val="24"/>
          <w:szCs w:val="24"/>
        </w:rPr>
        <w:fldChar w:fldCharType="end"/>
      </w:r>
      <w:r>
        <w:rPr>
          <w:rFonts w:hint="eastAsia" w:ascii="宋体" w:hAnsi="宋体" w:cs="宋体"/>
          <w:sz w:val="24"/>
          <w:szCs w:val="24"/>
        </w:rPr>
        <w:fldChar w:fldCharType="end"/>
      </w:r>
    </w:p>
    <w:p>
      <w:pPr>
        <w:pStyle w:val="55"/>
        <w:tabs>
          <w:tab w:val="right" w:leader="dot" w:pos="9638"/>
        </w:tabs>
        <w:spacing w:line="360" w:lineRule="auto"/>
        <w:ind w:left="420"/>
        <w:rPr>
          <w:rFonts w:ascii="宋体" w:hAnsi="宋体" w:cs="宋体"/>
          <w:sz w:val="24"/>
          <w:szCs w:val="24"/>
        </w:rPr>
      </w:pPr>
      <w:r>
        <w:fldChar w:fldCharType="begin"/>
      </w:r>
      <w:r>
        <w:instrText xml:space="preserve"> HYPERLINK \l "_Toc11733" </w:instrText>
      </w:r>
      <w:r>
        <w:fldChar w:fldCharType="separate"/>
      </w:r>
      <w:r>
        <w:rPr>
          <w:rFonts w:hint="eastAsia" w:ascii="宋体" w:hAnsi="宋体" w:cs="宋体"/>
          <w:sz w:val="24"/>
          <w:szCs w:val="24"/>
        </w:rPr>
        <w:t>4.2. 质保期后技术支持和服务</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_Toc11733 \h </w:instrText>
      </w:r>
      <w:r>
        <w:rPr>
          <w:rFonts w:hint="eastAsia" w:ascii="宋体" w:hAnsi="宋体" w:cs="宋体"/>
          <w:sz w:val="24"/>
          <w:szCs w:val="24"/>
        </w:rPr>
        <w:fldChar w:fldCharType="separate"/>
      </w:r>
      <w:r>
        <w:rPr>
          <w:rFonts w:hint="eastAsia" w:ascii="宋体" w:hAnsi="宋体" w:cs="宋体"/>
          <w:sz w:val="24"/>
          <w:szCs w:val="24"/>
        </w:rPr>
        <w:t>23</w:t>
      </w:r>
      <w:r>
        <w:rPr>
          <w:rFonts w:hint="eastAsia" w:ascii="宋体" w:hAnsi="宋体" w:cs="宋体"/>
          <w:sz w:val="24"/>
          <w:szCs w:val="24"/>
        </w:rPr>
        <w:fldChar w:fldCharType="end"/>
      </w:r>
      <w:r>
        <w:rPr>
          <w:rFonts w:hint="eastAsia" w:ascii="宋体" w:hAnsi="宋体" w:cs="宋体"/>
          <w:sz w:val="24"/>
          <w:szCs w:val="24"/>
        </w:rPr>
        <w:fldChar w:fldCharType="end"/>
      </w:r>
    </w:p>
    <w:p>
      <w:pPr>
        <w:jc w:val="center"/>
      </w:pPr>
      <w:r>
        <w:rPr>
          <w:b/>
        </w:rPr>
        <w:fldChar w:fldCharType="end"/>
      </w:r>
    </w:p>
    <w:p>
      <w:pPr>
        <w:pStyle w:val="2"/>
      </w:pPr>
      <w:r>
        <w:rPr>
          <w:rFonts w:hint="eastAsia"/>
        </w:rPr>
        <w:br w:type="page"/>
      </w:r>
      <w:bookmarkStart w:id="8" w:name="_Hlt186340584"/>
      <w:bookmarkStart w:id="9" w:name="_Toc27708"/>
      <w:bookmarkStart w:id="10" w:name="_Toc10526"/>
      <w:bookmarkStart w:id="11" w:name="_Toc3377"/>
      <w:bookmarkStart w:id="12" w:name="_Toc31378"/>
      <w:bookmarkStart w:id="13" w:name="_Toc28042"/>
      <w:bookmarkStart w:id="14" w:name="_Toc20354"/>
      <w:bookmarkStart w:id="15" w:name="_Toc9465"/>
      <w:bookmarkStart w:id="16" w:name="_Toc19488"/>
      <w:bookmarkStart w:id="17" w:name="_Toc27520"/>
      <w:bookmarkStart w:id="18" w:name="_Toc2335"/>
      <w:r>
        <w:rPr>
          <w:rFonts w:hint="eastAsia"/>
        </w:rPr>
        <w:t>总则</w:t>
      </w:r>
      <w:bookmarkEnd w:id="3"/>
      <w:bookmarkEnd w:id="4"/>
      <w:bookmarkEnd w:id="5"/>
      <w:bookmarkEnd w:id="6"/>
      <w:bookmarkEnd w:id="8"/>
      <w:bookmarkEnd w:id="9"/>
      <w:bookmarkEnd w:id="10"/>
      <w:bookmarkEnd w:id="11"/>
      <w:bookmarkEnd w:id="12"/>
      <w:bookmarkEnd w:id="13"/>
      <w:bookmarkEnd w:id="14"/>
      <w:bookmarkEnd w:id="15"/>
      <w:bookmarkEnd w:id="16"/>
      <w:bookmarkEnd w:id="17"/>
      <w:bookmarkEnd w:id="18"/>
    </w:p>
    <w:p>
      <w:pPr>
        <w:pStyle w:val="3"/>
      </w:pPr>
      <w:bookmarkStart w:id="19" w:name="_Toc16960"/>
      <w:bookmarkStart w:id="20" w:name="_Toc6643"/>
      <w:bookmarkStart w:id="21" w:name="_Toc178435218"/>
      <w:bookmarkStart w:id="22" w:name="_Toc1635"/>
      <w:bookmarkStart w:id="23" w:name="_Toc32689"/>
      <w:bookmarkStart w:id="24" w:name="_Hlt186340608"/>
      <w:bookmarkStart w:id="25" w:name="_Toc35246425"/>
      <w:bookmarkStart w:id="26" w:name="_Toc178435079"/>
      <w:bookmarkStart w:id="27" w:name="_Toc5776"/>
      <w:bookmarkStart w:id="28" w:name="_Toc23412"/>
      <w:bookmarkStart w:id="29" w:name="_Toc26411"/>
      <w:bookmarkStart w:id="30" w:name="_Toc25379"/>
      <w:bookmarkStart w:id="31" w:name="_Toc181697740"/>
      <w:r>
        <w:rPr>
          <w:rFonts w:hint="eastAsia"/>
        </w:rPr>
        <w:t>一般规定</w:t>
      </w:r>
      <w:bookmarkEnd w:id="19"/>
      <w:bookmarkEnd w:id="20"/>
      <w:bookmarkEnd w:id="21"/>
      <w:bookmarkEnd w:id="22"/>
      <w:bookmarkEnd w:id="23"/>
      <w:bookmarkEnd w:id="24"/>
      <w:bookmarkEnd w:id="25"/>
      <w:bookmarkEnd w:id="26"/>
      <w:bookmarkEnd w:id="27"/>
      <w:bookmarkEnd w:id="28"/>
      <w:bookmarkEnd w:id="29"/>
      <w:bookmarkEnd w:id="30"/>
      <w:bookmarkEnd w:id="31"/>
    </w:p>
    <w:p>
      <w:pPr>
        <w:numPr>
          <w:ilvl w:val="0"/>
          <w:numId w:val="3"/>
        </w:numPr>
        <w:spacing w:line="360" w:lineRule="auto"/>
        <w:rPr>
          <w:rFonts w:ascii="宋体" w:hAnsi="宋体"/>
          <w:sz w:val="24"/>
        </w:rPr>
      </w:pPr>
      <w:r>
        <w:rPr>
          <w:rFonts w:hint="eastAsia" w:ascii="宋体" w:hAnsi="宋体"/>
          <w:sz w:val="24"/>
        </w:rPr>
        <w:t>投标方提供的货物满足本次工程的相关要求，本招标文件的所有解释权归南方电网公司。</w:t>
      </w:r>
    </w:p>
    <w:p>
      <w:pPr>
        <w:numPr>
          <w:ilvl w:val="0"/>
          <w:numId w:val="3"/>
        </w:numPr>
        <w:spacing w:line="360" w:lineRule="auto"/>
        <w:rPr>
          <w:rFonts w:ascii="宋体" w:hAnsi="宋体"/>
          <w:sz w:val="24"/>
        </w:rPr>
      </w:pPr>
      <w:r>
        <w:rPr>
          <w:rFonts w:hint="eastAsia" w:ascii="宋体" w:hAnsi="宋体"/>
          <w:sz w:val="24"/>
        </w:rPr>
        <w:t>本招标文件范围包括采购企业级中间件应用服务器软件产品及相应的技术培训服务、售后服务等服务。招标方有权根据需要授予投标方部分或全部合同，招标方有权根据投标方投标的投标单价调整采购的数量。</w:t>
      </w:r>
    </w:p>
    <w:p>
      <w:pPr>
        <w:numPr>
          <w:ilvl w:val="0"/>
          <w:numId w:val="3"/>
        </w:numPr>
        <w:spacing w:line="360" w:lineRule="auto"/>
        <w:rPr>
          <w:rFonts w:ascii="宋体" w:hAnsi="宋体"/>
          <w:sz w:val="24"/>
        </w:rPr>
      </w:pPr>
      <w:r>
        <w:rPr>
          <w:rFonts w:hint="eastAsia" w:ascii="宋体" w:hAnsi="宋体"/>
          <w:sz w:val="24"/>
        </w:rPr>
        <w:t>投标方按照本技术规范书的要求，本着认真负责的态度提供给招标方一个整体设计方案，不可遗漏，否则一旦入选将认为投标方认同遗漏部分并免费提供。</w:t>
      </w:r>
    </w:p>
    <w:p>
      <w:pPr>
        <w:numPr>
          <w:ilvl w:val="0"/>
          <w:numId w:val="3"/>
        </w:numPr>
        <w:spacing w:line="360" w:lineRule="auto"/>
        <w:rPr>
          <w:rFonts w:ascii="宋体" w:hAnsi="宋体"/>
          <w:sz w:val="24"/>
        </w:rPr>
      </w:pPr>
      <w:r>
        <w:rPr>
          <w:rFonts w:hint="eastAsia" w:ascii="宋体" w:hAnsi="宋体"/>
          <w:sz w:val="24"/>
        </w:rPr>
        <w:t>投标方按照本技术规范书的顺序对各章的每一项给与回答。</w:t>
      </w:r>
    </w:p>
    <w:p>
      <w:pPr>
        <w:numPr>
          <w:ilvl w:val="0"/>
          <w:numId w:val="3"/>
        </w:numPr>
        <w:spacing w:line="360" w:lineRule="auto"/>
        <w:rPr>
          <w:rFonts w:ascii="宋体" w:hAnsi="宋体"/>
          <w:sz w:val="24"/>
        </w:rPr>
      </w:pPr>
      <w:r>
        <w:rPr>
          <w:rFonts w:hint="eastAsia" w:ascii="宋体" w:hAnsi="宋体"/>
          <w:sz w:val="24"/>
        </w:rPr>
        <w:t>投标方满足本技术规范书的要求，否则其投标书将被拒绝，并被认作没有回答；如果投标商没有以书面形式对本标书的条文提出异议，则意味着投标商提供的系统完全符合本标书的要求。如有异议，不管是多么微小，都在投标书中以“技术规格偏离”为标题的专门章节加以详细的描述。</w:t>
      </w:r>
    </w:p>
    <w:p>
      <w:pPr>
        <w:numPr>
          <w:ilvl w:val="0"/>
          <w:numId w:val="3"/>
        </w:numPr>
        <w:spacing w:line="360" w:lineRule="auto"/>
        <w:rPr>
          <w:rFonts w:ascii="宋体" w:hAnsi="宋体"/>
          <w:sz w:val="24"/>
        </w:rPr>
      </w:pPr>
      <w:r>
        <w:rPr>
          <w:rFonts w:hint="eastAsia" w:ascii="宋体" w:hAnsi="宋体"/>
          <w:sz w:val="24"/>
        </w:rPr>
        <w:t>投标书的内容包括招标方要求的全部技术要求和软件功能需求。</w:t>
      </w:r>
    </w:p>
    <w:p>
      <w:pPr>
        <w:numPr>
          <w:ilvl w:val="0"/>
          <w:numId w:val="3"/>
        </w:numPr>
        <w:spacing w:line="360" w:lineRule="auto"/>
        <w:rPr>
          <w:rFonts w:ascii="宋体" w:hAnsi="宋体"/>
          <w:sz w:val="24"/>
        </w:rPr>
      </w:pPr>
      <w:r>
        <w:rPr>
          <w:rFonts w:hint="eastAsia" w:ascii="宋体" w:hAnsi="宋体"/>
          <w:sz w:val="24"/>
        </w:rPr>
        <w:t>投标方提供满足本技术规范书要求的完整系统和服务支持。</w:t>
      </w:r>
    </w:p>
    <w:p>
      <w:pPr>
        <w:numPr>
          <w:ilvl w:val="0"/>
          <w:numId w:val="3"/>
        </w:numPr>
        <w:spacing w:line="360" w:lineRule="auto"/>
        <w:rPr>
          <w:rFonts w:ascii="宋体" w:hAnsi="宋体"/>
          <w:sz w:val="24"/>
        </w:rPr>
      </w:pPr>
      <w:r>
        <w:rPr>
          <w:rFonts w:hint="eastAsia" w:ascii="宋体" w:hAnsi="宋体"/>
          <w:sz w:val="24"/>
        </w:rPr>
        <w:t>投标方提供系统建设的工作内容、工程进度表及参与开发的工程师资质。进度表内容至少包括现场安装、系统联调、技术培训、用户操作培训等。</w:t>
      </w:r>
    </w:p>
    <w:p>
      <w:pPr>
        <w:numPr>
          <w:ilvl w:val="0"/>
          <w:numId w:val="3"/>
        </w:numPr>
        <w:spacing w:line="360" w:lineRule="auto"/>
        <w:rPr>
          <w:rFonts w:ascii="宋体" w:hAnsi="宋体"/>
          <w:sz w:val="24"/>
        </w:rPr>
      </w:pPr>
      <w:r>
        <w:rPr>
          <w:rFonts w:hint="eastAsia" w:ascii="宋体" w:hAnsi="宋体"/>
          <w:sz w:val="24"/>
        </w:rPr>
        <w:t>投标方负责在项目完成时提交系统的全部文档给招标方，包括产品维护手册、使用手册等资料，文档包括电子文档和纸面文档的形式，份数满足现场使用的需要。</w:t>
      </w:r>
    </w:p>
    <w:p>
      <w:pPr>
        <w:pStyle w:val="7"/>
        <w:numPr>
          <w:ilvl w:val="0"/>
          <w:numId w:val="3"/>
        </w:numPr>
        <w:ind w:firstLineChars="0"/>
        <w:rPr>
          <w:rFonts w:ascii="宋体" w:hAnsi="宋体"/>
          <w:sz w:val="24"/>
        </w:rPr>
      </w:pPr>
      <w:r>
        <w:rPr>
          <w:rFonts w:hint="eastAsia" w:ascii="宋体" w:hAnsi="宋体"/>
          <w:sz w:val="24"/>
        </w:rPr>
        <w:t>投标方保证对本次所有技术文件保密，未经许可，不得向其他单位或个人公布招标方的有关材料。投标方保证所提供的所有资料真实、完整、准确无误，否则招标方将有权取消投标方的中标资格，由此产生的一切后果由投标方承担。</w:t>
      </w:r>
    </w:p>
    <w:p>
      <w:pPr>
        <w:numPr>
          <w:ilvl w:val="0"/>
          <w:numId w:val="3"/>
        </w:numPr>
        <w:spacing w:line="360" w:lineRule="auto"/>
        <w:rPr>
          <w:rFonts w:ascii="宋体" w:hAnsi="宋体"/>
          <w:sz w:val="24"/>
        </w:rPr>
      </w:pPr>
      <w:r>
        <w:rPr>
          <w:rFonts w:hint="eastAsia" w:ascii="宋体" w:hAnsi="宋体"/>
          <w:sz w:val="24"/>
        </w:rPr>
        <w:t>投标方所提供的所有资料，包括投标书，技术协议等同时提供纸面文档及电子文档，报价表提供Excel格式电子文件。</w:t>
      </w:r>
    </w:p>
    <w:p>
      <w:pPr>
        <w:numPr>
          <w:ilvl w:val="0"/>
          <w:numId w:val="3"/>
        </w:numPr>
        <w:spacing w:line="360" w:lineRule="auto"/>
        <w:rPr>
          <w:rFonts w:ascii="宋体" w:hAnsi="宋体"/>
          <w:sz w:val="24"/>
        </w:rPr>
      </w:pPr>
      <w:r>
        <w:rPr>
          <w:rFonts w:hint="eastAsia" w:ascii="宋体" w:hAnsi="宋体"/>
          <w:sz w:val="24"/>
        </w:rPr>
        <w:t>投标方承诺在本系统开发与今后的运行中所有应用的软件均是正版并具备合法授权，在今后的使用中能合法提供给使用方使用。不得存在任何版权问题。</w:t>
      </w:r>
    </w:p>
    <w:p>
      <w:pPr>
        <w:numPr>
          <w:ilvl w:val="0"/>
          <w:numId w:val="3"/>
        </w:numPr>
        <w:spacing w:line="360" w:lineRule="auto"/>
        <w:rPr>
          <w:rFonts w:ascii="宋体" w:hAnsi="宋体"/>
          <w:sz w:val="24"/>
        </w:rPr>
      </w:pPr>
      <w:r>
        <w:rPr>
          <w:rFonts w:hint="eastAsia" w:ascii="宋体" w:hAnsi="宋体"/>
          <w:sz w:val="24"/>
        </w:rPr>
        <w:t>本系统具体标准、组织结构、业务流程、功能模块划分以实施时情况为准，投标方报价视为已包含此项变化可能带来的费用变更和风险。</w:t>
      </w:r>
    </w:p>
    <w:p>
      <w:pPr>
        <w:numPr>
          <w:ilvl w:val="0"/>
          <w:numId w:val="3"/>
        </w:numPr>
        <w:spacing w:line="360" w:lineRule="auto"/>
        <w:rPr>
          <w:rFonts w:ascii="宋体" w:hAnsi="宋体"/>
          <w:sz w:val="24"/>
        </w:rPr>
      </w:pPr>
      <w:r>
        <w:rPr>
          <w:rFonts w:hint="eastAsia" w:ascii="宋体" w:hAnsi="宋体"/>
          <w:sz w:val="24"/>
        </w:rPr>
        <w:t>设联会所产生的会议场地、食宿、交通、资料等甲乙双方费用由投标方负责。</w:t>
      </w:r>
    </w:p>
    <w:p>
      <w:pPr>
        <w:numPr>
          <w:ilvl w:val="0"/>
          <w:numId w:val="3"/>
        </w:numPr>
        <w:spacing w:line="360" w:lineRule="auto"/>
        <w:rPr>
          <w:rFonts w:ascii="宋体" w:hAnsi="宋体"/>
          <w:sz w:val="24"/>
        </w:rPr>
      </w:pPr>
      <w:r>
        <w:rPr>
          <w:rFonts w:hint="eastAsia" w:ascii="宋体" w:hAnsi="宋体"/>
          <w:sz w:val="24"/>
        </w:rPr>
        <w:t>中标人提供的产品若不符合国家网络安全审查等相关政策，由中标人免费进行更换。</w:t>
      </w:r>
    </w:p>
    <w:p>
      <w:pPr>
        <w:pStyle w:val="3"/>
      </w:pPr>
      <w:bookmarkStart w:id="32" w:name="_Toc27956"/>
      <w:bookmarkStart w:id="33" w:name="_Toc35246426"/>
      <w:bookmarkStart w:id="34" w:name="_Toc10560"/>
      <w:bookmarkStart w:id="35" w:name="_Toc178435219"/>
      <w:bookmarkStart w:id="36" w:name="_Toc178435080"/>
      <w:bookmarkStart w:id="37" w:name="_Toc16334"/>
      <w:bookmarkStart w:id="38" w:name="_Toc18949"/>
      <w:bookmarkStart w:id="39" w:name="_Toc3116"/>
      <w:bookmarkStart w:id="40" w:name="_Toc181697741"/>
      <w:bookmarkStart w:id="41" w:name="_Toc21634"/>
      <w:bookmarkStart w:id="42" w:name="_Hlt186340843"/>
      <w:bookmarkStart w:id="43" w:name="_Toc9682"/>
      <w:bookmarkStart w:id="44" w:name="_Toc5668"/>
      <w:r>
        <w:rPr>
          <w:rFonts w:hint="eastAsia"/>
        </w:rPr>
        <w:t>标准和性能</w:t>
      </w:r>
      <w:bookmarkEnd w:id="32"/>
      <w:bookmarkEnd w:id="33"/>
      <w:bookmarkEnd w:id="34"/>
      <w:bookmarkEnd w:id="35"/>
      <w:bookmarkEnd w:id="36"/>
      <w:bookmarkEnd w:id="37"/>
      <w:bookmarkEnd w:id="38"/>
      <w:bookmarkEnd w:id="39"/>
      <w:bookmarkEnd w:id="40"/>
      <w:bookmarkEnd w:id="41"/>
      <w:bookmarkEnd w:id="42"/>
      <w:bookmarkEnd w:id="43"/>
      <w:bookmarkEnd w:id="44"/>
    </w:p>
    <w:p>
      <w:pPr>
        <w:numPr>
          <w:ilvl w:val="0"/>
          <w:numId w:val="3"/>
        </w:numPr>
        <w:spacing w:line="360" w:lineRule="auto"/>
        <w:rPr>
          <w:rFonts w:ascii="宋体" w:hAnsi="宋体"/>
          <w:sz w:val="24"/>
        </w:rPr>
      </w:pPr>
      <w:r>
        <w:rPr>
          <w:rFonts w:hint="eastAsia" w:ascii="宋体" w:hAnsi="宋体"/>
          <w:sz w:val="24"/>
        </w:rPr>
        <w:t>投标单位提供的各项设备和系统的特点、性能完全符合招标方指明的标准，并满足或高于招标方提出的要求。</w:t>
      </w:r>
    </w:p>
    <w:p>
      <w:pPr>
        <w:numPr>
          <w:ilvl w:val="0"/>
          <w:numId w:val="3"/>
        </w:numPr>
        <w:spacing w:line="360" w:lineRule="auto"/>
        <w:rPr>
          <w:rFonts w:ascii="宋体" w:hAnsi="宋体"/>
          <w:sz w:val="24"/>
        </w:rPr>
      </w:pPr>
      <w:r>
        <w:rPr>
          <w:rFonts w:hint="eastAsia" w:ascii="宋体" w:hAnsi="宋体"/>
          <w:sz w:val="24"/>
        </w:rPr>
        <w:t>投标单位提供的设备符合最新的、可适用的国际电工委员会（IEC ）、国际电信联盟标</w:t>
      </w:r>
      <w:bookmarkStart w:id="45" w:name="_Hlt186340721"/>
      <w:bookmarkEnd w:id="45"/>
      <w:r>
        <w:rPr>
          <w:rFonts w:hint="eastAsia" w:ascii="宋体" w:hAnsi="宋体"/>
          <w:sz w:val="24"/>
        </w:rPr>
        <w:t>准化组织（ITU-T）建议和中国国家标准、信息产业部标准以及电力行业、南方电网公司相关标准，但投标单位可以提供经招标方认可的符合产地同类工艺国家标准的设备或材料。在后者情况下，用英语复制有关标准或章节随投标文件同时提供。</w:t>
      </w:r>
    </w:p>
    <w:p>
      <w:pPr>
        <w:pStyle w:val="2"/>
      </w:pPr>
      <w:bookmarkStart w:id="46" w:name="_Toc178435081"/>
      <w:bookmarkStart w:id="47" w:name="_Toc178435220"/>
      <w:r>
        <w:br w:type="page"/>
      </w:r>
      <w:bookmarkEnd w:id="46"/>
      <w:bookmarkEnd w:id="47"/>
      <w:bookmarkStart w:id="48" w:name="_Toc35246427"/>
      <w:bookmarkStart w:id="49" w:name="_Toc6920"/>
      <w:bookmarkStart w:id="50" w:name="_Toc2166"/>
      <w:bookmarkStart w:id="51" w:name="_Toc14893"/>
      <w:bookmarkStart w:id="52" w:name="_Toc25848"/>
      <w:bookmarkStart w:id="53" w:name="_Toc27408"/>
      <w:bookmarkStart w:id="54" w:name="_Toc220"/>
      <w:bookmarkStart w:id="55" w:name="_Toc26569"/>
      <w:bookmarkStart w:id="56" w:name="_Toc10680"/>
      <w:bookmarkStart w:id="57" w:name="_Toc9467"/>
      <w:bookmarkStart w:id="58" w:name="_Toc9533"/>
      <w:r>
        <w:rPr>
          <w:rFonts w:hint="eastAsia"/>
        </w:rPr>
        <w:t>项目概况</w:t>
      </w:r>
      <w:bookmarkEnd w:id="48"/>
      <w:bookmarkEnd w:id="49"/>
      <w:bookmarkEnd w:id="50"/>
      <w:bookmarkEnd w:id="51"/>
      <w:bookmarkEnd w:id="52"/>
      <w:bookmarkEnd w:id="53"/>
      <w:bookmarkEnd w:id="54"/>
      <w:bookmarkEnd w:id="55"/>
      <w:bookmarkEnd w:id="56"/>
      <w:bookmarkEnd w:id="57"/>
      <w:bookmarkEnd w:id="58"/>
    </w:p>
    <w:p>
      <w:pPr>
        <w:pStyle w:val="3"/>
      </w:pPr>
      <w:bookmarkStart w:id="59" w:name="_Toc35246428"/>
      <w:bookmarkStart w:id="60" w:name="_Toc23336"/>
      <w:bookmarkStart w:id="61" w:name="_Toc29118"/>
      <w:bookmarkStart w:id="62" w:name="_Toc26722"/>
      <w:bookmarkStart w:id="63" w:name="_Toc19264"/>
      <w:bookmarkStart w:id="64" w:name="_Toc20048"/>
      <w:bookmarkStart w:id="65" w:name="_Toc30940"/>
      <w:bookmarkStart w:id="66" w:name="_Toc14275"/>
      <w:bookmarkStart w:id="67" w:name="_Toc19609"/>
      <w:bookmarkStart w:id="68" w:name="_Hlt186343880"/>
      <w:bookmarkStart w:id="69" w:name="_Toc24738"/>
      <w:bookmarkStart w:id="70" w:name="_Toc24778"/>
      <w:r>
        <w:rPr>
          <w:rFonts w:hint="eastAsia"/>
        </w:rPr>
        <w:t>项目背景</w:t>
      </w:r>
      <w:bookmarkEnd w:id="59"/>
      <w:bookmarkEnd w:id="60"/>
      <w:bookmarkEnd w:id="61"/>
      <w:bookmarkEnd w:id="62"/>
      <w:bookmarkEnd w:id="63"/>
      <w:bookmarkEnd w:id="64"/>
      <w:bookmarkEnd w:id="65"/>
      <w:bookmarkEnd w:id="66"/>
      <w:bookmarkEnd w:id="67"/>
      <w:bookmarkEnd w:id="68"/>
      <w:bookmarkEnd w:id="69"/>
      <w:bookmarkEnd w:id="70"/>
    </w:p>
    <w:p>
      <w:pPr>
        <w:spacing w:line="360" w:lineRule="auto"/>
        <w:ind w:firstLine="480" w:firstLineChars="200"/>
        <w:rPr>
          <w:sz w:val="24"/>
        </w:rPr>
      </w:pPr>
      <w:r>
        <w:rPr>
          <w:rFonts w:hint="eastAsia"/>
          <w:sz w:val="24"/>
        </w:rPr>
        <w:t>中国南方电网有限责任公司成立于</w:t>
      </w:r>
      <w:r>
        <w:rPr>
          <w:sz w:val="24"/>
        </w:rPr>
        <w:t>2002</w:t>
      </w:r>
      <w:r>
        <w:rPr>
          <w:rFonts w:hint="eastAsia"/>
          <w:sz w:val="24"/>
        </w:rPr>
        <w:t>年底，是由中央管理的国有特大型企业，从事国民经济的基础产业和国计民生的公用事业，关系到国民经济命脉、国家能源安全与社会稳定大局，在国民经济和社会发展中发挥着举足轻重的作用。公司经营范围为广东、广西、云南、贵州和海南五省区，负责投资、建设和运营管理南方电网。</w:t>
      </w:r>
    </w:p>
    <w:p>
      <w:pPr>
        <w:spacing w:line="360" w:lineRule="auto"/>
        <w:ind w:firstLine="480" w:firstLineChars="200"/>
        <w:rPr>
          <w:sz w:val="24"/>
        </w:rPr>
      </w:pPr>
      <w:r>
        <w:rPr>
          <w:rFonts w:hint="eastAsia"/>
          <w:sz w:val="24"/>
        </w:rPr>
        <w:t>为贯彻落实《网络安全法》、《南方电网公司“十四五”数字化规划》、《南方电网公司“十四五”数字化规划实施机制》、《关于加强全网信息资源统一管控确保网络安全的通知》等相关要求，推进数据库应用中间件自主可控。2020年以来，以平台促应用、应用促建设，大力推进数字化技术与业务的深度融合应用，促进各业务平台的建设；发挥分子公司的优势，基于数字化基础平台开展个性化应用；2021年-2023年，认真落实国家关于自主可控的文件精神，积极参加信创联盟，大力推动操作系统、芯片、数据库、中间件等IT自主可控基础设施应用，实现基础平台信创自主可控“一云多芯”，全网统一采购的自主可控应用中间件开展大范围应用推广上线，取得良好成效。</w:t>
      </w:r>
    </w:p>
    <w:p>
      <w:pPr>
        <w:spacing w:line="360" w:lineRule="auto"/>
        <w:ind w:firstLine="480" w:firstLineChars="200"/>
        <w:rPr>
          <w:sz w:val="24"/>
        </w:rPr>
      </w:pPr>
      <w:r>
        <w:rPr>
          <w:rFonts w:hint="eastAsia"/>
          <w:sz w:val="24"/>
        </w:rPr>
        <w:t>目前，南网迅速落实推进应用服务器中间件自主可控，在网侧已完成40多个系统的中间件改造上线，完成20多个系统的适配改造测试工作并持续推进全网范围信息系统自主可控适配改造。当前自主可控中间件推广进一步从总部系统向全网推广，技术路线统一趋势已形成，且新增一批功能需求。</w:t>
      </w:r>
    </w:p>
    <w:p>
      <w:pPr>
        <w:spacing w:line="360" w:lineRule="auto"/>
        <w:ind w:firstLine="480" w:firstLineChars="200"/>
        <w:rPr>
          <w:sz w:val="24"/>
        </w:rPr>
      </w:pPr>
    </w:p>
    <w:p>
      <w:pPr>
        <w:pStyle w:val="3"/>
      </w:pPr>
      <w:bookmarkStart w:id="71" w:name="_Toc35246429"/>
      <w:bookmarkStart w:id="72" w:name="_Toc26833"/>
      <w:bookmarkStart w:id="73" w:name="_Toc12513"/>
      <w:bookmarkStart w:id="74" w:name="_Toc23200"/>
      <w:bookmarkStart w:id="75" w:name="_Toc3805"/>
      <w:bookmarkStart w:id="76" w:name="_Toc4338"/>
      <w:bookmarkStart w:id="77" w:name="_Toc144"/>
      <w:bookmarkStart w:id="78" w:name="_Toc19172"/>
      <w:bookmarkStart w:id="79" w:name="_Toc5363"/>
      <w:bookmarkStart w:id="80" w:name="_Hlt186343895"/>
      <w:bookmarkStart w:id="81" w:name="_Toc27525"/>
      <w:bookmarkStart w:id="82" w:name="_Toc23931"/>
      <w:r>
        <w:rPr>
          <w:rFonts w:hint="eastAsia"/>
        </w:rPr>
        <w:t>项目建设目标</w:t>
      </w:r>
      <w:bookmarkEnd w:id="71"/>
      <w:bookmarkEnd w:id="72"/>
      <w:bookmarkEnd w:id="73"/>
      <w:bookmarkEnd w:id="74"/>
      <w:bookmarkEnd w:id="75"/>
      <w:bookmarkEnd w:id="76"/>
      <w:bookmarkEnd w:id="77"/>
      <w:bookmarkEnd w:id="78"/>
      <w:bookmarkEnd w:id="79"/>
      <w:bookmarkEnd w:id="80"/>
      <w:bookmarkEnd w:id="81"/>
      <w:bookmarkEnd w:id="82"/>
      <w:r>
        <w:tab/>
      </w:r>
    </w:p>
    <w:p>
      <w:pPr>
        <w:spacing w:line="360" w:lineRule="auto"/>
        <w:ind w:firstLine="480" w:firstLineChars="200"/>
        <w:rPr>
          <w:sz w:val="24"/>
        </w:rPr>
      </w:pPr>
      <w:r>
        <w:rPr>
          <w:rFonts w:hint="eastAsia"/>
          <w:sz w:val="24"/>
        </w:rPr>
        <w:t>1、进一步推进南方电网公司企业级中间件应用服务器软件在全网范围内的公司统一选型、统一规格、统一技术标准，满足公司一体化信息化管控相关要求，满足存量业务及新兴业务技术需要。</w:t>
      </w:r>
    </w:p>
    <w:p>
      <w:pPr>
        <w:spacing w:line="360" w:lineRule="auto"/>
        <w:ind w:firstLine="480" w:firstLineChars="200"/>
      </w:pPr>
      <w:r>
        <w:rPr>
          <w:rFonts w:hint="eastAsia"/>
          <w:sz w:val="24"/>
        </w:rPr>
        <w:t>2、企业级中间件应用服务器软件采用自主可控主流产品，符合南网数字电网云上及非云业务建设现状，保证在性能、安全性、稳定性、资源占用率、扩展能力、可移植性以及分布式集群方面具有较强技术优势，且具备应用范围广泛、普及程度高、开发框架适配全面、易用性好等特性。</w:t>
      </w:r>
    </w:p>
    <w:p>
      <w:pPr>
        <w:spacing w:line="360" w:lineRule="auto"/>
        <w:ind w:firstLine="420" w:firstLineChars="200"/>
      </w:pPr>
    </w:p>
    <w:p>
      <w:pPr>
        <w:pStyle w:val="3"/>
      </w:pPr>
      <w:bookmarkStart w:id="83" w:name="_Toc17117"/>
      <w:bookmarkStart w:id="84" w:name="_Toc35246430"/>
      <w:bookmarkStart w:id="85" w:name="_Toc75916845"/>
      <w:bookmarkStart w:id="86" w:name="_Toc28131"/>
      <w:bookmarkStart w:id="87" w:name="_Toc21379"/>
      <w:bookmarkStart w:id="88" w:name="_Toc1485"/>
      <w:bookmarkStart w:id="89" w:name="_Toc17763"/>
      <w:bookmarkStart w:id="90" w:name="_Hlt186343918"/>
      <w:bookmarkStart w:id="91" w:name="_Toc14322"/>
      <w:bookmarkStart w:id="92" w:name="_Toc31710"/>
      <w:bookmarkStart w:id="93" w:name="_Toc16994"/>
      <w:bookmarkStart w:id="94" w:name="_Toc71964717"/>
      <w:bookmarkStart w:id="95" w:name="_Toc161723324"/>
      <w:bookmarkStart w:id="96" w:name="_Toc29535"/>
      <w:bookmarkStart w:id="97" w:name="_Toc75845677"/>
      <w:bookmarkStart w:id="98" w:name="_Toc23169"/>
      <w:r>
        <w:rPr>
          <w:rFonts w:hint="eastAsia"/>
        </w:rPr>
        <w:t>项目原则</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pPr>
        <w:pStyle w:val="4"/>
      </w:pPr>
      <w:bookmarkStart w:id="99" w:name="_Toc161723325"/>
      <w:bookmarkStart w:id="100" w:name="_Toc198458223"/>
      <w:bookmarkStart w:id="101" w:name="_Toc198458376"/>
      <w:bookmarkStart w:id="102" w:name="_Toc198458125"/>
      <w:r>
        <w:t>统一规划，加强协同原则</w:t>
      </w:r>
      <w:bookmarkEnd w:id="99"/>
      <w:bookmarkEnd w:id="100"/>
      <w:bookmarkEnd w:id="101"/>
      <w:bookmarkEnd w:id="102"/>
    </w:p>
    <w:p>
      <w:pPr>
        <w:spacing w:line="360" w:lineRule="auto"/>
        <w:ind w:firstLine="480" w:firstLineChars="200"/>
        <w:rPr>
          <w:rFonts w:ascii="宋体" w:hAnsi="宋体" w:cs="宋体"/>
          <w:kern w:val="0"/>
          <w:sz w:val="24"/>
        </w:rPr>
      </w:pPr>
      <w:r>
        <w:rPr>
          <w:rFonts w:hint="eastAsia" w:ascii="宋体" w:hAnsi="宋体" w:cs="宋体"/>
          <w:kern w:val="0"/>
          <w:sz w:val="24"/>
        </w:rPr>
        <w:t>系统</w:t>
      </w:r>
      <w:r>
        <w:rPr>
          <w:rFonts w:ascii="宋体" w:hAnsi="宋体" w:cs="宋体"/>
          <w:kern w:val="0"/>
          <w:sz w:val="24"/>
        </w:rPr>
        <w:t>建设按照统一部署、统一规划原则。在</w:t>
      </w:r>
      <w:bookmarkStart w:id="103" w:name="cl33"/>
      <w:bookmarkEnd w:id="103"/>
      <w:r>
        <w:rPr>
          <w:rFonts w:hint="eastAsia" w:ascii="宋体" w:hAnsi="宋体" w:cs="宋体"/>
          <w:kern w:val="0"/>
          <w:sz w:val="24"/>
        </w:rPr>
        <w:t>南方电网公司统一领导下</w:t>
      </w:r>
      <w:r>
        <w:rPr>
          <w:rFonts w:ascii="宋体" w:hAnsi="宋体" w:cs="宋体"/>
          <w:kern w:val="0"/>
          <w:sz w:val="24"/>
        </w:rPr>
        <w:t>，统筹规划、宏观调控、组织推进、</w:t>
      </w:r>
      <w:bookmarkStart w:id="104" w:name="_Toc198458224"/>
      <w:bookmarkStart w:id="105" w:name="_Toc198458126"/>
      <w:bookmarkStart w:id="106" w:name="_Toc198458377"/>
      <w:bookmarkStart w:id="107" w:name="_Toc161723326"/>
      <w:r>
        <w:rPr>
          <w:rFonts w:hint="eastAsia" w:ascii="宋体" w:hAnsi="宋体" w:cs="宋体"/>
          <w:kern w:val="0"/>
          <w:sz w:val="24"/>
        </w:rPr>
        <w:t>保证在系统软件层面上全公司统一选型、统一规格、统一技术标准，为扎实有效推进公司一体化信息化管控战略奠定基础。</w:t>
      </w:r>
    </w:p>
    <w:p>
      <w:pPr>
        <w:pStyle w:val="4"/>
      </w:pPr>
      <w:r>
        <w:t>先进性、可扩展性</w:t>
      </w:r>
      <w:bookmarkEnd w:id="104"/>
      <w:bookmarkEnd w:id="105"/>
      <w:bookmarkEnd w:id="106"/>
      <w:bookmarkEnd w:id="107"/>
    </w:p>
    <w:p>
      <w:pPr>
        <w:spacing w:line="360" w:lineRule="auto"/>
        <w:ind w:firstLine="480" w:firstLineChars="200"/>
        <w:rPr>
          <w:kern w:val="0"/>
          <w:sz w:val="24"/>
        </w:rPr>
      </w:pPr>
      <w:r>
        <w:rPr>
          <w:rFonts w:hint="eastAsia"/>
          <w:kern w:val="0"/>
          <w:sz w:val="24"/>
        </w:rPr>
        <w:t>中间件要采用目前主流的技术和架构，所提供的技术在近期内具有一定的先进性，并与未来的新技术具有兼容性，同时</w:t>
      </w:r>
      <w:r>
        <w:rPr>
          <w:kern w:val="0"/>
          <w:sz w:val="24"/>
        </w:rPr>
        <w:t>要把握住信息技术的发展和应用方向，在系统建设过程中要有前瞻性，做到可扩展，可升级，以顺应未来的发展。</w:t>
      </w:r>
      <w:r>
        <w:rPr>
          <w:rFonts w:hint="eastAsia"/>
          <w:kern w:val="0"/>
          <w:sz w:val="24"/>
        </w:rPr>
        <w:t>系统的架构设计采用标准化、模块化的设计方法，便于功能的升级和扩展。</w:t>
      </w:r>
    </w:p>
    <w:p>
      <w:pPr>
        <w:pStyle w:val="4"/>
      </w:pPr>
      <w:bookmarkStart w:id="108" w:name="_Toc198458378"/>
      <w:bookmarkStart w:id="109" w:name="_Toc198458225"/>
      <w:bookmarkStart w:id="110" w:name="_Toc161723327"/>
      <w:bookmarkStart w:id="111" w:name="_Toc198458127"/>
      <w:r>
        <w:t>遵循行业相关的国际和国家标准</w:t>
      </w:r>
      <w:bookmarkEnd w:id="108"/>
      <w:bookmarkEnd w:id="109"/>
      <w:bookmarkEnd w:id="110"/>
      <w:bookmarkEnd w:id="111"/>
    </w:p>
    <w:p>
      <w:pPr>
        <w:spacing w:line="360" w:lineRule="auto"/>
        <w:ind w:firstLine="480" w:firstLineChars="200"/>
        <w:rPr>
          <w:kern w:val="0"/>
          <w:sz w:val="24"/>
        </w:rPr>
      </w:pPr>
      <w:r>
        <w:rPr>
          <w:kern w:val="0"/>
          <w:sz w:val="24"/>
        </w:rPr>
        <w:t>为保障整个</w:t>
      </w:r>
      <w:r>
        <w:rPr>
          <w:rFonts w:hint="eastAsia"/>
          <w:kern w:val="0"/>
          <w:sz w:val="24"/>
        </w:rPr>
        <w:t>系统</w:t>
      </w:r>
      <w:r>
        <w:rPr>
          <w:kern w:val="0"/>
          <w:sz w:val="24"/>
        </w:rPr>
        <w:t>实施的安全性和规范化，在整个工程实施中严格遵循</w:t>
      </w:r>
      <w:r>
        <w:rPr>
          <w:rFonts w:hint="eastAsia"/>
          <w:kern w:val="0"/>
          <w:sz w:val="24"/>
        </w:rPr>
        <w:t>电力</w:t>
      </w:r>
      <w:r>
        <w:rPr>
          <w:kern w:val="0"/>
          <w:sz w:val="24"/>
        </w:rPr>
        <w:t>行业相关的国际和国家标准，同时也遵循</w:t>
      </w:r>
      <w:r>
        <w:rPr>
          <w:rFonts w:hint="eastAsia"/>
          <w:kern w:val="0"/>
          <w:sz w:val="24"/>
        </w:rPr>
        <w:t>电力</w:t>
      </w:r>
      <w:r>
        <w:rPr>
          <w:kern w:val="0"/>
          <w:sz w:val="24"/>
        </w:rPr>
        <w:t>工程实施方案中的相关要求和标准</w:t>
      </w:r>
      <w:r>
        <w:rPr>
          <w:rFonts w:hint="eastAsia"/>
          <w:kern w:val="0"/>
          <w:sz w:val="24"/>
        </w:rPr>
        <w:t>。系统采用的信息分类编码、网络通信协议和数据接口标准严格执行国家有关标准和行业标准。</w:t>
      </w:r>
    </w:p>
    <w:p>
      <w:pPr>
        <w:pStyle w:val="4"/>
      </w:pPr>
      <w:bookmarkStart w:id="112" w:name="_Toc161723328"/>
      <w:bookmarkStart w:id="113" w:name="_Toc198458128"/>
      <w:bookmarkStart w:id="114" w:name="_Toc198458379"/>
      <w:bookmarkStart w:id="115" w:name="_Toc198458226"/>
      <w:r>
        <w:rPr>
          <w:rFonts w:hint="eastAsia"/>
        </w:rPr>
        <w:t>易用性</w:t>
      </w:r>
      <w:bookmarkEnd w:id="112"/>
      <w:bookmarkEnd w:id="113"/>
      <w:bookmarkEnd w:id="114"/>
      <w:bookmarkEnd w:id="115"/>
    </w:p>
    <w:p>
      <w:pPr>
        <w:spacing w:line="360" w:lineRule="auto"/>
        <w:ind w:firstLine="480" w:firstLineChars="200"/>
        <w:rPr>
          <w:rFonts w:ascii="宋体" w:hAnsi="宋体"/>
          <w:sz w:val="24"/>
        </w:rPr>
      </w:pPr>
      <w:r>
        <w:rPr>
          <w:rFonts w:hint="eastAsia"/>
          <w:kern w:val="0"/>
          <w:sz w:val="24"/>
        </w:rPr>
        <w:t>系统设计</w:t>
      </w:r>
      <w:r>
        <w:rPr>
          <w:rFonts w:hint="eastAsia" w:ascii="宋体" w:hAnsi="宋体"/>
          <w:sz w:val="24"/>
        </w:rPr>
        <w:t>面向最终用户，保证易操作、易理解、易控制；系统所出现的问题能够及时预报并迅速解决。系统提供</w:t>
      </w:r>
      <w:r>
        <w:rPr>
          <w:rFonts w:hint="eastAsia"/>
          <w:sz w:val="24"/>
        </w:rPr>
        <w:t>在线帮助便于用户学习。</w:t>
      </w:r>
    </w:p>
    <w:p>
      <w:pPr>
        <w:pStyle w:val="4"/>
      </w:pPr>
      <w:bookmarkStart w:id="116" w:name="_Toc198458380"/>
      <w:bookmarkStart w:id="117" w:name="_Toc198458227"/>
      <w:bookmarkStart w:id="118" w:name="_Toc161723329"/>
      <w:bookmarkStart w:id="119" w:name="_Toc198458129"/>
      <w:r>
        <w:rPr>
          <w:rFonts w:hint="eastAsia"/>
        </w:rPr>
        <w:t>开放性</w:t>
      </w:r>
      <w:bookmarkEnd w:id="116"/>
      <w:bookmarkEnd w:id="117"/>
      <w:bookmarkEnd w:id="118"/>
      <w:bookmarkEnd w:id="119"/>
    </w:p>
    <w:p>
      <w:pPr>
        <w:spacing w:line="360" w:lineRule="auto"/>
        <w:ind w:firstLine="480" w:firstLineChars="200"/>
        <w:rPr>
          <w:kern w:val="0"/>
          <w:sz w:val="24"/>
        </w:rPr>
      </w:pPr>
      <w:r>
        <w:rPr>
          <w:rFonts w:hint="eastAsia"/>
          <w:kern w:val="0"/>
          <w:sz w:val="24"/>
        </w:rPr>
        <w:t>遵循国际标准，支持多种网络协议，提供开放的数据接口，实现系统间互连。支持各种硬件平台、不同操作系统和数据库管理系统。系统能够在不同的系统平台（如：</w:t>
      </w:r>
      <w:r>
        <w:rPr>
          <w:kern w:val="0"/>
          <w:sz w:val="24"/>
        </w:rPr>
        <w:t>UN</w:t>
      </w:r>
      <w:r>
        <w:rPr>
          <w:rFonts w:hint="eastAsia"/>
          <w:kern w:val="0"/>
          <w:sz w:val="24"/>
        </w:rPr>
        <w:t>IX、</w:t>
      </w:r>
      <w:r>
        <w:rPr>
          <w:kern w:val="0"/>
          <w:sz w:val="24"/>
        </w:rPr>
        <w:t>Linux</w:t>
      </w:r>
      <w:r>
        <w:rPr>
          <w:rFonts w:hint="eastAsia"/>
          <w:kern w:val="0"/>
          <w:sz w:val="24"/>
        </w:rPr>
        <w:t>、W</w:t>
      </w:r>
      <w:r>
        <w:rPr>
          <w:kern w:val="0"/>
          <w:sz w:val="24"/>
        </w:rPr>
        <w:t>indows</w:t>
      </w:r>
      <w:r>
        <w:rPr>
          <w:rFonts w:hint="eastAsia"/>
          <w:kern w:val="0"/>
          <w:sz w:val="24"/>
        </w:rPr>
        <w:t>等）上运行。在不影响正常运行的情况下，能够标准接口与第三方监控、管理软件进行数据对接，可接入第三方监控、管理软件的数据信息。</w:t>
      </w:r>
    </w:p>
    <w:p>
      <w:pPr>
        <w:pStyle w:val="4"/>
      </w:pPr>
      <w:bookmarkStart w:id="120" w:name="_Toc198458130"/>
      <w:bookmarkStart w:id="121" w:name="_Toc198458228"/>
      <w:bookmarkStart w:id="122" w:name="_Toc161723331"/>
      <w:bookmarkStart w:id="123" w:name="_Toc198458381"/>
      <w:r>
        <w:rPr>
          <w:rFonts w:hint="eastAsia"/>
        </w:rPr>
        <w:t>可维护性</w:t>
      </w:r>
      <w:bookmarkEnd w:id="120"/>
      <w:bookmarkEnd w:id="121"/>
      <w:bookmarkEnd w:id="122"/>
      <w:bookmarkEnd w:id="123"/>
    </w:p>
    <w:p>
      <w:pPr>
        <w:spacing w:line="360" w:lineRule="auto"/>
        <w:ind w:firstLine="480" w:firstLineChars="200"/>
        <w:rPr>
          <w:rFonts w:ascii="宋体" w:hAnsi="宋体"/>
          <w:sz w:val="24"/>
        </w:rPr>
      </w:pPr>
      <w:r>
        <w:rPr>
          <w:rFonts w:hint="eastAsia"/>
          <w:kern w:val="0"/>
          <w:sz w:val="24"/>
        </w:rPr>
        <w:t>系统</w:t>
      </w:r>
      <w:r>
        <w:rPr>
          <w:rFonts w:hint="eastAsia" w:ascii="宋体" w:hAnsi="宋体"/>
          <w:sz w:val="24"/>
        </w:rPr>
        <w:t>具有对自身的集中维护配置功能，包括集中的系统参数设置、集中的系统日志管理。系统具有简单、直观、方便的维护和管理手段，尽量减少维护和管理环节。</w:t>
      </w:r>
    </w:p>
    <w:p>
      <w:pPr>
        <w:pStyle w:val="4"/>
      </w:pPr>
      <w:bookmarkStart w:id="124" w:name="_Toc198458382"/>
      <w:bookmarkStart w:id="125" w:name="_Toc161723332"/>
      <w:bookmarkStart w:id="126" w:name="_Toc198458131"/>
      <w:bookmarkStart w:id="127" w:name="_Toc198458229"/>
      <w:r>
        <w:rPr>
          <w:rFonts w:hint="eastAsia"/>
        </w:rPr>
        <w:t>可靠性</w:t>
      </w:r>
      <w:bookmarkEnd w:id="124"/>
      <w:bookmarkEnd w:id="125"/>
      <w:bookmarkEnd w:id="126"/>
      <w:bookmarkEnd w:id="127"/>
    </w:p>
    <w:p>
      <w:pPr>
        <w:spacing w:line="360" w:lineRule="auto"/>
        <w:ind w:firstLine="480" w:firstLineChars="200"/>
        <w:rPr>
          <w:sz w:val="24"/>
        </w:rPr>
      </w:pPr>
      <w:r>
        <w:rPr>
          <w:rFonts w:hint="eastAsia"/>
          <w:kern w:val="0"/>
          <w:sz w:val="24"/>
        </w:rPr>
        <w:t>系统</w:t>
      </w:r>
      <w:r>
        <w:rPr>
          <w:rFonts w:hint="eastAsia" w:ascii="宋体" w:hAnsi="宋体"/>
          <w:sz w:val="24"/>
        </w:rPr>
        <w:t>运行稳定可靠，支持7x24小时不间断工作。</w:t>
      </w:r>
    </w:p>
    <w:p>
      <w:pPr>
        <w:pStyle w:val="4"/>
      </w:pPr>
      <w:bookmarkStart w:id="128" w:name="_Toc198458383"/>
      <w:bookmarkStart w:id="129" w:name="_Toc198458132"/>
      <w:bookmarkStart w:id="130" w:name="_Toc161723334"/>
      <w:bookmarkStart w:id="131" w:name="_Toc198458230"/>
      <w:r>
        <w:rPr>
          <w:rFonts w:hint="eastAsia"/>
        </w:rPr>
        <w:t>可控性</w:t>
      </w:r>
      <w:bookmarkEnd w:id="128"/>
      <w:bookmarkEnd w:id="129"/>
      <w:bookmarkEnd w:id="130"/>
      <w:bookmarkEnd w:id="131"/>
    </w:p>
    <w:p>
      <w:pPr>
        <w:spacing w:line="360" w:lineRule="auto"/>
        <w:ind w:firstLine="480" w:firstLineChars="200"/>
        <w:rPr>
          <w:sz w:val="24"/>
        </w:rPr>
      </w:pPr>
      <w:r>
        <w:rPr>
          <w:rFonts w:hint="eastAsia"/>
          <w:sz w:val="24"/>
        </w:rPr>
        <w:t>采取的技术手段需要达到可控的目的，技术解决方案涉及的工程实施具有可控性。</w:t>
      </w:r>
    </w:p>
    <w:p>
      <w:pPr>
        <w:pStyle w:val="4"/>
      </w:pPr>
      <w:bookmarkStart w:id="132" w:name="_Toc198458133"/>
      <w:bookmarkStart w:id="133" w:name="_Toc161723335"/>
      <w:bookmarkStart w:id="134" w:name="_Toc198458231"/>
      <w:bookmarkStart w:id="135" w:name="_Toc198458384"/>
      <w:r>
        <w:rPr>
          <w:rFonts w:hint="eastAsia"/>
        </w:rPr>
        <w:t>安全性</w:t>
      </w:r>
      <w:bookmarkEnd w:id="132"/>
      <w:bookmarkEnd w:id="133"/>
      <w:bookmarkEnd w:id="134"/>
      <w:bookmarkEnd w:id="135"/>
    </w:p>
    <w:p>
      <w:pPr>
        <w:spacing w:line="360" w:lineRule="auto"/>
        <w:ind w:firstLine="480" w:firstLineChars="200"/>
        <w:rPr>
          <w:sz w:val="24"/>
        </w:rPr>
      </w:pPr>
      <w:r>
        <w:rPr>
          <w:rFonts w:hint="eastAsia"/>
          <w:kern w:val="0"/>
          <w:sz w:val="24"/>
        </w:rPr>
        <w:t>系统</w:t>
      </w:r>
      <w:r>
        <w:rPr>
          <w:rFonts w:hint="eastAsia"/>
          <w:sz w:val="24"/>
        </w:rPr>
        <w:t>具有不同级别的安全运行管理措施，如，用户识别、口令、数据访问控制级别和范围等功能；具有防止非法访问、记录全部登录过程、提供安全日志及审计功能</w:t>
      </w:r>
      <w:r>
        <w:rPr>
          <w:sz w:val="24"/>
        </w:rPr>
        <w:t>。</w:t>
      </w:r>
      <w:r>
        <w:rPr>
          <w:rFonts w:hint="eastAsia"/>
          <w:sz w:val="24"/>
        </w:rPr>
        <w:t>系统具备统一且完善的安全机制，提供安全的身份认证机制和完善的加密机制，保证信息不被他人窃取。</w:t>
      </w:r>
    </w:p>
    <w:p>
      <w:pPr>
        <w:pStyle w:val="4"/>
      </w:pPr>
      <w:bookmarkStart w:id="136" w:name="_Toc198458232"/>
      <w:bookmarkStart w:id="137" w:name="_Toc198458134"/>
      <w:bookmarkStart w:id="138" w:name="_Toc185315134"/>
      <w:bookmarkStart w:id="139" w:name="_Toc198458385"/>
      <w:r>
        <w:rPr>
          <w:rFonts w:hint="eastAsia"/>
        </w:rPr>
        <w:t>成熟性</w:t>
      </w:r>
      <w:bookmarkEnd w:id="136"/>
      <w:bookmarkEnd w:id="137"/>
      <w:bookmarkEnd w:id="138"/>
      <w:bookmarkEnd w:id="139"/>
    </w:p>
    <w:p>
      <w:pPr>
        <w:spacing w:line="360" w:lineRule="auto"/>
        <w:ind w:firstLine="480" w:firstLineChars="200"/>
        <w:rPr>
          <w:sz w:val="24"/>
        </w:rPr>
      </w:pPr>
      <w:r>
        <w:rPr>
          <w:rFonts w:hint="eastAsia"/>
          <w:kern w:val="0"/>
          <w:sz w:val="24"/>
        </w:rPr>
        <w:t>系统设计</w:t>
      </w:r>
      <w:r>
        <w:rPr>
          <w:rFonts w:hint="eastAsia"/>
          <w:sz w:val="24"/>
        </w:rPr>
        <w:t>采用成熟的开发技术，并具有多家大型信息管理系统实施的成功经验。</w:t>
      </w:r>
    </w:p>
    <w:p>
      <w:pPr>
        <w:pStyle w:val="4"/>
      </w:pPr>
      <w:r>
        <w:rPr>
          <w:rFonts w:hint="eastAsia"/>
        </w:rPr>
        <w:t>经济性</w:t>
      </w:r>
    </w:p>
    <w:p>
      <w:pPr>
        <w:spacing w:line="360" w:lineRule="auto"/>
        <w:ind w:firstLine="480" w:firstLineChars="200"/>
        <w:rPr>
          <w:sz w:val="24"/>
          <w:highlight w:val="none"/>
        </w:rPr>
      </w:pPr>
      <w:r>
        <w:rPr>
          <w:rFonts w:hint="eastAsia"/>
          <w:sz w:val="24"/>
          <w:highlight w:val="none"/>
        </w:rPr>
        <w:t>应用中间件产品</w:t>
      </w:r>
      <w:r>
        <w:rPr>
          <w:rFonts w:hint="eastAsia"/>
          <w:sz w:val="24"/>
          <w:highlight w:val="none"/>
          <w:lang w:eastAsia="zh-CN"/>
        </w:rPr>
        <w:t>的</w:t>
      </w:r>
      <w:r>
        <w:rPr>
          <w:rFonts w:hint="eastAsia"/>
          <w:sz w:val="24"/>
          <w:highlight w:val="none"/>
        </w:rPr>
        <w:t>授权计价方式，</w:t>
      </w:r>
      <w:r>
        <w:rPr>
          <w:rFonts w:hint="eastAsia"/>
          <w:sz w:val="24"/>
          <w:highlight w:val="none"/>
          <w:lang w:val="en-US" w:eastAsia="zh-CN"/>
        </w:rPr>
        <w:t>应</w:t>
      </w:r>
      <w:r>
        <w:rPr>
          <w:rFonts w:hint="eastAsia"/>
          <w:sz w:val="24"/>
          <w:highlight w:val="none"/>
        </w:rPr>
        <w:t>充分考虑现代应用建设情况，根据应用云化容器部署，存在弹性伸缩动态调度等因素，合理经济地计算授权使用数量</w:t>
      </w:r>
      <w:r>
        <w:rPr>
          <w:rFonts w:hint="eastAsia"/>
          <w:sz w:val="24"/>
          <w:highlight w:val="none"/>
          <w:lang w:eastAsia="zh-CN"/>
        </w:rPr>
        <w:t>。</w:t>
      </w:r>
      <w:r>
        <w:rPr>
          <w:rFonts w:hint="eastAsia"/>
          <w:sz w:val="24"/>
          <w:highlight w:val="none"/>
        </w:rPr>
        <w:t>允许在业务高峰期使用数量在采购数量的基础上</w:t>
      </w:r>
      <w:r>
        <w:rPr>
          <w:rFonts w:hint="eastAsia"/>
          <w:sz w:val="24"/>
          <w:highlight w:val="none"/>
          <w:lang w:val="en-US" w:eastAsia="zh-CN"/>
        </w:rPr>
        <w:t>适量</w:t>
      </w:r>
      <w:r>
        <w:rPr>
          <w:rFonts w:hint="eastAsia"/>
          <w:sz w:val="24"/>
          <w:highlight w:val="none"/>
        </w:rPr>
        <w:t>上浮</w:t>
      </w:r>
      <w:r>
        <w:rPr>
          <w:rFonts w:hint="eastAsia"/>
          <w:sz w:val="24"/>
          <w:highlight w:val="none"/>
          <w:lang w:eastAsia="zh-CN"/>
        </w:rPr>
        <w:t>，不对上浮的实例数进行强制停止</w:t>
      </w:r>
      <w:r>
        <w:rPr>
          <w:rFonts w:hint="eastAsia"/>
          <w:sz w:val="24"/>
          <w:highlight w:val="none"/>
        </w:rPr>
        <w:t>。</w:t>
      </w:r>
    </w:p>
    <w:p>
      <w:pPr>
        <w:pStyle w:val="2"/>
      </w:pPr>
      <w:r>
        <w:br w:type="page"/>
      </w:r>
      <w:bookmarkStart w:id="140" w:name="_Hlt186340473"/>
      <w:bookmarkEnd w:id="140"/>
      <w:bookmarkStart w:id="141" w:name="_Toc4212"/>
      <w:bookmarkStart w:id="142" w:name="_Toc18401"/>
      <w:bookmarkStart w:id="143" w:name="_Toc10196"/>
      <w:bookmarkStart w:id="144" w:name="_Toc9231"/>
      <w:bookmarkStart w:id="145" w:name="_Toc20982"/>
      <w:bookmarkStart w:id="146" w:name="_Toc16169"/>
      <w:bookmarkStart w:id="147" w:name="_Toc35246431"/>
      <w:bookmarkStart w:id="148" w:name="_Toc4425"/>
      <w:bookmarkStart w:id="149" w:name="_Toc28023"/>
      <w:bookmarkStart w:id="150" w:name="_Toc17646"/>
      <w:bookmarkStart w:id="151" w:name="_Toc11465"/>
      <w:r>
        <w:rPr>
          <w:rFonts w:hint="eastAsia"/>
        </w:rPr>
        <w:t>招标内容与要求</w:t>
      </w:r>
      <w:bookmarkEnd w:id="141"/>
      <w:bookmarkEnd w:id="142"/>
      <w:bookmarkEnd w:id="143"/>
      <w:bookmarkEnd w:id="144"/>
      <w:bookmarkEnd w:id="145"/>
      <w:bookmarkEnd w:id="146"/>
      <w:bookmarkEnd w:id="147"/>
      <w:bookmarkEnd w:id="148"/>
      <w:bookmarkEnd w:id="149"/>
      <w:bookmarkEnd w:id="150"/>
      <w:bookmarkEnd w:id="151"/>
    </w:p>
    <w:p>
      <w:pPr>
        <w:spacing w:line="360" w:lineRule="auto"/>
        <w:ind w:firstLine="480" w:firstLineChars="200"/>
        <w:rPr>
          <w:rFonts w:hint="eastAsia"/>
          <w:sz w:val="24"/>
        </w:rPr>
      </w:pPr>
      <w:r>
        <w:rPr>
          <w:rFonts w:hint="eastAsia"/>
          <w:sz w:val="24"/>
        </w:rPr>
        <w:t>南方电网公司本次招标的内容是采购主流自主可控的企业级中间件应用服务器软件产品，包括产品技术支持服务、技术培训服务及现场专家服务等。采购的产品能满足全网范围的应用，可保证在系统软件层面上全公司统一选型、统一规格、统一技术标准，能为扎实有效推进公司一体化信息化管控战略奠定基础。</w:t>
      </w:r>
    </w:p>
    <w:p>
      <w:pPr>
        <w:spacing w:line="360" w:lineRule="auto"/>
        <w:ind w:firstLine="420" w:firstLineChars="0"/>
        <w:rPr>
          <w:rFonts w:hint="default"/>
          <w:sz w:val="24"/>
          <w:lang w:val="en-US" w:eastAsia="zh-CN"/>
        </w:rPr>
      </w:pPr>
      <w:r>
        <w:rPr>
          <w:rFonts w:hint="eastAsia"/>
          <w:sz w:val="24"/>
          <w:lang w:val="en-US" w:eastAsia="zh-CN"/>
        </w:rPr>
        <w:t>本技术规范书项目内容及要求中，标注“*”的条款为关键条款，作为评标时打分的重点参考。</w:t>
      </w:r>
    </w:p>
    <w:p>
      <w:pPr>
        <w:spacing w:line="360" w:lineRule="auto"/>
        <w:ind w:firstLine="420" w:firstLineChars="0"/>
        <w:rPr>
          <w:rFonts w:hint="default"/>
          <w:sz w:val="24"/>
          <w:lang w:val="en-US" w:eastAsia="zh-CN"/>
        </w:rPr>
      </w:pPr>
    </w:p>
    <w:p>
      <w:pPr>
        <w:pStyle w:val="3"/>
      </w:pPr>
      <w:bookmarkStart w:id="152" w:name="_Toc18036"/>
      <w:bookmarkStart w:id="153" w:name="_Toc23314"/>
      <w:bookmarkStart w:id="154" w:name="_Toc23099"/>
      <w:bookmarkStart w:id="155" w:name="_Toc20399"/>
      <w:bookmarkStart w:id="156" w:name="_Toc7435"/>
      <w:bookmarkStart w:id="157" w:name="_Toc15749"/>
      <w:bookmarkStart w:id="158" w:name="_Toc8073"/>
      <w:bookmarkStart w:id="159" w:name="_Toc35246432"/>
      <w:bookmarkStart w:id="160" w:name="_Toc9411"/>
      <w:bookmarkStart w:id="161" w:name="_Toc185315136"/>
      <w:bookmarkStart w:id="162" w:name="_Toc17986"/>
      <w:bookmarkStart w:id="163" w:name="_Toc22481"/>
      <w:r>
        <w:rPr>
          <w:rFonts w:hint="eastAsia"/>
        </w:rPr>
        <w:t>基本技术要求</w:t>
      </w:r>
      <w:bookmarkEnd w:id="152"/>
      <w:bookmarkEnd w:id="153"/>
      <w:bookmarkEnd w:id="154"/>
      <w:bookmarkEnd w:id="155"/>
      <w:bookmarkEnd w:id="156"/>
      <w:bookmarkEnd w:id="157"/>
      <w:bookmarkEnd w:id="158"/>
      <w:bookmarkEnd w:id="159"/>
      <w:bookmarkEnd w:id="160"/>
      <w:bookmarkEnd w:id="161"/>
      <w:bookmarkEnd w:id="162"/>
      <w:bookmarkEnd w:id="163"/>
    </w:p>
    <w:tbl>
      <w:tblPr>
        <w:tblStyle w:val="32"/>
        <w:tblW w:w="9010" w:type="dxa"/>
        <w:tblInd w:w="4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0" w:type="dxa"/>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硬件支持，支持主流厂商硬件，需满足对信创自主可控基础设施适配。供应商需提供相应硬件兼容列表(HCL)，提供支持信创自主可控ARM及X86指令集架构芯片厂商互认证证书。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0" w:type="dxa"/>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操作系统支持，支</w:t>
            </w:r>
            <w:r>
              <w:rPr>
                <w:rFonts w:hint="eastAsia" w:ascii="宋体" w:hAnsi="宋体" w:cs="宋体"/>
                <w:kern w:val="0"/>
                <w:sz w:val="24"/>
                <w:highlight w:val="none"/>
                <w:lang w:bidi="ar"/>
              </w:rPr>
              <w:t>持Windows、Linux、Unix以及麒麟、统信OS</w:t>
            </w:r>
            <w:r>
              <w:rPr>
                <w:rFonts w:hint="eastAsia" w:ascii="宋体" w:hAnsi="宋体" w:cs="宋体"/>
                <w:kern w:val="0"/>
                <w:sz w:val="24"/>
                <w:lang w:bidi="ar"/>
              </w:rPr>
              <w:t>等主流自主可控操作系统。供应商需提供相应操作系统兼容列表，提供支持信创自主可控操作系统厂商的互认证证书。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0" w:type="dxa"/>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数据库支持，支持国际主流数据库及国产主流自主可控数据库。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0" w:type="dxa"/>
            <w:noWrap/>
            <w:vAlign w:val="center"/>
          </w:tcPr>
          <w:p>
            <w:pPr>
              <w:widowControl/>
              <w:textAlignment w:val="center"/>
              <w:rPr>
                <w:rFonts w:ascii="微软雅黑" w:hAnsi="微软雅黑" w:eastAsia="微软雅黑" w:cs="微软雅黑"/>
                <w:kern w:val="0"/>
                <w:sz w:val="24"/>
                <w:lang w:bidi="ar"/>
              </w:rPr>
            </w:pPr>
            <w:r>
              <w:rPr>
                <w:rFonts w:hint="eastAsia" w:ascii="宋体" w:hAnsi="宋体" w:cs="宋体"/>
                <w:kern w:val="0"/>
                <w:sz w:val="24"/>
                <w:lang w:bidi="ar"/>
              </w:rPr>
              <w:t>应用兼容性，可以与南方电网的SOA、微服务、OSGi等架构兼容适配，提供证明材料。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0" w:type="dxa"/>
            <w:noWrap/>
            <w:vAlign w:val="center"/>
          </w:tcPr>
          <w:p>
            <w:pPr>
              <w:widowControl/>
              <w:textAlignment w:val="center"/>
              <w:rPr>
                <w:rFonts w:ascii="宋体" w:hAnsi="宋体" w:cs="宋体"/>
                <w:sz w:val="24"/>
              </w:rPr>
            </w:pPr>
            <w:r>
              <w:rPr>
                <w:rFonts w:hint="eastAsia" w:ascii="宋体" w:hAnsi="宋体" w:cs="宋体"/>
                <w:kern w:val="0"/>
                <w:sz w:val="24"/>
                <w:lang w:bidi="ar"/>
              </w:rPr>
              <w:t>多语言支持，包括中文和英文等，能够支持简体中文、繁体中文、英文等多种字符集，能够使用这些字符集存储数据，且供应商需提供相应列表。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10" w:type="dxa"/>
            <w:noWrap/>
            <w:vAlign w:val="center"/>
          </w:tcPr>
          <w:p>
            <w:pPr>
              <w:widowControl/>
              <w:textAlignment w:val="center"/>
              <w:rPr>
                <w:rFonts w:ascii="宋体" w:hAnsi="宋体" w:cs="宋体"/>
                <w:sz w:val="24"/>
              </w:rPr>
            </w:pPr>
            <w:r>
              <w:rPr>
                <w:rFonts w:hint="eastAsia" w:ascii="宋体" w:hAnsi="宋体" w:cs="宋体"/>
                <w:kern w:val="0"/>
                <w:sz w:val="24"/>
                <w:lang w:bidi="ar"/>
              </w:rPr>
              <w:t>管理控制台支持多语言，用户通过管理界面可以灵活地选择使用的语言。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0" w:type="dxa"/>
            <w:noWrap/>
            <w:vAlign w:val="center"/>
          </w:tcPr>
          <w:p>
            <w:pPr>
              <w:widowControl/>
              <w:textAlignment w:val="center"/>
              <w:rPr>
                <w:rFonts w:ascii="宋体" w:hAnsi="宋体" w:cs="宋体"/>
                <w:sz w:val="24"/>
              </w:rPr>
            </w:pPr>
            <w:r>
              <w:rPr>
                <w:rFonts w:hint="eastAsia" w:ascii="宋体" w:hAnsi="宋体" w:cs="宋体"/>
                <w:kern w:val="0"/>
                <w:sz w:val="24"/>
                <w:lang w:bidi="ar"/>
              </w:rPr>
              <w:t>能够提供中文版、英文版等不同版本的安装介质，以适应不同的语言环境。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0" w:type="dxa"/>
            <w:noWrap/>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核心代码自主率达到100%，通过第三方测试机构代码自主率测试，提供第三方测试报告，第三方机构需要具备CNAS、CMA认证资质，厂商需对核心代码范围进行声明并加盖公司公章。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0" w:type="dxa"/>
            <w:noWrap/>
            <w:vAlign w:val="center"/>
          </w:tcPr>
          <w:p>
            <w:pPr>
              <w:widowControl/>
              <w:textAlignment w:val="center"/>
              <w:rPr>
                <w:rFonts w:ascii="宋体" w:hAnsi="宋体" w:cs="宋体"/>
                <w:sz w:val="24"/>
              </w:rPr>
            </w:pPr>
            <w:r>
              <w:rPr>
                <w:rFonts w:hint="eastAsia" w:ascii="宋体" w:hAnsi="宋体" w:cs="宋体"/>
                <w:kern w:val="0"/>
                <w:sz w:val="24"/>
                <w:lang w:bidi="ar"/>
              </w:rPr>
              <w:t>提供补丁管理功能，支持管理控制台和命令两种补丁管理模式，可对本地及远程实例进行补丁包的统一安装、卸载、回滚及查询升级日志等操作。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0" w:type="dxa"/>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支持用户通过浏览器访问管理工具，支持微软</w:t>
            </w:r>
            <w:r>
              <w:rPr>
                <w:rFonts w:ascii="宋体" w:hAnsi="宋体" w:cs="宋体"/>
                <w:kern w:val="0"/>
                <w:sz w:val="24"/>
                <w:lang w:bidi="ar"/>
              </w:rPr>
              <w:t>Edge</w:t>
            </w:r>
            <w:r>
              <w:rPr>
                <w:rFonts w:hint="eastAsia" w:ascii="宋体" w:hAnsi="宋体" w:cs="宋体"/>
                <w:kern w:val="0"/>
                <w:sz w:val="24"/>
                <w:lang w:bidi="ar"/>
              </w:rPr>
              <w:t>、搜狗浏览器、谷歌C</w:t>
            </w:r>
            <w:r>
              <w:rPr>
                <w:rFonts w:ascii="宋体" w:hAnsi="宋体" w:cs="宋体"/>
                <w:kern w:val="0"/>
                <w:sz w:val="24"/>
                <w:lang w:bidi="ar"/>
              </w:rPr>
              <w:t>hrome</w:t>
            </w:r>
            <w:r>
              <w:rPr>
                <w:rFonts w:hint="eastAsia" w:ascii="宋体" w:hAnsi="宋体" w:cs="宋体"/>
                <w:kern w:val="0"/>
                <w:sz w:val="24"/>
                <w:lang w:bidi="ar"/>
              </w:rPr>
              <w:t>等常用浏览器。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0" w:type="dxa"/>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监控指标异常预警，可通过定义各类关键指标的阀值，在异常发生时触发指定事件，并通过多种方式通知用户，实现系统异常预警能力。提供有效的故障检测及诊断工具，支持监控指标数据历史回放，具备完整的操作错误提示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0" w:type="dxa"/>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支持高可用，支持热备、互备、负载均衡等多种集群模式。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0" w:type="dxa"/>
            <w:noWrap/>
            <w:vAlign w:val="center"/>
          </w:tcPr>
          <w:p>
            <w:pPr>
              <w:widowControl/>
              <w:textAlignment w:val="center"/>
              <w:rPr>
                <w:rFonts w:ascii="宋体" w:hAnsi="宋体" w:cs="宋体"/>
                <w:sz w:val="24"/>
              </w:rPr>
            </w:pPr>
            <w:r>
              <w:rPr>
                <w:rFonts w:hint="eastAsia" w:ascii="宋体" w:hAnsi="宋体" w:cs="宋体"/>
                <w:kern w:val="0"/>
                <w:sz w:val="24"/>
                <w:lang w:bidi="ar"/>
              </w:rPr>
              <w:t>提供界面友好、操作简单易用、有联机帮助及操作提示的B</w:t>
            </w:r>
            <w:r>
              <w:rPr>
                <w:rFonts w:ascii="宋体" w:hAnsi="宋体" w:cs="宋体"/>
                <w:kern w:val="0"/>
                <w:sz w:val="24"/>
                <w:lang w:bidi="ar"/>
              </w:rPr>
              <w:t>/S</w:t>
            </w:r>
            <w:r>
              <w:rPr>
                <w:rFonts w:hint="eastAsia" w:ascii="宋体" w:hAnsi="宋体" w:cs="宋体"/>
                <w:kern w:val="0"/>
                <w:sz w:val="24"/>
                <w:lang w:bidi="ar"/>
              </w:rPr>
              <w:t>架构的管理工具。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0" w:type="dxa"/>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支持云原生架构应用，满足应用微服务化、容器化部署要求；支持基于Kubernetes的容器集群管理、业务监控、弹性伸缩、资源调度等功能。</w:t>
            </w:r>
          </w:p>
        </w:tc>
      </w:tr>
    </w:tbl>
    <w:p>
      <w:pPr>
        <w:tabs>
          <w:tab w:val="left" w:pos="1838"/>
        </w:tabs>
        <w:spacing w:line="360" w:lineRule="auto"/>
        <w:rPr>
          <w:rFonts w:ascii="宋体"/>
          <w:sz w:val="24"/>
          <w:lang w:val="zh-CN"/>
        </w:rPr>
      </w:pPr>
      <w:bookmarkStart w:id="164" w:name="_Toc185315137"/>
      <w:bookmarkStart w:id="165" w:name="_Toc120198982"/>
    </w:p>
    <w:bookmarkEnd w:id="164"/>
    <w:bookmarkEnd w:id="165"/>
    <w:p>
      <w:pPr>
        <w:pStyle w:val="3"/>
      </w:pPr>
      <w:bookmarkStart w:id="166" w:name="_Toc1475"/>
      <w:bookmarkStart w:id="167" w:name="_Toc3175"/>
      <w:bookmarkStart w:id="168" w:name="_Toc30450"/>
      <w:bookmarkStart w:id="169" w:name="_Toc4151"/>
      <w:bookmarkStart w:id="170" w:name="_Toc29304"/>
      <w:bookmarkStart w:id="171" w:name="_Toc22100"/>
      <w:bookmarkStart w:id="172" w:name="_Toc12457"/>
      <w:bookmarkStart w:id="173" w:name="_Toc22014"/>
      <w:bookmarkStart w:id="174" w:name="_Toc358"/>
      <w:bookmarkStart w:id="175" w:name="_Toc30317"/>
      <w:bookmarkStart w:id="176" w:name="_Toc35246433"/>
      <w:r>
        <w:rPr>
          <w:rFonts w:hint="eastAsia"/>
        </w:rPr>
        <w:t>产品要求</w:t>
      </w:r>
      <w:bookmarkEnd w:id="166"/>
      <w:bookmarkEnd w:id="167"/>
      <w:bookmarkEnd w:id="168"/>
      <w:bookmarkEnd w:id="169"/>
      <w:bookmarkEnd w:id="170"/>
      <w:bookmarkEnd w:id="171"/>
      <w:bookmarkEnd w:id="172"/>
      <w:bookmarkEnd w:id="173"/>
      <w:bookmarkEnd w:id="174"/>
      <w:bookmarkEnd w:id="175"/>
      <w:bookmarkEnd w:id="176"/>
    </w:p>
    <w:p>
      <w:pPr>
        <w:pStyle w:val="4"/>
      </w:pPr>
      <w:bookmarkStart w:id="177" w:name="_Toc27169"/>
      <w:bookmarkStart w:id="178" w:name="_Toc22739"/>
      <w:bookmarkStart w:id="179" w:name="_Toc11195"/>
      <w:bookmarkStart w:id="180" w:name="_Toc35246434"/>
      <w:bookmarkStart w:id="181" w:name="_Toc1429"/>
      <w:bookmarkStart w:id="182" w:name="_Toc2481"/>
      <w:r>
        <w:rPr>
          <w:rFonts w:hint="eastAsia"/>
        </w:rPr>
        <w:t>功能要求</w:t>
      </w:r>
      <w:bookmarkEnd w:id="177"/>
      <w:bookmarkEnd w:id="178"/>
      <w:bookmarkEnd w:id="179"/>
      <w:bookmarkEnd w:id="180"/>
      <w:bookmarkEnd w:id="181"/>
      <w:bookmarkEnd w:id="182"/>
    </w:p>
    <w:p>
      <w:pPr>
        <w:pStyle w:val="5"/>
        <w:rPr>
          <w:color w:val="auto"/>
          <w:lang w:val="en-US"/>
        </w:rPr>
      </w:pPr>
      <w:r>
        <w:rPr>
          <w:rFonts w:hint="eastAsia"/>
          <w:color w:val="auto"/>
          <w:lang w:val="en-US"/>
        </w:rPr>
        <w:t>技术规范性要求</w:t>
      </w:r>
    </w:p>
    <w:tbl>
      <w:tblPr>
        <w:tblStyle w:val="32"/>
        <w:tblW w:w="0" w:type="auto"/>
        <w:tblInd w:w="4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宋体" w:hAnsi="宋体" w:cs="宋体"/>
                <w:sz w:val="24"/>
              </w:rPr>
              <w:t>产品符合 GB 18030-2022《信息技术中文编码字符集》最高实现级别（3级）要求，提供第三方测评机构认证证明。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2" w:hRule="atLeast"/>
        </w:trPr>
        <w:tc>
          <w:tcPr>
            <w:tcW w:w="9095" w:type="dxa"/>
            <w:vAlign w:val="center"/>
          </w:tcPr>
          <w:p>
            <w:pPr>
              <w:rPr>
                <w:rFonts w:ascii="宋体" w:hAnsi="宋体" w:cs="宋体"/>
                <w:sz w:val="24"/>
              </w:rPr>
            </w:pPr>
            <w:r>
              <w:rPr>
                <w:rFonts w:hint="eastAsia" w:ascii="宋体" w:hAnsi="宋体" w:cs="宋体"/>
                <w:sz w:val="24"/>
              </w:rPr>
              <w:t>符合Q/CEPREI-D001-</w:t>
            </w:r>
            <w:r>
              <w:rPr>
                <w:rFonts w:ascii="宋体" w:hAnsi="宋体" w:cs="宋体"/>
                <w:sz w:val="24"/>
              </w:rPr>
              <w:t>2023</w:t>
            </w:r>
            <w:r>
              <w:rPr>
                <w:rFonts w:hint="eastAsia" w:ascii="宋体" w:hAnsi="宋体" w:cs="宋体"/>
                <w:sz w:val="24"/>
              </w:rPr>
              <w:t>《信息技术应用创新Web应用中间件测试规范》，提供第三方符合性检测报告。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2" w:hRule="atLeast"/>
        </w:trPr>
        <w:tc>
          <w:tcPr>
            <w:tcW w:w="9095" w:type="dxa"/>
            <w:vAlign w:val="center"/>
          </w:tcPr>
          <w:p>
            <w:pPr>
              <w:rPr>
                <w:rFonts w:ascii="宋体" w:hAnsi="宋体" w:cs="宋体"/>
                <w:sz w:val="24"/>
              </w:rPr>
            </w:pPr>
            <w:r>
              <w:rPr>
                <w:rFonts w:hint="eastAsia" w:ascii="宋体" w:hAnsi="宋体" w:cs="宋体"/>
                <w:sz w:val="24"/>
              </w:rPr>
              <w:t>*支持JDK</w:t>
            </w:r>
            <w:r>
              <w:rPr>
                <w:rFonts w:ascii="宋体" w:hAnsi="宋体" w:cs="宋体"/>
                <w:sz w:val="24"/>
              </w:rPr>
              <w:t>8</w:t>
            </w:r>
            <w:r>
              <w:rPr>
                <w:rFonts w:hint="eastAsia" w:ascii="宋体" w:hAnsi="宋体" w:cs="宋体"/>
                <w:sz w:val="24"/>
              </w:rPr>
              <w:t>、9、11、17、21等版本。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宋体" w:hAnsi="宋体" w:cs="微软雅黑"/>
                <w:kern w:val="0"/>
                <w:sz w:val="24"/>
                <w:lang w:val="en-US" w:eastAsia="zh-CN" w:bidi="ar"/>
              </w:rPr>
              <w:t>*</w:t>
            </w:r>
            <w:r>
              <w:rPr>
                <w:rFonts w:hint="eastAsia" w:ascii="宋体" w:hAnsi="宋体" w:cs="微软雅黑"/>
                <w:kern w:val="0"/>
                <w:sz w:val="24"/>
                <w:lang w:bidi="ar"/>
              </w:rPr>
              <w:t>支持Java</w:t>
            </w:r>
            <w:r>
              <w:rPr>
                <w:rFonts w:ascii="宋体" w:hAnsi="宋体" w:cs="微软雅黑"/>
                <w:kern w:val="0"/>
                <w:sz w:val="24"/>
                <w:lang w:bidi="ar"/>
              </w:rPr>
              <w:t xml:space="preserve"> </w:t>
            </w:r>
            <w:r>
              <w:rPr>
                <w:rFonts w:hint="eastAsia" w:ascii="宋体" w:hAnsi="宋体" w:cs="微软雅黑"/>
                <w:kern w:val="0"/>
                <w:sz w:val="24"/>
                <w:lang w:bidi="ar"/>
              </w:rPr>
              <w:t>EE规范，通过</w:t>
            </w:r>
            <w:r>
              <w:rPr>
                <w:rFonts w:hint="eastAsia" w:ascii="宋体" w:hAnsi="宋体" w:cs="宋体"/>
                <w:sz w:val="24"/>
              </w:rPr>
              <w:t>Java</w:t>
            </w:r>
            <w:r>
              <w:rPr>
                <w:rFonts w:ascii="宋体" w:hAnsi="宋体" w:cs="宋体"/>
                <w:sz w:val="24"/>
              </w:rPr>
              <w:t xml:space="preserve"> </w:t>
            </w:r>
            <w:r>
              <w:rPr>
                <w:rFonts w:hint="eastAsia" w:ascii="宋体" w:hAnsi="宋体" w:cs="宋体"/>
                <w:sz w:val="24"/>
              </w:rPr>
              <w:t>EE 7、Java</w:t>
            </w:r>
            <w:r>
              <w:rPr>
                <w:rFonts w:ascii="宋体" w:hAnsi="宋体" w:cs="宋体"/>
                <w:sz w:val="24"/>
              </w:rPr>
              <w:t xml:space="preserve"> </w:t>
            </w:r>
            <w:r>
              <w:rPr>
                <w:rFonts w:hint="eastAsia" w:ascii="宋体" w:hAnsi="宋体" w:cs="宋体"/>
                <w:sz w:val="24"/>
              </w:rPr>
              <w:t>EE 8规范认证，同时兼容低版本规范，</w:t>
            </w:r>
            <w:r>
              <w:rPr>
                <w:rFonts w:hint="eastAsia" w:ascii="宋体" w:hAnsi="宋体" w:cs="宋体"/>
                <w:sz w:val="24"/>
                <w:lang w:val="en-US" w:eastAsia="zh-CN"/>
              </w:rPr>
              <w:t>分别提供JavaEE7、JavaEE8两个标准规范版本的官方</w:t>
            </w:r>
            <w:bookmarkStart w:id="350" w:name="_GoBack"/>
            <w:bookmarkEnd w:id="350"/>
            <w:r>
              <w:rPr>
                <w:rFonts w:hint="eastAsia" w:ascii="宋体" w:hAnsi="宋体" w:cs="宋体"/>
                <w:sz w:val="24"/>
                <w:lang w:val="en-US" w:eastAsia="zh-CN"/>
              </w:rPr>
              <w:t>兼容认证证明材料</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2" w:hRule="atLeast"/>
        </w:trPr>
        <w:tc>
          <w:tcPr>
            <w:tcW w:w="9095" w:type="dxa"/>
            <w:vAlign w:val="center"/>
          </w:tcPr>
          <w:p>
            <w:pPr>
              <w:rPr>
                <w:rFonts w:ascii="宋体" w:hAnsi="宋体" w:cs="微软雅黑"/>
                <w:kern w:val="0"/>
                <w:sz w:val="24"/>
                <w:lang w:bidi="ar"/>
              </w:rPr>
            </w:pPr>
            <w:r>
              <w:rPr>
                <w:rFonts w:hint="eastAsia" w:ascii="宋体" w:hAnsi="宋体" w:cs="微软雅黑"/>
                <w:kern w:val="0"/>
                <w:sz w:val="24"/>
                <w:lang w:bidi="ar"/>
              </w:rPr>
              <w:t>支持Jakarta</w:t>
            </w:r>
            <w:r>
              <w:rPr>
                <w:rFonts w:ascii="宋体" w:hAnsi="宋体" w:cs="微软雅黑"/>
                <w:kern w:val="0"/>
                <w:sz w:val="24"/>
                <w:lang w:bidi="ar"/>
              </w:rPr>
              <w:t xml:space="preserve"> </w:t>
            </w:r>
            <w:r>
              <w:rPr>
                <w:rFonts w:hint="eastAsia" w:ascii="宋体" w:hAnsi="宋体" w:cs="微软雅黑"/>
                <w:kern w:val="0"/>
                <w:sz w:val="24"/>
                <w:lang w:bidi="ar"/>
              </w:rPr>
              <w:t>EE规范，通过</w:t>
            </w:r>
            <w:r>
              <w:rPr>
                <w:rFonts w:hint="eastAsia" w:ascii="宋体" w:hAnsi="宋体" w:cs="宋体"/>
                <w:sz w:val="24"/>
              </w:rPr>
              <w:t xml:space="preserve">Jakarta EE </w:t>
            </w:r>
            <w:r>
              <w:rPr>
                <w:rFonts w:ascii="宋体" w:hAnsi="宋体" w:cs="宋体"/>
                <w:sz w:val="24"/>
              </w:rPr>
              <w:t>8</w:t>
            </w:r>
            <w:r>
              <w:rPr>
                <w:rFonts w:hint="eastAsia" w:ascii="宋体" w:hAnsi="宋体" w:cs="宋体"/>
                <w:sz w:val="24"/>
              </w:rPr>
              <w:t>、Jakarta EE 9、Jakarta EE 9.</w:t>
            </w:r>
            <w:r>
              <w:rPr>
                <w:rFonts w:ascii="宋体" w:hAnsi="宋体" w:cs="宋体"/>
                <w:sz w:val="24"/>
              </w:rPr>
              <w:t>1</w:t>
            </w:r>
            <w:r>
              <w:rPr>
                <w:rFonts w:hint="eastAsia" w:ascii="宋体" w:hAnsi="宋体" w:cs="宋体"/>
                <w:sz w:val="24"/>
              </w:rPr>
              <w:t>、Jakarta EE 10规范认证，提供证明材料。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sz w:val="24"/>
              </w:rPr>
              <w:t xml:space="preserve">支持Jakarta Enterprise Web Services </w:t>
            </w:r>
            <w:r>
              <w:rPr>
                <w:rFonts w:ascii="宋体" w:hAnsi="宋体" w:cs="宋体"/>
                <w:sz w:val="24"/>
              </w:rPr>
              <w:t>1.4</w:t>
            </w:r>
            <w:r>
              <w:rPr>
                <w:rFonts w:hint="eastAsia" w:ascii="宋体" w:hAnsi="宋体" w:cs="宋体"/>
                <w:sz w:val="24"/>
              </w:rPr>
              <w:t>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sz w:val="24"/>
              </w:rPr>
              <w:t>支持</w:t>
            </w:r>
            <w:r>
              <w:rPr>
                <w:rStyle w:val="54"/>
                <w:rFonts w:hint="default"/>
                <w:color w:val="auto"/>
                <w:lang w:bidi="ar"/>
              </w:rPr>
              <w:t>Jakarta Enterprise Beans 3.2及以上版本</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宋体" w:hAnsi="宋体" w:cs="宋体"/>
                <w:sz w:val="24"/>
              </w:rPr>
              <w:t>支持</w:t>
            </w:r>
            <w:r>
              <w:rPr>
                <w:rFonts w:ascii="宋体" w:hAnsi="宋体" w:cs="宋体"/>
                <w:sz w:val="24"/>
              </w:rPr>
              <w:t>Jakarta Messaging 2.0</w:t>
            </w:r>
            <w:r>
              <w:rPr>
                <w:rFonts w:hint="eastAsia" w:ascii="宋体" w:hAnsi="宋体" w:cs="宋体"/>
                <w:sz w:val="24"/>
              </w:rPr>
              <w:t>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宋体" w:hAnsi="宋体" w:cs="宋体"/>
                <w:sz w:val="24"/>
              </w:rPr>
              <w:t>支持</w:t>
            </w:r>
            <w:r>
              <w:rPr>
                <w:rFonts w:ascii="宋体" w:hAnsi="宋体" w:cs="宋体"/>
                <w:sz w:val="24"/>
              </w:rPr>
              <w:t>Jakarta Transactions 1.3</w:t>
            </w:r>
            <w:r>
              <w:rPr>
                <w:rFonts w:hint="eastAsia" w:ascii="宋体" w:hAnsi="宋体" w:cs="宋体"/>
                <w:sz w:val="24"/>
              </w:rPr>
              <w:t xml:space="preserve"> 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宋体" w:hAnsi="宋体" w:cs="宋体"/>
                <w:sz w:val="24"/>
              </w:rPr>
              <w:t>*支持Jakarta Servlet</w:t>
            </w:r>
            <w:r>
              <w:rPr>
                <w:rFonts w:ascii="宋体" w:hAnsi="宋体" w:cs="宋体"/>
                <w:sz w:val="24"/>
              </w:rPr>
              <w:t xml:space="preserve"> 4.0</w:t>
            </w:r>
            <w:r>
              <w:rPr>
                <w:rFonts w:hint="eastAsia" w:ascii="宋体" w:hAnsi="宋体" w:cs="宋体"/>
                <w:sz w:val="24"/>
              </w:rPr>
              <w:t>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宋体" w:hAnsi="宋体" w:cs="宋体"/>
                <w:sz w:val="24"/>
              </w:rPr>
              <w:t>*支持Jakarta RESTful Web Services</w:t>
            </w:r>
            <w:r>
              <w:rPr>
                <w:rFonts w:ascii="宋体" w:hAnsi="宋体" w:cs="宋体"/>
                <w:sz w:val="24"/>
              </w:rPr>
              <w:t xml:space="preserve"> 2.1</w:t>
            </w:r>
            <w:r>
              <w:rPr>
                <w:rFonts w:hint="eastAsia" w:ascii="宋体" w:hAnsi="宋体" w:cs="宋体"/>
                <w:sz w:val="24"/>
              </w:rPr>
              <w:t>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sz w:val="24"/>
              </w:rPr>
              <w:t>支持Jakarta XML Web Services 2.0及以上版本。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sz w:val="24"/>
              </w:rPr>
              <w:t>支持</w:t>
            </w:r>
            <w:r>
              <w:rPr>
                <w:rStyle w:val="54"/>
                <w:rFonts w:hint="default"/>
                <w:color w:val="auto"/>
                <w:lang w:bidi="ar"/>
              </w:rPr>
              <w:t>Jakarta Server Pages</w:t>
            </w:r>
            <w:r>
              <w:rPr>
                <w:rFonts w:ascii="宋体" w:hAnsi="宋体" w:cs="宋体"/>
                <w:sz w:val="24"/>
              </w:rPr>
              <w:t xml:space="preserve"> </w:t>
            </w:r>
            <w:r>
              <w:rPr>
                <w:rFonts w:hint="eastAsia" w:ascii="宋体" w:hAnsi="宋体" w:cs="宋体"/>
                <w:sz w:val="24"/>
              </w:rPr>
              <w:t>2.3及以上版本。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宋体" w:hAnsi="宋体" w:cs="宋体"/>
                <w:sz w:val="24"/>
              </w:rPr>
              <w:t>支持RMI/IIOP 1及以上版本。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宋体" w:hAnsi="宋体" w:cs="宋体"/>
                <w:sz w:val="24"/>
              </w:rPr>
              <w:t>支持JMX 2.0，兼容1.2及以上版本。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宋体" w:hAnsi="宋体" w:cs="宋体"/>
                <w:sz w:val="24"/>
              </w:rPr>
              <w:t xml:space="preserve">支持Jakarta Mail </w:t>
            </w:r>
            <w:r>
              <w:rPr>
                <w:rFonts w:ascii="宋体" w:hAnsi="宋体" w:cs="宋体"/>
                <w:sz w:val="24"/>
              </w:rPr>
              <w:t>1.6</w:t>
            </w:r>
            <w:r>
              <w:rPr>
                <w:rFonts w:hint="eastAsia" w:ascii="宋体" w:hAnsi="宋体" w:cs="宋体"/>
                <w:sz w:val="24"/>
              </w:rPr>
              <w:t>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宋体" w:hAnsi="宋体" w:cs="宋体"/>
                <w:sz w:val="24"/>
              </w:rPr>
              <w:t>支持</w:t>
            </w:r>
            <w:r>
              <w:rPr>
                <w:rFonts w:ascii="宋体" w:hAnsi="宋体" w:cs="宋体"/>
                <w:sz w:val="24"/>
              </w:rPr>
              <w:t>Jakarta Security 1.0</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宋体" w:hAnsi="宋体" w:cs="宋体"/>
                <w:sz w:val="24"/>
              </w:rPr>
              <w:t>支持</w:t>
            </w:r>
            <w:r>
              <w:rPr>
                <w:rFonts w:ascii="宋体" w:hAnsi="宋体" w:cs="宋体"/>
                <w:sz w:val="24"/>
              </w:rPr>
              <w:t xml:space="preserve">Jakarta Connectors </w:t>
            </w:r>
            <w:r>
              <w:rPr>
                <w:rFonts w:hint="eastAsia" w:ascii="宋体" w:hAnsi="宋体" w:cs="宋体"/>
                <w:sz w:val="24"/>
              </w:rPr>
              <w:t>1.7及以上版本。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宋体" w:hAnsi="宋体" w:cs="宋体"/>
                <w:sz w:val="24"/>
              </w:rPr>
              <w:t xml:space="preserve">支持Jakarta Authentication  1.1及以上版本，支持Jakarta Authorization </w:t>
            </w:r>
            <w:r>
              <w:rPr>
                <w:rFonts w:ascii="宋体" w:hAnsi="宋体" w:cs="宋体"/>
                <w:sz w:val="24"/>
              </w:rPr>
              <w:t>1.5</w:t>
            </w:r>
            <w:r>
              <w:rPr>
                <w:rFonts w:hint="eastAsia" w:ascii="宋体" w:hAnsi="宋体" w:cs="宋体"/>
                <w:sz w:val="24"/>
              </w:rPr>
              <w:t>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宋体" w:hAnsi="宋体" w:cs="宋体"/>
                <w:sz w:val="24"/>
              </w:rPr>
              <w:t>支持JCE 1.4及以上版本。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宋体" w:hAnsi="宋体" w:cs="宋体"/>
                <w:sz w:val="24"/>
              </w:rPr>
              <w:t>支持Java RMI 1及以上版本。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Fonts w:hint="eastAsia" w:ascii="宋体" w:hAnsi="宋体" w:cs="宋体"/>
                <w:sz w:val="24"/>
              </w:rPr>
              <w:t>支持SOAP Attachments for Java (SAAJ) 1.3，兼容1.2版本。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Style w:val="54"/>
                <w:rFonts w:hint="default"/>
                <w:color w:val="auto"/>
                <w:lang w:bidi="ar"/>
              </w:rPr>
              <w:t>支持Jakarta Server Faces 2.3及以上版本。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2" w:hRule="atLeast"/>
        </w:trPr>
        <w:tc>
          <w:tcPr>
            <w:tcW w:w="9095" w:type="dxa"/>
            <w:vAlign w:val="center"/>
          </w:tcPr>
          <w:p>
            <w:pPr>
              <w:rPr>
                <w:rStyle w:val="54"/>
                <w:rFonts w:hint="default"/>
                <w:color w:val="auto"/>
                <w:lang w:bidi="ar"/>
              </w:rPr>
            </w:pPr>
            <w:r>
              <w:rPr>
                <w:rFonts w:hint="eastAsia" w:ascii="宋体" w:hAnsi="宋体" w:cs="宋体"/>
                <w:sz w:val="24"/>
              </w:rPr>
              <w:t>支持</w:t>
            </w:r>
            <w:r>
              <w:rPr>
                <w:rStyle w:val="54"/>
                <w:rFonts w:hint="default"/>
                <w:color w:val="auto"/>
                <w:lang w:bidi="ar"/>
              </w:rPr>
              <w:t>Jakarta Annotations 1.3及以上版本。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rFonts w:ascii="宋体" w:hAnsi="宋体" w:cs="宋体"/>
                <w:sz w:val="24"/>
              </w:rPr>
            </w:pPr>
            <w:r>
              <w:rPr>
                <w:rStyle w:val="54"/>
                <w:rFonts w:hint="default"/>
                <w:color w:val="auto"/>
                <w:lang w:bidi="ar"/>
              </w:rPr>
              <w:t>支持Jakarta Batch 1.0及以上版本。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lang w:bidi="ar"/>
              </w:rPr>
            </w:pPr>
            <w:r>
              <w:rPr>
                <w:rStyle w:val="54"/>
                <w:rFonts w:hint="default"/>
                <w:color w:val="auto"/>
                <w:lang w:bidi="ar"/>
              </w:rPr>
              <w:t>支持Jakarta Debugging Support for Other Languages 1.0及以上版本。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lang w:bidi="ar"/>
              </w:rPr>
            </w:pPr>
            <w:r>
              <w:rPr>
                <w:rStyle w:val="54"/>
                <w:rFonts w:hint="default"/>
                <w:color w:val="auto"/>
                <w:lang w:bidi="ar"/>
              </w:rPr>
              <w:t>支持</w:t>
            </w:r>
            <w:r>
              <w:rPr>
                <w:rStyle w:val="54"/>
                <w:rFonts w:hint="default"/>
                <w:lang w:bidi="ar"/>
              </w:rPr>
              <w:t>Jakarta Dependency Injection 1.0</w:t>
            </w:r>
            <w:r>
              <w:rPr>
                <w:rStyle w:val="54"/>
                <w:rFonts w:hint="default"/>
                <w:color w:val="auto"/>
                <w:lang w:bidi="ar"/>
              </w:rPr>
              <w:t>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2" w:hRule="atLeast"/>
        </w:trPr>
        <w:tc>
          <w:tcPr>
            <w:tcW w:w="9095" w:type="dxa"/>
            <w:vAlign w:val="center"/>
          </w:tcPr>
          <w:p>
            <w:pPr>
              <w:rPr>
                <w:lang w:bidi="ar"/>
              </w:rPr>
            </w:pPr>
            <w:r>
              <w:rPr>
                <w:rStyle w:val="54"/>
                <w:rFonts w:hint="default"/>
                <w:color w:val="auto"/>
                <w:lang w:bidi="ar"/>
              </w:rPr>
              <w:t>支持Jakarta Deployment 1.7版本。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lang w:bidi="ar"/>
              </w:rPr>
            </w:pPr>
            <w:r>
              <w:rPr>
                <w:rStyle w:val="54"/>
                <w:rFonts w:hint="default"/>
                <w:color w:val="auto"/>
                <w:lang w:bidi="ar"/>
              </w:rPr>
              <w:t>支持</w:t>
            </w:r>
            <w:r>
              <w:rPr>
                <w:rStyle w:val="54"/>
                <w:rFonts w:hint="default"/>
                <w:lang w:bidi="ar"/>
              </w:rPr>
              <w:t>Jakarta Expression Language 3.0</w:t>
            </w:r>
            <w:r>
              <w:rPr>
                <w:rStyle w:val="54"/>
                <w:rFonts w:hint="default"/>
                <w:color w:val="auto"/>
                <w:lang w:bidi="ar"/>
              </w:rPr>
              <w:t>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lang w:bidi="ar"/>
              </w:rPr>
            </w:pPr>
            <w:r>
              <w:rPr>
                <w:rStyle w:val="54"/>
                <w:rFonts w:hint="default"/>
                <w:color w:val="auto"/>
                <w:lang w:bidi="ar"/>
              </w:rPr>
              <w:t>支持</w:t>
            </w:r>
            <w:r>
              <w:rPr>
                <w:rStyle w:val="54"/>
                <w:rFonts w:hint="default"/>
                <w:lang w:bidi="ar"/>
              </w:rPr>
              <w:t>Jakarta Interceptors 1.2</w:t>
            </w:r>
            <w:r>
              <w:rPr>
                <w:rStyle w:val="54"/>
                <w:rFonts w:hint="default"/>
                <w:color w:val="auto"/>
                <w:lang w:bidi="ar"/>
              </w:rPr>
              <w:t>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lang w:bidi="ar"/>
              </w:rPr>
            </w:pPr>
            <w:r>
              <w:rPr>
                <w:rStyle w:val="54"/>
                <w:rFonts w:hint="default"/>
                <w:color w:val="auto"/>
                <w:lang w:bidi="ar"/>
              </w:rPr>
              <w:t>支持</w:t>
            </w:r>
            <w:r>
              <w:rPr>
                <w:rStyle w:val="54"/>
                <w:rFonts w:hint="default"/>
                <w:lang w:bidi="ar"/>
              </w:rPr>
              <w:t>Jakarta JSON Binding 1.0</w:t>
            </w:r>
            <w:r>
              <w:rPr>
                <w:rStyle w:val="54"/>
                <w:rFonts w:hint="default"/>
                <w:color w:val="auto"/>
                <w:lang w:bidi="ar"/>
              </w:rPr>
              <w:t>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lang w:bidi="ar"/>
              </w:rPr>
            </w:pPr>
            <w:r>
              <w:rPr>
                <w:rStyle w:val="54"/>
                <w:rFonts w:hint="default"/>
                <w:color w:val="auto"/>
                <w:lang w:bidi="ar"/>
              </w:rPr>
              <w:t>支持</w:t>
            </w:r>
            <w:r>
              <w:rPr>
                <w:rStyle w:val="54"/>
                <w:rFonts w:hint="default"/>
                <w:lang w:bidi="ar"/>
              </w:rPr>
              <w:t>Jakarta JSON Processing 1.1</w:t>
            </w:r>
            <w:r>
              <w:rPr>
                <w:rStyle w:val="54"/>
                <w:rFonts w:hint="default"/>
                <w:color w:val="auto"/>
                <w:lang w:bidi="ar"/>
              </w:rPr>
              <w:t>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lang w:bidi="ar"/>
              </w:rPr>
            </w:pPr>
            <w:r>
              <w:rPr>
                <w:rStyle w:val="54"/>
                <w:rFonts w:hint="default"/>
                <w:color w:val="auto"/>
                <w:lang w:bidi="ar"/>
              </w:rPr>
              <w:t>支持</w:t>
            </w:r>
            <w:r>
              <w:rPr>
                <w:rStyle w:val="54"/>
                <w:rFonts w:hint="default"/>
                <w:lang w:bidi="ar"/>
              </w:rPr>
              <w:t>Jakarta Managed Beans 1.0</w:t>
            </w:r>
            <w:r>
              <w:rPr>
                <w:rStyle w:val="54"/>
                <w:rFonts w:hint="default"/>
                <w:color w:val="auto"/>
                <w:lang w:bidi="ar"/>
              </w:rPr>
              <w:t>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95" w:type="dxa"/>
            <w:vAlign w:val="center"/>
          </w:tcPr>
          <w:p>
            <w:pPr>
              <w:rPr>
                <w:lang w:bidi="ar"/>
              </w:rPr>
            </w:pPr>
            <w:r>
              <w:rPr>
                <w:rStyle w:val="54"/>
                <w:rFonts w:hint="default"/>
                <w:color w:val="auto"/>
                <w:lang w:bidi="ar"/>
              </w:rPr>
              <w:t>支持</w:t>
            </w:r>
            <w:r>
              <w:rPr>
                <w:rStyle w:val="54"/>
                <w:rFonts w:hint="default"/>
                <w:lang w:bidi="ar"/>
              </w:rPr>
              <w:t>Jakarta Management 1.1</w:t>
            </w:r>
            <w:r>
              <w:rPr>
                <w:rStyle w:val="54"/>
                <w:rFonts w:hint="default"/>
                <w:color w:val="auto"/>
                <w:lang w:bidi="ar"/>
              </w:rPr>
              <w:t>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2" w:hRule="atLeast"/>
        </w:trPr>
        <w:tc>
          <w:tcPr>
            <w:tcW w:w="9095" w:type="dxa"/>
            <w:vAlign w:val="center"/>
          </w:tcPr>
          <w:p>
            <w:pPr>
              <w:rPr>
                <w:lang w:bidi="ar"/>
              </w:rPr>
            </w:pPr>
            <w:r>
              <w:rPr>
                <w:rStyle w:val="54"/>
                <w:rFonts w:hint="default"/>
                <w:color w:val="auto"/>
                <w:lang w:bidi="ar"/>
              </w:rPr>
              <w:t>支持</w:t>
            </w:r>
            <w:r>
              <w:rPr>
                <w:rStyle w:val="54"/>
                <w:rFonts w:hint="default"/>
                <w:lang w:bidi="ar"/>
              </w:rPr>
              <w:t>Jakarta RESTful Web Services 2.1</w:t>
            </w:r>
            <w:r>
              <w:rPr>
                <w:rStyle w:val="54"/>
                <w:rFonts w:hint="default"/>
                <w:color w:val="auto"/>
                <w:lang w:bidi="ar"/>
              </w:rPr>
              <w:t>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2" w:hRule="atLeast"/>
        </w:trPr>
        <w:tc>
          <w:tcPr>
            <w:tcW w:w="9095" w:type="dxa"/>
            <w:vAlign w:val="center"/>
          </w:tcPr>
          <w:p>
            <w:pPr>
              <w:rPr>
                <w:lang w:bidi="ar"/>
              </w:rPr>
            </w:pPr>
            <w:r>
              <w:rPr>
                <w:rStyle w:val="54"/>
                <w:rFonts w:hint="default"/>
                <w:color w:val="auto"/>
                <w:lang w:bidi="ar"/>
              </w:rPr>
              <w:t>支持</w:t>
            </w:r>
            <w:r>
              <w:rPr>
                <w:rStyle w:val="54"/>
                <w:rFonts w:hint="default"/>
                <w:lang w:bidi="ar"/>
              </w:rPr>
              <w:t>Jakarta Standard Tag Library 1.2</w:t>
            </w:r>
            <w:r>
              <w:rPr>
                <w:rStyle w:val="54"/>
                <w:rFonts w:hint="default"/>
                <w:color w:val="auto"/>
                <w:lang w:bidi="ar"/>
              </w:rPr>
              <w:t>及以上版本。</w:t>
            </w:r>
          </w:p>
        </w:tc>
      </w:tr>
    </w:tbl>
    <w:p>
      <w:pPr>
        <w:rPr>
          <w:rFonts w:ascii="宋体" w:hAnsi="宋体" w:cs="宋体"/>
          <w:szCs w:val="21"/>
        </w:rPr>
      </w:pPr>
    </w:p>
    <w:p>
      <w:pPr>
        <w:spacing w:line="360" w:lineRule="auto"/>
        <w:ind w:left="420"/>
        <w:rPr>
          <w:rFonts w:ascii="宋体" w:hAnsi="宋体"/>
          <w:sz w:val="24"/>
        </w:rPr>
      </w:pPr>
    </w:p>
    <w:p>
      <w:pPr>
        <w:pStyle w:val="5"/>
        <w:rPr>
          <w:color w:val="auto"/>
        </w:rPr>
      </w:pPr>
      <w:bookmarkStart w:id="183" w:name="_Toc5248"/>
      <w:bookmarkStart w:id="184" w:name="_Toc24919"/>
      <w:bookmarkStart w:id="185" w:name="_Toc25366"/>
      <w:bookmarkStart w:id="186" w:name="_Toc4604"/>
      <w:bookmarkStart w:id="187" w:name="_Toc35246437"/>
      <w:bookmarkStart w:id="188" w:name="_Toc1133"/>
      <w:r>
        <w:rPr>
          <w:rFonts w:hint="eastAsia"/>
          <w:color w:val="auto"/>
        </w:rPr>
        <w:t>其他协议支持</w:t>
      </w:r>
      <w:bookmarkEnd w:id="183"/>
      <w:bookmarkEnd w:id="184"/>
      <w:bookmarkEnd w:id="185"/>
      <w:bookmarkEnd w:id="186"/>
      <w:bookmarkEnd w:id="187"/>
      <w:bookmarkEnd w:id="188"/>
    </w:p>
    <w:tbl>
      <w:tblPr>
        <w:tblStyle w:val="32"/>
        <w:tblW w:w="9055" w:type="dxa"/>
        <w:tblInd w:w="516" w:type="dxa"/>
        <w:tblLayout w:type="autofit"/>
        <w:tblCellMar>
          <w:top w:w="0" w:type="dxa"/>
          <w:left w:w="108" w:type="dxa"/>
          <w:bottom w:w="0" w:type="dxa"/>
          <w:right w:w="108" w:type="dxa"/>
        </w:tblCellMar>
      </w:tblPr>
      <w:tblGrid>
        <w:gridCol w:w="9055"/>
      </w:tblGrid>
      <w:tr>
        <w:tblPrEx>
          <w:tblCellMar>
            <w:top w:w="0" w:type="dxa"/>
            <w:left w:w="108" w:type="dxa"/>
            <w:bottom w:w="0" w:type="dxa"/>
            <w:right w:w="108" w:type="dxa"/>
          </w:tblCellMar>
        </w:tblPrEx>
        <w:trPr>
          <w:trHeight w:val="454" w:hRule="atLeast"/>
        </w:trPr>
        <w:tc>
          <w:tcPr>
            <w:tcW w:w="9055"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支持SSL v3及TLS</w:t>
            </w:r>
            <w:r>
              <w:rPr>
                <w:rFonts w:ascii="宋体" w:hAnsi="宋体" w:cs="宋体"/>
                <w:kern w:val="0"/>
                <w:sz w:val="24"/>
                <w:lang w:bidi="ar"/>
              </w:rPr>
              <w:t xml:space="preserve"> </w:t>
            </w:r>
            <w:bookmarkStart w:id="189" w:name="OLE_LINK1"/>
            <w:r>
              <w:rPr>
                <w:rFonts w:ascii="宋体" w:hAnsi="宋体" w:cs="宋体"/>
                <w:kern w:val="0"/>
                <w:sz w:val="24"/>
                <w:lang w:bidi="ar"/>
              </w:rPr>
              <w:t>1.0、1.1、1.2、1.3</w:t>
            </w:r>
            <w:bookmarkEnd w:id="189"/>
            <w:r>
              <w:rPr>
                <w:rFonts w:hint="eastAsia" w:ascii="宋体" w:hAnsi="宋体" w:cs="宋体"/>
                <w:kern w:val="0"/>
                <w:sz w:val="24"/>
                <w:lang w:bidi="ar"/>
              </w:rPr>
              <w:t>。</w:t>
            </w:r>
          </w:p>
        </w:tc>
      </w:tr>
      <w:tr>
        <w:tblPrEx>
          <w:tblCellMar>
            <w:top w:w="0" w:type="dxa"/>
            <w:left w:w="108" w:type="dxa"/>
            <w:bottom w:w="0" w:type="dxa"/>
            <w:right w:w="108" w:type="dxa"/>
          </w:tblCellMar>
        </w:tblPrEx>
        <w:trPr>
          <w:trHeight w:val="454" w:hRule="atLeast"/>
        </w:trPr>
        <w:tc>
          <w:tcPr>
            <w:tcW w:w="9055"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支持X.509 v3及以上版本协议。</w:t>
            </w:r>
          </w:p>
        </w:tc>
      </w:tr>
      <w:tr>
        <w:tblPrEx>
          <w:tblCellMar>
            <w:top w:w="0" w:type="dxa"/>
            <w:left w:w="108" w:type="dxa"/>
            <w:bottom w:w="0" w:type="dxa"/>
            <w:right w:w="108" w:type="dxa"/>
          </w:tblCellMar>
        </w:tblPrEx>
        <w:trPr>
          <w:trHeight w:val="454" w:hRule="atLeast"/>
        </w:trPr>
        <w:tc>
          <w:tcPr>
            <w:tcW w:w="9055"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支持LDAP v3及以上版本协议。</w:t>
            </w:r>
          </w:p>
        </w:tc>
      </w:tr>
      <w:tr>
        <w:tblPrEx>
          <w:tblCellMar>
            <w:top w:w="0" w:type="dxa"/>
            <w:left w:w="108" w:type="dxa"/>
            <w:bottom w:w="0" w:type="dxa"/>
            <w:right w:w="108" w:type="dxa"/>
          </w:tblCellMar>
        </w:tblPrEx>
        <w:trPr>
          <w:trHeight w:val="454" w:hRule="atLeast"/>
        </w:trPr>
        <w:tc>
          <w:tcPr>
            <w:tcW w:w="9055"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支持SNMPv1,  SNMPv2及以上版本协议。</w:t>
            </w:r>
          </w:p>
        </w:tc>
      </w:tr>
      <w:tr>
        <w:tblPrEx>
          <w:tblCellMar>
            <w:top w:w="0" w:type="dxa"/>
            <w:left w:w="108" w:type="dxa"/>
            <w:bottom w:w="0" w:type="dxa"/>
            <w:right w:w="108" w:type="dxa"/>
          </w:tblCellMar>
        </w:tblPrEx>
        <w:trPr>
          <w:trHeight w:val="454" w:hRule="atLeast"/>
        </w:trPr>
        <w:tc>
          <w:tcPr>
            <w:tcW w:w="9055"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支持HTTP 1.1及以上版本协议（包括HTTP/2协议）。</w:t>
            </w:r>
          </w:p>
        </w:tc>
      </w:tr>
      <w:tr>
        <w:tblPrEx>
          <w:tblCellMar>
            <w:top w:w="0" w:type="dxa"/>
            <w:left w:w="108" w:type="dxa"/>
            <w:bottom w:w="0" w:type="dxa"/>
            <w:right w:w="108" w:type="dxa"/>
          </w:tblCellMar>
        </w:tblPrEx>
        <w:trPr>
          <w:trHeight w:val="454" w:hRule="atLeast"/>
        </w:trPr>
        <w:tc>
          <w:tcPr>
            <w:tcW w:w="9055"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内置对WebSocket标准的支持以提供移动应用的服务支撑。</w:t>
            </w:r>
          </w:p>
        </w:tc>
      </w:tr>
      <w:tr>
        <w:tblPrEx>
          <w:tblCellMar>
            <w:top w:w="0" w:type="dxa"/>
            <w:left w:w="108" w:type="dxa"/>
            <w:bottom w:w="0" w:type="dxa"/>
            <w:right w:w="108" w:type="dxa"/>
          </w:tblCellMar>
        </w:tblPrEx>
        <w:trPr>
          <w:trHeight w:val="454" w:hRule="atLeast"/>
        </w:trPr>
        <w:tc>
          <w:tcPr>
            <w:tcW w:w="9055"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内置对HTML5和JSONREST服务的技术实现。</w:t>
            </w:r>
          </w:p>
        </w:tc>
      </w:tr>
      <w:tr>
        <w:tblPrEx>
          <w:tblCellMar>
            <w:top w:w="0" w:type="dxa"/>
            <w:left w:w="108" w:type="dxa"/>
            <w:bottom w:w="0" w:type="dxa"/>
            <w:right w:w="108" w:type="dxa"/>
          </w:tblCellMar>
        </w:tblPrEx>
        <w:trPr>
          <w:trHeight w:val="454" w:hRule="atLeast"/>
        </w:trPr>
        <w:tc>
          <w:tcPr>
            <w:tcW w:w="9055"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内置提供WebSocket 模拟器。</w:t>
            </w:r>
          </w:p>
        </w:tc>
      </w:tr>
      <w:tr>
        <w:tblPrEx>
          <w:tblCellMar>
            <w:top w:w="0" w:type="dxa"/>
            <w:left w:w="108" w:type="dxa"/>
            <w:bottom w:w="0" w:type="dxa"/>
            <w:right w:w="108" w:type="dxa"/>
          </w:tblCellMar>
        </w:tblPrEx>
        <w:trPr>
          <w:trHeight w:val="454" w:hRule="atLeast"/>
        </w:trPr>
        <w:tc>
          <w:tcPr>
            <w:tcW w:w="9055"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w:t>
            </w:r>
            <w:r>
              <w:rPr>
                <w:rStyle w:val="54"/>
                <w:rFonts w:hint="default"/>
                <w:color w:val="auto"/>
                <w:lang w:bidi="ar"/>
              </w:rPr>
              <w:t>Jakarta Contexts and Dependency Injection 2.0</w:t>
            </w:r>
            <w:r>
              <w:rPr>
                <w:rFonts w:hint="eastAsia" w:ascii="宋体" w:hAnsi="宋体" w:cs="宋体"/>
                <w:kern w:val="0"/>
                <w:sz w:val="24"/>
                <w:lang w:bidi="ar"/>
              </w:rPr>
              <w:t>及以上版本。</w:t>
            </w:r>
          </w:p>
        </w:tc>
      </w:tr>
      <w:tr>
        <w:tblPrEx>
          <w:tblCellMar>
            <w:top w:w="0" w:type="dxa"/>
            <w:left w:w="108" w:type="dxa"/>
            <w:bottom w:w="0" w:type="dxa"/>
            <w:right w:w="108" w:type="dxa"/>
          </w:tblCellMar>
        </w:tblPrEx>
        <w:trPr>
          <w:trHeight w:val="454" w:hRule="atLeast"/>
        </w:trPr>
        <w:tc>
          <w:tcPr>
            <w:tcW w:w="9055"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内置提供JSON Programming API。</w:t>
            </w:r>
          </w:p>
        </w:tc>
      </w:tr>
      <w:tr>
        <w:tblPrEx>
          <w:tblCellMar>
            <w:top w:w="0" w:type="dxa"/>
            <w:left w:w="108" w:type="dxa"/>
            <w:bottom w:w="0" w:type="dxa"/>
            <w:right w:w="108" w:type="dxa"/>
          </w:tblCellMar>
        </w:tblPrEx>
        <w:trPr>
          <w:trHeight w:val="454" w:hRule="atLeast"/>
        </w:trPr>
        <w:tc>
          <w:tcPr>
            <w:tcW w:w="9055"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支持以 REST 方式通过 JSON 和 XML 访问企业数据源。</w:t>
            </w:r>
          </w:p>
        </w:tc>
      </w:tr>
      <w:tr>
        <w:tblPrEx>
          <w:tblCellMar>
            <w:top w:w="0" w:type="dxa"/>
            <w:left w:w="108" w:type="dxa"/>
            <w:bottom w:w="0" w:type="dxa"/>
            <w:right w:w="108" w:type="dxa"/>
          </w:tblCellMar>
        </w:tblPrEx>
        <w:trPr>
          <w:trHeight w:val="454" w:hRule="atLeast"/>
        </w:trPr>
        <w:tc>
          <w:tcPr>
            <w:tcW w:w="9055"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支持IPv6方式的应用调用，可满足IPv6/IPv4双栈同时访问。</w:t>
            </w:r>
          </w:p>
        </w:tc>
      </w:tr>
    </w:tbl>
    <w:p/>
    <w:p>
      <w:pPr>
        <w:spacing w:before="0" w:after="0" w:line="240" w:lineRule="auto"/>
      </w:pPr>
    </w:p>
    <w:p>
      <w:pPr>
        <w:pStyle w:val="4"/>
      </w:pPr>
      <w:bookmarkStart w:id="190" w:name="_Toc30205"/>
      <w:bookmarkStart w:id="191" w:name="_Toc35246438"/>
      <w:bookmarkStart w:id="192" w:name="_Toc1174"/>
      <w:bookmarkStart w:id="193" w:name="_Toc7207"/>
      <w:bookmarkStart w:id="194" w:name="_Toc11099"/>
      <w:bookmarkStart w:id="195" w:name="_Toc25594"/>
      <w:r>
        <w:rPr>
          <w:rFonts w:hint="eastAsia"/>
          <w:lang w:val="en-US"/>
        </w:rPr>
        <w:t>技术</w:t>
      </w:r>
      <w:r>
        <w:rPr>
          <w:rFonts w:hint="eastAsia"/>
        </w:rPr>
        <w:t>要求</w:t>
      </w:r>
      <w:bookmarkEnd w:id="190"/>
      <w:bookmarkEnd w:id="191"/>
      <w:bookmarkEnd w:id="192"/>
      <w:bookmarkEnd w:id="193"/>
      <w:bookmarkEnd w:id="194"/>
      <w:bookmarkEnd w:id="195"/>
    </w:p>
    <w:tbl>
      <w:tblPr>
        <w:tblStyle w:val="32"/>
        <w:tblW w:w="9000" w:type="dxa"/>
        <w:tblInd w:w="590" w:type="dxa"/>
        <w:tblLayout w:type="fixed"/>
        <w:tblCellMar>
          <w:top w:w="0" w:type="dxa"/>
          <w:left w:w="108" w:type="dxa"/>
          <w:bottom w:w="0" w:type="dxa"/>
          <w:right w:w="108" w:type="dxa"/>
        </w:tblCellMar>
      </w:tblPr>
      <w:tblGrid>
        <w:gridCol w:w="9000"/>
      </w:tblGrid>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支持集群部署模式， 支持应用系统的横向扩展。</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支持异构系统之间的多机集群实现。</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具备动态集群功能，支持集群部署动态增加服务器，在原业务系统不停机的情况下，扩展系统性能。</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集群情况下支持Session级故障恢复。</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支持集群管理功能，能够通过管理工具增加、删除、修改、配置集群。</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支持B/S模式集群监控能力，通过直观的监控界面实时获得集群各节点的健康状态。</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提供节点管理功能，包含应用服务器本地节点及远程节点的配置及管理。无需登录远程服务器即可管理远程机器上的节点。</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支持多数据源负载功能，通过同一JNDI资源名可关联多个数据库连接池，当某个数据库故障时可切换到正常的数据库。支持轮询、主备等负载模式。</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支持连接请求共享，用户在同一个请求事务中多次进行数据库操作时会获取相同的数据库连接，实现连接的请求级复用。</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支持数据库连接泄露检测功能，通过时间阈值定时检测和请求返回时触发检测两种方式，检测未正常关闭的数据库连接。支持通过命令行等方式对检测出的有泄露风险的连接进行手动回收。</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支持数据库连接泄露自动关闭，当用户业务请求结束时，自动将该请求过程中获取的未关闭的数据库连接关闭，归还到连接池中。</w:t>
            </w:r>
          </w:p>
        </w:tc>
      </w:tr>
      <w:tr>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多机集群提供内存复制(In-Memory Replication)，提供无单点故障的EJB失效恢复功能。</w:t>
            </w:r>
          </w:p>
        </w:tc>
      </w:tr>
      <w:tr>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支持业务的动态加载。在原业务系统不停机的情况下，扩展系统功能，或更新业务。</w:t>
            </w:r>
          </w:p>
        </w:tc>
      </w:tr>
      <w:tr>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kern w:val="0"/>
                <w:sz w:val="24"/>
                <w:lang w:bidi="ar"/>
              </w:rPr>
            </w:pPr>
            <w:r>
              <w:rPr>
                <w:rFonts w:hint="eastAsia" w:ascii="宋体" w:hAnsi="宋体" w:cs="宋体"/>
                <w:snapToGrid/>
                <w:color w:val="auto"/>
                <w:kern w:val="0"/>
                <w:sz w:val="24"/>
                <w:szCs w:val="24"/>
                <w:lang w:bidi="ar"/>
              </w:rPr>
              <w:t>支持应用</w:t>
            </w:r>
            <w:r>
              <w:rPr>
                <w:rFonts w:hint="eastAsia" w:ascii="宋体" w:hAnsi="宋体" w:cs="宋体"/>
                <w:bCs w:val="0"/>
                <w:snapToGrid/>
                <w:color w:val="auto"/>
                <w:kern w:val="0"/>
                <w:sz w:val="24"/>
                <w:szCs w:val="24"/>
                <w:lang w:bidi="ar"/>
              </w:rPr>
              <w:t>统一部署</w:t>
            </w:r>
            <w:r>
              <w:rPr>
                <w:rFonts w:hint="eastAsia" w:ascii="宋体" w:hAnsi="宋体" w:cs="宋体"/>
                <w:snapToGrid/>
                <w:color w:val="auto"/>
                <w:kern w:val="0"/>
                <w:sz w:val="24"/>
                <w:szCs w:val="24"/>
                <w:lang w:bidi="ar"/>
              </w:rPr>
              <w:t>，可通过管理控制台界面将应用同时部署到多个目标，包括多个集群、多个独立实例等，提升部署效率。</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支持应用部署的增量更新、回收与备份恢复操作，并提供部署模板功能，实现部署参数的标准化与复用。</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支持可配置的类加载策略，通过类加载委托关系反转、应用JAR包加载优先级配置及外部类库配置等策略，解决应用类冲突及共享问题；同时提供类加载白名单与忽略加载机制，实现灵活的运行时隔离。</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支持OSGi规范，支持OSGi类型应用，保证应用模块灵活启停和剪裁。</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具备管理JDBC连接池功能，针对主流的国产自主可控数据库具有针对性的优化技术，实现更好性能，动态负载感知以及交易感知，提供更高的可靠性。</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内置分布式缓存机制，支持将session信息基于配置写入分布式缓存。</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提供多种数据库隔离级别，提供数据库连接池机制，具备连接配置向导；能够对连接进行健康性检查。</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支持Container-Managed事务提供重试功能；。</w:t>
            </w:r>
          </w:p>
        </w:tc>
      </w:tr>
      <w:tr>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支持hazelcast内存数据网格。</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w:t>
            </w:r>
            <w:r>
              <w:rPr>
                <w:rFonts w:ascii="宋体" w:hAnsi="宋体" w:cs="宋体"/>
                <w:kern w:val="0"/>
                <w:sz w:val="24"/>
                <w:lang w:bidi="ar"/>
              </w:rPr>
              <w:t>Jakarta Concurrency 1.1</w:t>
            </w:r>
            <w:r>
              <w:rPr>
                <w:rFonts w:hint="eastAsia" w:ascii="宋体" w:hAnsi="宋体" w:cs="宋体"/>
                <w:kern w:val="0"/>
                <w:sz w:val="24"/>
                <w:lang w:bidi="ar"/>
              </w:rPr>
              <w:t>及以上版本，标准化地为应用提供并发资源。</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支持PaaS层功能要求，对多层的企业应用程序进行优化配置并实现到虚拟环境和云环境中部署与运行支撑。</w:t>
            </w:r>
          </w:p>
        </w:tc>
      </w:tr>
      <w:tr>
        <w:tblPrEx>
          <w:tblCellMar>
            <w:top w:w="0" w:type="dxa"/>
            <w:left w:w="108" w:type="dxa"/>
            <w:bottom w:w="0" w:type="dxa"/>
            <w:right w:w="108" w:type="dxa"/>
          </w:tblCellMar>
        </w:tblPrEx>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支持云化的服务支持，实现动态服务器构建的云化管理。</w:t>
            </w:r>
          </w:p>
        </w:tc>
      </w:tr>
      <w:tr>
        <w:trPr>
          <w:trHeight w:val="510"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支持REST的服务框架。</w:t>
            </w:r>
          </w:p>
        </w:tc>
      </w:tr>
      <w:tr>
        <w:tblPrEx>
          <w:tblCellMar>
            <w:top w:w="0" w:type="dxa"/>
            <w:left w:w="108" w:type="dxa"/>
            <w:bottom w:w="0" w:type="dxa"/>
            <w:right w:w="108" w:type="dxa"/>
          </w:tblCellMar>
        </w:tblPrEx>
        <w:trPr>
          <w:trHeight w:val="454"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支持远程部署，具备将本地应用程序包部署在远程服务器环境的能力，支持ear、war、jar等多种部署文件，支持ear目录部署。</w:t>
            </w:r>
          </w:p>
        </w:tc>
      </w:tr>
      <w:tr>
        <w:tblPrEx>
          <w:tblCellMar>
            <w:top w:w="0" w:type="dxa"/>
            <w:left w:w="108" w:type="dxa"/>
            <w:bottom w:w="0" w:type="dxa"/>
            <w:right w:w="108" w:type="dxa"/>
          </w:tblCellMar>
        </w:tblPrEx>
        <w:trPr>
          <w:trHeight w:val="454"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支持JTA事务恢复功能，即使在执行事务的过程中出现停电等导致服务器不正常关闭的情况，在服务器重启后，会自动恢复事务的执行，保证业务数据的完整性和一致性。</w:t>
            </w:r>
          </w:p>
        </w:tc>
      </w:tr>
      <w:tr>
        <w:trPr>
          <w:trHeight w:val="454"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支持异步消息I/O，以满足对消息持久的高性能需求。</w:t>
            </w:r>
          </w:p>
        </w:tc>
      </w:tr>
      <w:tr>
        <w:tblPrEx>
          <w:tblCellMar>
            <w:top w:w="0" w:type="dxa"/>
            <w:left w:w="108" w:type="dxa"/>
            <w:bottom w:w="0" w:type="dxa"/>
            <w:right w:w="108" w:type="dxa"/>
          </w:tblCellMar>
        </w:tblPrEx>
        <w:trPr>
          <w:trHeight w:val="454"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sz w:val="24"/>
              </w:rPr>
            </w:pPr>
            <w:r>
              <w:rPr>
                <w:rFonts w:hint="eastAsia" w:ascii="宋体" w:hAnsi="宋体" w:cs="宋体"/>
                <w:kern w:val="0"/>
                <w:sz w:val="24"/>
                <w:lang w:bidi="ar"/>
              </w:rPr>
              <w:t>提供请求跟踪功能及接口，可满足《中国南方电网有限责任公司运行监测规范》，可同总部/各单位现行运行主流监测系统相集成，以便外部监控应用可实时记录的运行情况，便于快速定位应用运行故障或性能问题。</w:t>
            </w:r>
          </w:p>
        </w:tc>
      </w:tr>
      <w:tr>
        <w:trPr>
          <w:trHeight w:val="454" w:hRule="atLeast"/>
        </w:trPr>
        <w:tc>
          <w:tcPr>
            <w:tcW w:w="9000"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支持</w:t>
            </w:r>
            <w:r>
              <w:rPr>
                <w:rStyle w:val="54"/>
                <w:rFonts w:hint="default"/>
                <w:color w:val="auto"/>
                <w:lang w:bidi="ar"/>
              </w:rPr>
              <w:t>Jakarta Persistence 2.2及以上版本</w:t>
            </w:r>
            <w:r>
              <w:rPr>
                <w:rFonts w:hint="eastAsia" w:ascii="宋体" w:hAnsi="宋体" w:cs="宋体"/>
                <w:kern w:val="0"/>
                <w:sz w:val="24"/>
                <w:lang w:bidi="ar"/>
              </w:rPr>
              <w:t>。</w:t>
            </w:r>
          </w:p>
        </w:tc>
      </w:tr>
    </w:tbl>
    <w:p>
      <w:pPr>
        <w:spacing w:before="100" w:after="100" w:line="360" w:lineRule="auto"/>
        <w:ind w:left="840"/>
        <w:rPr>
          <w:rFonts w:ascii="宋体" w:hAnsi="宋体"/>
          <w:sz w:val="24"/>
        </w:rPr>
      </w:pPr>
    </w:p>
    <w:p>
      <w:pPr>
        <w:pStyle w:val="4"/>
      </w:pPr>
      <w:r>
        <w:rPr>
          <w:rFonts w:hint="eastAsia"/>
          <w:lang w:val="en-US"/>
        </w:rPr>
        <w:t>性</w:t>
      </w:r>
      <w:r>
        <w:rPr>
          <w:rFonts w:hint="eastAsia"/>
        </w:rPr>
        <w:t>能要求</w:t>
      </w:r>
    </w:p>
    <w:tbl>
      <w:tblPr>
        <w:tblStyle w:val="32"/>
        <w:tblW w:w="0" w:type="auto"/>
        <w:tblInd w:w="4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10" w:type="dxa"/>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产品并发性能指标优于或持平同等部署条件下Apache Tomcat 9.0.0或以上版本性能，测试指标包含但不限于静态页面、jsp、servlet访问方式。</w:t>
            </w:r>
          </w:p>
          <w:p>
            <w:pPr>
              <w:widowControl/>
              <w:textAlignment w:val="center"/>
              <w:rPr>
                <w:rFonts w:ascii="宋体" w:hAnsi="宋体" w:cs="宋体"/>
                <w:kern w:val="0"/>
                <w:sz w:val="24"/>
                <w:lang w:bidi="ar"/>
              </w:rPr>
            </w:pPr>
            <w:r>
              <w:rPr>
                <w:rFonts w:hint="eastAsia" w:ascii="宋体" w:hAnsi="宋体" w:cs="宋体"/>
                <w:kern w:val="0"/>
                <w:sz w:val="24"/>
                <w:lang w:bidi="ar"/>
              </w:rPr>
              <w:t>测试报告提供加盖CMA、CNAS章等的第三方机构测试报告。</w:t>
            </w:r>
          </w:p>
        </w:tc>
      </w:tr>
    </w:tbl>
    <w:p>
      <w:pPr>
        <w:spacing w:before="100" w:after="100" w:line="360" w:lineRule="auto"/>
        <w:ind w:left="840"/>
        <w:rPr>
          <w:rFonts w:ascii="宋体" w:hAnsi="宋体"/>
          <w:sz w:val="24"/>
        </w:rPr>
      </w:pPr>
    </w:p>
    <w:p>
      <w:pPr>
        <w:pStyle w:val="4"/>
      </w:pPr>
      <w:bookmarkStart w:id="196" w:name="_Toc9200"/>
      <w:bookmarkStart w:id="197" w:name="_Toc10324"/>
      <w:bookmarkStart w:id="198" w:name="_Toc4579"/>
      <w:bookmarkStart w:id="199" w:name="_Toc26993"/>
      <w:bookmarkStart w:id="200" w:name="_Toc19674"/>
      <w:bookmarkStart w:id="201" w:name="_Toc35246439"/>
      <w:r>
        <w:rPr>
          <w:rFonts w:hint="eastAsia"/>
        </w:rPr>
        <w:t>管理要求</w:t>
      </w:r>
      <w:bookmarkEnd w:id="196"/>
      <w:bookmarkEnd w:id="197"/>
      <w:bookmarkEnd w:id="198"/>
      <w:bookmarkEnd w:id="199"/>
      <w:bookmarkEnd w:id="200"/>
      <w:bookmarkEnd w:id="201"/>
    </w:p>
    <w:tbl>
      <w:tblPr>
        <w:tblStyle w:val="32"/>
        <w:tblW w:w="8967" w:type="dxa"/>
        <w:tblInd w:w="625" w:type="dxa"/>
        <w:tblLayout w:type="fixed"/>
        <w:tblCellMar>
          <w:top w:w="0" w:type="dxa"/>
          <w:left w:w="108" w:type="dxa"/>
          <w:bottom w:w="0" w:type="dxa"/>
          <w:right w:w="108" w:type="dxa"/>
        </w:tblCellMar>
      </w:tblPr>
      <w:tblGrid>
        <w:gridCol w:w="8967"/>
      </w:tblGrid>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hint="default" w:ascii="宋体" w:hAnsi="宋体" w:eastAsia="宋体" w:cs="宋体"/>
                <w:sz w:val="24"/>
                <w:lang w:val="en-US" w:eastAsia="zh-CN"/>
              </w:rPr>
            </w:pPr>
            <w:r>
              <w:rPr>
                <w:rFonts w:hint="eastAsia" w:ascii="微软雅黑" w:hAnsi="微软雅黑" w:eastAsia="微软雅黑" w:cs="微软雅黑"/>
                <w:kern w:val="0"/>
                <w:sz w:val="24"/>
                <w:lang w:bidi="ar"/>
              </w:rPr>
              <w:t>*</w:t>
            </w:r>
            <w:r>
              <w:rPr>
                <w:rFonts w:ascii="宋体" w:hAnsi="宋体" w:cs="宋体"/>
                <w:kern w:val="0"/>
                <w:sz w:val="24"/>
                <w:lang w:bidi="ar"/>
              </w:rPr>
              <w:t>具备可视化的中间件管控</w:t>
            </w:r>
            <w:r>
              <w:rPr>
                <w:rFonts w:hint="eastAsia" w:ascii="宋体" w:hAnsi="宋体" w:cs="宋体"/>
                <w:kern w:val="0"/>
                <w:sz w:val="24"/>
                <w:lang w:val="en-US" w:eastAsia="zh-CN" w:bidi="ar"/>
              </w:rPr>
              <w:t>能力</w:t>
            </w:r>
            <w:r>
              <w:rPr>
                <w:rFonts w:hint="eastAsia" w:ascii="宋体" w:hAnsi="宋体" w:cs="宋体"/>
                <w:kern w:val="0"/>
                <w:sz w:val="24"/>
                <w:lang w:bidi="ar"/>
              </w:rPr>
              <w:t>，控制所有域内被管理节点，提供基础的配置管理</w:t>
            </w:r>
            <w:r>
              <w:rPr>
                <w:rFonts w:hint="eastAsia" w:ascii="宋体" w:hAnsi="宋体" w:cs="宋体"/>
                <w:kern w:val="0"/>
                <w:sz w:val="24"/>
                <w:lang w:val="en-US" w:eastAsia="zh-CN" w:bidi="ar"/>
              </w:rPr>
              <w:t>和</w:t>
            </w:r>
            <w:r>
              <w:rPr>
                <w:rFonts w:hint="eastAsia" w:ascii="宋体" w:hAnsi="宋体" w:cs="宋体"/>
                <w:kern w:val="0"/>
                <w:sz w:val="24"/>
                <w:lang w:bidi="ar"/>
              </w:rPr>
              <w:t>日志采集等管控能力</w:t>
            </w:r>
            <w:r>
              <w:rPr>
                <w:rFonts w:ascii="宋体" w:hAnsi="宋体" w:cs="宋体"/>
                <w:kern w:val="0"/>
                <w:sz w:val="24"/>
                <w:lang w:bidi="ar"/>
              </w:rPr>
              <w:t>。</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自动检测修改有效性，支持应用生产环境下，不间断升级。</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支持在生产环境的Sanity Checking。</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支持共享Package(功能类单独jar包），同一应用的不同模块（Web,ejb)可以共享功能jar包。</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支持同一应用的多版本同时发布和在线使用，新登录用户自动访问新应用，已在线用户访问老应用。</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支持命令行工具来控制远程应用服务器，并支持SSL。</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提供应用服务器中间件进程守护机制，当应用服务器中间件实例进程意外中断时，能自动检测实例状态并及时重启，确保服务的可用性。</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可以按需或自动得到某指标性能的snapshot。</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自动观察和通知功能（支持SNMP、JMS)。</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支持日志、检测、诊断数据自动归档文件系统和数据库，支持自动备份。</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支持离线访问诊断数据。</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支持与南方电网公司信息安全运行监测预警系统等系统进行集成。</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支持线程分组功能，线程按业务规则分组，不同业务采用不同优先级线程池，优先保证核心业务资源供给，并实现业务故障的资源级隔离。</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支持自适应调优线程池，可以根据请求并发量、CPU使用情况等指标，动态调整线程池大小。要求当用户请求并发量降低但仍有一定请求负载的场景下（非空闲状态），可以快速回收线程数量，以及时释放线程资源。</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提供服务器模版定义，从服务器模版生成的实例可以继承所有服务器模版的通用属性。</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管理端口与应用端口分离，管理工具与业务应用使用不同的访问端口，通过应用端口无法管理工具。</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提供快照功能，包括服务器操作系统信息、应用服务器软件运行状态、垃圾回收（GC）日志、业务系统运行状态、业务系统访问日志、业务系统线程使用状态等。</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提供丰富的管理API接口。</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支持在管理控制台页面上配置JVM参数，无需手工修改启动脚本，就可以完成增加和修改启动应用服务器的参数。</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支持虚拟机及容器部署，可搭建多虚拟机或多容器实例的应用集群，支撑业务系统的动态弹性伸缩。</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支持热部署、远程部署等多种部署方式。</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杜绝日志增长导致磁盘空间耗尽，支持按时间滚动日志文件，日志文件支持自动压缩和删除。</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监控能力提升，能够监控CPU、内存、jstack、线程池、数据库连接池等，监控情况进行持久化并通过可视化方式集成到管理控制台，满足可配置的告警方式，支持以短信、邮件、企业办公软件通知等方式进行异常告警通知等。</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sz w:val="24"/>
              </w:rPr>
              <w:t>具备SQL日志跟踪能力，支持自定义配置 SQL 执行耗时阈值；当 SQL 语句实际执行时长超出预设阈值时，系统自动采集并输出完整请求调用堆栈信息、SQL 语句、执行耗时等关键</w:t>
            </w:r>
            <w:r>
              <w:rPr>
                <w:rFonts w:hint="eastAsia" w:ascii="宋体" w:hAnsi="宋体" w:cs="宋体"/>
                <w:sz w:val="24"/>
                <w:lang w:val="en-US" w:eastAsia="zh-CN"/>
              </w:rPr>
              <w:t>信息</w:t>
            </w:r>
            <w:r>
              <w:rPr>
                <w:rFonts w:hint="eastAsia" w:ascii="宋体" w:hAnsi="宋体" w:cs="宋体"/>
                <w:sz w:val="24"/>
              </w:rPr>
              <w:t>，便于快速定位慢SQL问题。</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运维能力便捷，支持快速搭建大规模集群、启动集群、和应用的灰度升级，帮助用户精准分析系统瓶颈。</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提供有效的故障诊断工具，包括：类冲突检测工具、连接泄露检测工具、系统健康检查工具、慢请求/慢SQL监控工具、粘滞线程监控、SQL的trace跟踪等，帮助定位系统问题。</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支持在管理控制台查询线程堆栈，支持查询最耗CPU的线程并输出线程堆栈详情。</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tcPr>
          <w:p>
            <w:pPr>
              <w:widowControl/>
              <w:textAlignment w:val="center"/>
              <w:rPr>
                <w:rFonts w:ascii="宋体" w:hAnsi="宋体" w:cs="宋体"/>
                <w:kern w:val="0"/>
                <w:sz w:val="24"/>
                <w:lang w:bidi="ar"/>
              </w:rPr>
            </w:pPr>
            <w:r>
              <w:rPr>
                <w:rFonts w:hint="eastAsia" w:ascii="宋体" w:hAnsi="宋体" w:cs="宋体"/>
                <w:kern w:val="0"/>
                <w:sz w:val="24"/>
                <w:lang w:bidi="ar"/>
              </w:rPr>
              <w:t>支持监控回放，可以对历史监控数据进行记录并进行图形化展示。</w:t>
            </w:r>
          </w:p>
        </w:tc>
      </w:tr>
      <w:tr>
        <w:tblPrEx>
          <w:tblCellMar>
            <w:top w:w="0" w:type="dxa"/>
            <w:left w:w="108" w:type="dxa"/>
            <w:bottom w:w="0" w:type="dxa"/>
            <w:right w:w="108" w:type="dxa"/>
          </w:tblCellMar>
        </w:tblPrEx>
        <w:trPr>
          <w:trHeight w:val="510" w:hRule="atLeast"/>
        </w:trPr>
        <w:tc>
          <w:tcPr>
            <w:tcW w:w="8967"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提供JNDI树展示功能，以树形结构展示实例下的JNDI信息。</w:t>
            </w:r>
          </w:p>
        </w:tc>
      </w:tr>
    </w:tbl>
    <w:p>
      <w:pPr>
        <w:spacing w:before="100" w:after="100"/>
        <w:ind w:firstLine="420"/>
        <w:rPr>
          <w:rFonts w:ascii="宋体" w:hAnsi="宋体"/>
          <w:sz w:val="24"/>
        </w:rPr>
      </w:pPr>
    </w:p>
    <w:p>
      <w:pPr>
        <w:pStyle w:val="4"/>
      </w:pPr>
      <w:bookmarkStart w:id="202" w:name="_Toc32293"/>
      <w:bookmarkStart w:id="203" w:name="_Toc21200"/>
      <w:bookmarkStart w:id="204" w:name="_Toc35246440"/>
      <w:bookmarkStart w:id="205" w:name="_Toc15860"/>
      <w:bookmarkStart w:id="206" w:name="_Toc1894"/>
      <w:bookmarkStart w:id="207" w:name="_Toc5952"/>
      <w:r>
        <w:rPr>
          <w:rFonts w:hint="eastAsia"/>
        </w:rPr>
        <w:t>安全要求</w:t>
      </w:r>
      <w:bookmarkEnd w:id="202"/>
      <w:bookmarkEnd w:id="203"/>
      <w:bookmarkEnd w:id="204"/>
      <w:bookmarkEnd w:id="205"/>
      <w:bookmarkEnd w:id="206"/>
      <w:bookmarkEnd w:id="207"/>
    </w:p>
    <w:tbl>
      <w:tblPr>
        <w:tblStyle w:val="32"/>
        <w:tblW w:w="9016" w:type="dxa"/>
        <w:tblInd w:w="590" w:type="dxa"/>
        <w:tblLayout w:type="fixed"/>
        <w:tblCellMar>
          <w:top w:w="0" w:type="dxa"/>
          <w:left w:w="108" w:type="dxa"/>
          <w:bottom w:w="0" w:type="dxa"/>
          <w:right w:w="108" w:type="dxa"/>
        </w:tblCellMar>
      </w:tblPr>
      <w:tblGrid>
        <w:gridCol w:w="9016"/>
      </w:tblGrid>
      <w:tr>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支持JACC(Java Authorization Contract for Containers)。</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支持可插拔安全架构，可集成第三方安全模块。</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支持Servlet authentication filter。</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支持安全策略语言标准 Extensible Access Control Markup Language (XACML) 2.0。</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通过安全服务提供商接口（SSPI）实现安全基础架构并支持对SPNEGO、SAML、Certificate Path安全提供商、RDBMS和Windows NT认证提供商等的支持。</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提供安全审计功能，针对用户权限等的更改自动提供安全审计报告。</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支持多种LDAP服务器。</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基于JAAS架构，实现基于容器的安全策略，提供基于数据库和LDAP认证的Login Module, 支持用户增加Login Module，支持单点登录。</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支持标准的安全协议SSL（Secure Socket Layer）；支持JSSE，提供单向的和双向的SSL配置方式；支持JCE、CSIv2等安全标准。</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提供访问过滤配置功能，能够拒绝某IP或IP段的机器访问Web应用，同时支持白名单或黑名单方式配置，达到防攻击效果。</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提供开放的、可扩展的统一的安全架构，包括认证 、授权、身份识别、角色映射等功能；能够和第三方安全平台，包括RSA、CA、Novell或用户定制平台，进行各种功能的集成。</w:t>
            </w:r>
          </w:p>
        </w:tc>
      </w:tr>
      <w:tr>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可禁止使用弱密码套件。</w:t>
            </w:r>
          </w:p>
        </w:tc>
      </w:tr>
      <w:tr>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全面支持多认证中心、级联证书。</w:t>
            </w:r>
          </w:p>
        </w:tc>
      </w:tr>
      <w:tr>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能够防止SQL注入攻击，能够针对通过构造非法SQL语句进行数据提交的HTTP请求进行验证和过滤。</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具备跨站脚本（XSS）攻击防护能力，能够针对通过构造跨站脚本进行数据提交的HTTP请求进行验证和过滤。</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具备Cookie注入攻击防护能力，针对通过Cookie提交的数据进行验证和过滤，防止对Web应用进行注入攻击。</w:t>
            </w:r>
          </w:p>
        </w:tc>
      </w:tr>
      <w:tr>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宋体"/>
                <w:kern w:val="0"/>
                <w:sz w:val="24"/>
                <w:lang w:bidi="ar"/>
              </w:rPr>
              <w:t>具备文件下载防护能力，防止特定类型的文件的下载。</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微软雅黑" w:hAnsi="微软雅黑" w:eastAsia="微软雅黑" w:cs="微软雅黑"/>
                <w:kern w:val="0"/>
                <w:sz w:val="24"/>
                <w:lang w:bidi="ar"/>
              </w:rPr>
              <w:t>*</w:t>
            </w:r>
            <w:r>
              <w:rPr>
                <w:rFonts w:hint="eastAsia" w:ascii="宋体" w:hAnsi="宋体" w:cs="宋体"/>
                <w:kern w:val="0"/>
                <w:sz w:val="24"/>
                <w:lang w:bidi="ar"/>
              </w:rPr>
              <w:t>支持国产SM2、SM3、SM4算法，可通过管理工具配置密码套件，适配在线方式接入的密码服务。</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sz w:val="24"/>
              </w:rPr>
            </w:pPr>
            <w:r>
              <w:rPr>
                <w:rFonts w:hint="eastAsia" w:ascii="宋体" w:hAnsi="宋体" w:cs="微软雅黑"/>
                <w:kern w:val="0"/>
                <w:sz w:val="24"/>
                <w:lang w:bidi="ar"/>
              </w:rPr>
              <w:t>产品符合四级等保要求，</w:t>
            </w:r>
            <w:r>
              <w:rPr>
                <w:rFonts w:hint="eastAsia" w:ascii="宋体" w:hAnsi="宋体" w:cs="宋体"/>
                <w:kern w:val="0"/>
                <w:sz w:val="24"/>
                <w:lang w:bidi="ar"/>
              </w:rPr>
              <w:t>支持应用系统四级等保，可提供案例证明材料或者测试报告。</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具备缓冲区写入检测和内存溢出规避机制。</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针对产品构成的组件、插件所有已知漏洞完成修复和限制，不存在已知的可利用安全漏洞，通过第三方安全检测。</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产品管理控制台支持双因子登录(至少支持密码、ukey、短信验证码三种类型）验证。</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产品管理控制台登录支持手机令牌动态密码方式，保证服务器在不联网情况下对用户身份进行鉴别，保障控制台使用安全。</w:t>
            </w:r>
          </w:p>
        </w:tc>
      </w:tr>
      <w:tr>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产品需提供审计日志功能，并确保审计日志具备防篡改机制与加密存储能力，以满足安全审计对完整性及机密性的要求。</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产品通过第三方测试机构的渗透测试，</w:t>
            </w:r>
            <w:r>
              <w:rPr>
                <w:rFonts w:hint="eastAsia" w:ascii="宋体" w:hAnsi="宋体" w:cs="宋体"/>
                <w:kern w:val="0"/>
                <w:sz w:val="24"/>
                <w:lang w:val="en-US" w:eastAsia="zh-CN" w:bidi="ar"/>
              </w:rPr>
              <w:t>满足</w:t>
            </w:r>
            <w:r>
              <w:rPr>
                <w:rFonts w:ascii="宋体" w:hAnsi="宋体" w:eastAsia="宋体" w:cs="宋体"/>
                <w:sz w:val="24"/>
                <w:szCs w:val="24"/>
              </w:rPr>
              <w:t>信息技术安全性评估准则</w:t>
            </w:r>
            <w:r>
              <w:rPr>
                <w:rFonts w:hint="eastAsia" w:ascii="宋体" w:hAnsi="宋体" w:cs="宋体"/>
                <w:sz w:val="24"/>
                <w:szCs w:val="24"/>
                <w:lang w:val="en-US" w:eastAsia="zh-CN"/>
              </w:rPr>
              <w:t>要求，</w:t>
            </w:r>
            <w:r>
              <w:rPr>
                <w:rFonts w:hint="eastAsia" w:ascii="宋体" w:hAnsi="宋体" w:cs="宋体"/>
                <w:kern w:val="0"/>
                <w:sz w:val="24"/>
                <w:lang w:bidi="ar"/>
              </w:rPr>
              <w:t>提供第三方机构出具的测试报告证明，第三方机构需要具备CNAS、CMA认证资质。</w:t>
            </w:r>
          </w:p>
        </w:tc>
      </w:tr>
      <w:tr>
        <w:tblPrEx>
          <w:tblCellMar>
            <w:top w:w="0" w:type="dxa"/>
            <w:left w:w="108" w:type="dxa"/>
            <w:bottom w:w="0" w:type="dxa"/>
            <w:right w:w="108" w:type="dxa"/>
          </w:tblCellMar>
        </w:tblPrEx>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产品具备可信防护机制，通过主动免疫方式，有效解决安全问题，加固上层应用安全和安全审计能力，抵挡绕过边界防护到达服务器的病毒木马、监听程序等各种攻击，提供可信版本软著证明。</w:t>
            </w:r>
          </w:p>
        </w:tc>
      </w:tr>
      <w:tr>
        <w:trPr>
          <w:trHeight w:val="510" w:hRule="atLeast"/>
        </w:trPr>
        <w:tc>
          <w:tcPr>
            <w:tcW w:w="9016"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宋体" w:hAnsi="宋体" w:cs="宋体"/>
                <w:kern w:val="0"/>
                <w:sz w:val="24"/>
                <w:lang w:bidi="ar"/>
              </w:rPr>
            </w:pPr>
            <w:r>
              <w:rPr>
                <w:rFonts w:hint="eastAsia" w:ascii="宋体" w:hAnsi="宋体" w:cs="宋体"/>
                <w:kern w:val="0"/>
                <w:sz w:val="24"/>
                <w:lang w:bidi="ar"/>
              </w:rPr>
              <w:t>产品具备完备的安全检测机制，定期进行第三方安全软件扫描，提供扫描报告；参加权威网络安全机构组织的安全攻防测试，提供委托攻防合同及测试证明。</w:t>
            </w:r>
          </w:p>
        </w:tc>
      </w:tr>
    </w:tbl>
    <w:p>
      <w:pPr>
        <w:spacing w:before="100" w:after="100"/>
        <w:ind w:firstLine="420"/>
        <w:rPr>
          <w:rFonts w:ascii="宋体" w:hAnsi="宋体"/>
          <w:sz w:val="24"/>
        </w:rPr>
      </w:pPr>
    </w:p>
    <w:p>
      <w:pPr>
        <w:pStyle w:val="3"/>
      </w:pPr>
      <w:bookmarkStart w:id="208" w:name="_Toc8563"/>
      <w:bookmarkStart w:id="209" w:name="_Toc35246441"/>
      <w:bookmarkStart w:id="210" w:name="_Toc25011"/>
      <w:bookmarkStart w:id="211" w:name="_Toc24623"/>
      <w:bookmarkStart w:id="212" w:name="_Toc3776"/>
      <w:bookmarkStart w:id="213" w:name="_Toc18545"/>
      <w:bookmarkStart w:id="214" w:name="_Toc25310"/>
      <w:bookmarkStart w:id="215" w:name="_Toc8853"/>
      <w:bookmarkStart w:id="216" w:name="_Toc16157"/>
      <w:bookmarkStart w:id="217" w:name="_Toc15101"/>
      <w:bookmarkStart w:id="218" w:name="_Toc1747"/>
      <w:r>
        <w:rPr>
          <w:rFonts w:hint="eastAsia"/>
        </w:rPr>
        <w:t>项目实施要求</w:t>
      </w:r>
      <w:bookmarkEnd w:id="208"/>
      <w:bookmarkEnd w:id="209"/>
      <w:bookmarkEnd w:id="210"/>
      <w:bookmarkEnd w:id="211"/>
      <w:bookmarkEnd w:id="212"/>
      <w:bookmarkEnd w:id="213"/>
      <w:bookmarkEnd w:id="214"/>
      <w:bookmarkEnd w:id="215"/>
      <w:bookmarkEnd w:id="216"/>
      <w:bookmarkEnd w:id="217"/>
      <w:bookmarkEnd w:id="218"/>
    </w:p>
    <w:p>
      <w:pPr>
        <w:pStyle w:val="4"/>
      </w:pPr>
      <w:bookmarkStart w:id="219" w:name="_Toc23492"/>
      <w:bookmarkStart w:id="220" w:name="_Toc35246442"/>
      <w:bookmarkStart w:id="221" w:name="_Toc696"/>
      <w:bookmarkStart w:id="222" w:name="_Toc5838"/>
      <w:bookmarkStart w:id="223" w:name="_Toc31351"/>
      <w:bookmarkStart w:id="224" w:name="_Toc20305"/>
      <w:bookmarkStart w:id="225" w:name="_Toc271574358"/>
      <w:r>
        <w:rPr>
          <w:rFonts w:hint="eastAsia"/>
        </w:rPr>
        <w:t>人员要求</w:t>
      </w:r>
      <w:bookmarkEnd w:id="219"/>
      <w:bookmarkEnd w:id="220"/>
      <w:bookmarkEnd w:id="221"/>
      <w:bookmarkEnd w:id="222"/>
      <w:bookmarkEnd w:id="223"/>
      <w:bookmarkEnd w:id="224"/>
      <w:bookmarkEnd w:id="225"/>
    </w:p>
    <w:p>
      <w:pPr>
        <w:pStyle w:val="53"/>
        <w:ind w:left="0" w:firstLineChars="0"/>
        <w:rPr>
          <w:rFonts w:ascii="Arial" w:hAnsi="Arial" w:cs="Arial"/>
          <w:sz w:val="24"/>
          <w:szCs w:val="24"/>
          <w:lang w:eastAsia="zh-CN"/>
        </w:rPr>
      </w:pPr>
      <w:r>
        <w:rPr>
          <w:rFonts w:hint="eastAsia" w:ascii="Arial" w:hAnsi="Arial" w:cs="Arial"/>
          <w:sz w:val="24"/>
          <w:szCs w:val="24"/>
          <w:lang w:eastAsia="zh-CN"/>
        </w:rPr>
        <w:t>投标方随投标文件提交项目经理、技术支持人员、技术培训人员、现场技术专家等项目相关人员简历，需明确总的团队人数、每人承担的角色，项目经理不可与类型其他人员复用。简历格式如下表所示：</w:t>
      </w:r>
    </w:p>
    <w:tbl>
      <w:tblPr>
        <w:tblStyle w:val="32"/>
        <w:tblW w:w="836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843"/>
        <w:gridCol w:w="2126"/>
        <w:gridCol w:w="1843"/>
        <w:gridCol w:w="255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843" w:type="dxa"/>
            <w:tcBorders>
              <w:top w:val="single" w:color="auto" w:sz="4" w:space="0"/>
              <w:bottom w:val="single" w:color="auto" w:sz="4" w:space="0"/>
              <w:right w:val="single" w:color="auto" w:sz="4" w:space="0"/>
            </w:tcBorders>
            <w:shd w:val="clear" w:color="auto" w:fill="FFFFFF"/>
            <w:vAlign w:val="center"/>
          </w:tcPr>
          <w:p>
            <w:pPr>
              <w:widowControl/>
              <w:rPr>
                <w:rFonts w:ascii="宋体" w:hAnsi="宋体" w:cs="宋体"/>
                <w:szCs w:val="21"/>
              </w:rPr>
            </w:pPr>
            <w:r>
              <w:rPr>
                <w:rFonts w:hint="eastAsia"/>
                <w:szCs w:val="21"/>
              </w:rPr>
              <w:t>序号</w:t>
            </w:r>
          </w:p>
        </w:tc>
        <w:tc>
          <w:tcPr>
            <w:tcW w:w="2126"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rPr>
                <w:rFonts w:ascii="宋体" w:hAnsi="宋体" w:cs="宋体"/>
                <w:szCs w:val="21"/>
              </w:rPr>
            </w:pPr>
          </w:p>
        </w:tc>
        <w:tc>
          <w:tcPr>
            <w:tcW w:w="184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rPr>
                <w:rFonts w:ascii="Arial" w:hAnsi="Arial" w:cs="Arial"/>
                <w:szCs w:val="21"/>
              </w:rPr>
            </w:pPr>
            <w:r>
              <w:rPr>
                <w:rFonts w:hint="eastAsia"/>
                <w:szCs w:val="21"/>
              </w:rPr>
              <w:t>姓名</w:t>
            </w:r>
          </w:p>
        </w:tc>
        <w:tc>
          <w:tcPr>
            <w:tcW w:w="2551" w:type="dxa"/>
            <w:tcBorders>
              <w:top w:val="single" w:color="auto" w:sz="4" w:space="0"/>
              <w:left w:val="single" w:color="auto" w:sz="4" w:space="0"/>
              <w:bottom w:val="single" w:color="auto" w:sz="4" w:space="0"/>
            </w:tcBorders>
            <w:shd w:val="clear" w:color="auto" w:fill="FFFFFF"/>
            <w:vAlign w:val="center"/>
          </w:tcPr>
          <w:p>
            <w:pPr>
              <w:widowControl/>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843" w:type="dxa"/>
            <w:tcBorders>
              <w:top w:val="single" w:color="auto" w:sz="4" w:space="0"/>
              <w:bottom w:val="single" w:color="auto" w:sz="4" w:space="0"/>
              <w:right w:val="single" w:color="auto" w:sz="4" w:space="0"/>
            </w:tcBorders>
            <w:shd w:val="clear" w:color="auto" w:fill="FFFFFF"/>
            <w:vAlign w:val="center"/>
          </w:tcPr>
          <w:p>
            <w:pPr>
              <w:widowControl/>
              <w:rPr>
                <w:rFonts w:ascii="宋体" w:hAnsi="宋体" w:cs="宋体"/>
                <w:szCs w:val="21"/>
              </w:rPr>
            </w:pPr>
            <w:r>
              <w:rPr>
                <w:rFonts w:hint="eastAsia"/>
                <w:szCs w:val="21"/>
              </w:rPr>
              <w:t>相关工作年限</w:t>
            </w:r>
          </w:p>
        </w:tc>
        <w:tc>
          <w:tcPr>
            <w:tcW w:w="2126"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rPr>
                <w:rFonts w:ascii="宋体" w:hAnsi="宋体" w:cs="宋体"/>
                <w:szCs w:val="21"/>
              </w:rPr>
            </w:pPr>
          </w:p>
        </w:tc>
        <w:tc>
          <w:tcPr>
            <w:tcW w:w="184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rPr>
                <w:rFonts w:ascii="Arial" w:hAnsi="Arial" w:cs="Arial"/>
                <w:szCs w:val="21"/>
              </w:rPr>
            </w:pPr>
            <w:r>
              <w:rPr>
                <w:rFonts w:hint="eastAsia"/>
                <w:szCs w:val="21"/>
              </w:rPr>
              <w:t>毕业院校</w:t>
            </w:r>
          </w:p>
        </w:tc>
        <w:tc>
          <w:tcPr>
            <w:tcW w:w="2551" w:type="dxa"/>
            <w:tcBorders>
              <w:top w:val="single" w:color="auto" w:sz="4" w:space="0"/>
              <w:left w:val="single" w:color="auto" w:sz="4" w:space="0"/>
              <w:bottom w:val="single" w:color="auto" w:sz="4" w:space="0"/>
            </w:tcBorders>
            <w:shd w:val="clear" w:color="auto" w:fill="FFFFFF"/>
            <w:vAlign w:val="center"/>
          </w:tcPr>
          <w:p>
            <w:pPr>
              <w:widowControl/>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843" w:type="dxa"/>
            <w:tcBorders>
              <w:top w:val="single" w:color="auto" w:sz="4" w:space="0"/>
              <w:bottom w:val="single" w:color="auto" w:sz="4" w:space="0"/>
              <w:right w:val="single" w:color="auto" w:sz="4" w:space="0"/>
            </w:tcBorders>
            <w:shd w:val="clear" w:color="auto" w:fill="FFFFFF"/>
            <w:vAlign w:val="center"/>
          </w:tcPr>
          <w:p>
            <w:pPr>
              <w:widowControl/>
              <w:rPr>
                <w:szCs w:val="21"/>
              </w:rPr>
            </w:pPr>
            <w:r>
              <w:rPr>
                <w:rFonts w:hint="eastAsia"/>
                <w:szCs w:val="21"/>
              </w:rPr>
              <w:t>专业</w:t>
            </w:r>
          </w:p>
        </w:tc>
        <w:tc>
          <w:tcPr>
            <w:tcW w:w="2126"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rPr>
                <w:rFonts w:ascii="宋体" w:hAnsi="宋体" w:cs="宋体"/>
                <w:szCs w:val="21"/>
              </w:rPr>
            </w:pPr>
          </w:p>
        </w:tc>
        <w:tc>
          <w:tcPr>
            <w:tcW w:w="184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rPr>
                <w:szCs w:val="21"/>
              </w:rPr>
            </w:pPr>
            <w:r>
              <w:rPr>
                <w:rFonts w:hint="eastAsia"/>
                <w:szCs w:val="21"/>
              </w:rPr>
              <w:t>学历</w:t>
            </w:r>
          </w:p>
        </w:tc>
        <w:tc>
          <w:tcPr>
            <w:tcW w:w="2551" w:type="dxa"/>
            <w:tcBorders>
              <w:top w:val="single" w:color="auto" w:sz="4" w:space="0"/>
              <w:left w:val="single" w:color="auto" w:sz="4" w:space="0"/>
              <w:bottom w:val="single" w:color="auto" w:sz="4" w:space="0"/>
            </w:tcBorders>
            <w:shd w:val="clear" w:color="auto" w:fill="FFFFFF"/>
            <w:vAlign w:val="center"/>
          </w:tcPr>
          <w:p>
            <w:pPr>
              <w:widowControl/>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3969" w:type="dxa"/>
            <w:gridSpan w:val="2"/>
            <w:tcBorders>
              <w:top w:val="single" w:color="auto" w:sz="4" w:space="0"/>
              <w:bottom w:val="single" w:color="auto" w:sz="4" w:space="0"/>
              <w:right w:val="single" w:color="auto" w:sz="4" w:space="0"/>
            </w:tcBorders>
            <w:shd w:val="clear" w:color="auto" w:fill="FFFFFF"/>
            <w:vAlign w:val="center"/>
          </w:tcPr>
          <w:p>
            <w:pPr>
              <w:widowControl/>
              <w:rPr>
                <w:rFonts w:ascii="宋体" w:hAnsi="宋体" w:cs="宋体"/>
                <w:szCs w:val="21"/>
              </w:rPr>
            </w:pPr>
            <w:r>
              <w:rPr>
                <w:rFonts w:hint="eastAsia"/>
                <w:szCs w:val="21"/>
              </w:rPr>
              <w:t>在本项目承担的角色</w:t>
            </w:r>
          </w:p>
        </w:tc>
        <w:tc>
          <w:tcPr>
            <w:tcW w:w="4394" w:type="dxa"/>
            <w:gridSpan w:val="2"/>
            <w:tcBorders>
              <w:top w:val="single" w:color="auto" w:sz="4" w:space="0"/>
              <w:left w:val="single" w:color="auto" w:sz="4" w:space="0"/>
              <w:bottom w:val="single" w:color="auto" w:sz="4" w:space="0"/>
            </w:tcBorders>
            <w:shd w:val="clear" w:color="auto" w:fill="FFFFFF"/>
            <w:vAlign w:val="center"/>
          </w:tcPr>
          <w:p>
            <w:pPr>
              <w:widowControl/>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3969" w:type="dxa"/>
            <w:gridSpan w:val="2"/>
            <w:tcBorders>
              <w:top w:val="single" w:color="auto" w:sz="4" w:space="0"/>
              <w:bottom w:val="single" w:color="auto" w:sz="4" w:space="0"/>
              <w:right w:val="single" w:color="auto" w:sz="4" w:space="0"/>
            </w:tcBorders>
            <w:shd w:val="clear" w:color="auto" w:fill="FFFFFF"/>
            <w:vAlign w:val="center"/>
          </w:tcPr>
          <w:p>
            <w:pPr>
              <w:widowControl/>
              <w:rPr>
                <w:szCs w:val="21"/>
              </w:rPr>
            </w:pPr>
            <w:r>
              <w:rPr>
                <w:rFonts w:hint="eastAsia"/>
                <w:szCs w:val="21"/>
              </w:rPr>
              <w:t>相关资质证书</w:t>
            </w:r>
          </w:p>
        </w:tc>
        <w:tc>
          <w:tcPr>
            <w:tcW w:w="4394" w:type="dxa"/>
            <w:gridSpan w:val="2"/>
            <w:tcBorders>
              <w:top w:val="single" w:color="auto" w:sz="4" w:space="0"/>
              <w:left w:val="single" w:color="auto" w:sz="4" w:space="0"/>
              <w:bottom w:val="single" w:color="auto" w:sz="4" w:space="0"/>
            </w:tcBorders>
            <w:shd w:val="clear" w:color="auto" w:fill="FFFFFF"/>
            <w:vAlign w:val="center"/>
          </w:tcPr>
          <w:p>
            <w:pPr>
              <w:widowControl/>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3969" w:type="dxa"/>
            <w:gridSpan w:val="2"/>
            <w:tcBorders>
              <w:top w:val="single" w:color="auto" w:sz="4" w:space="0"/>
              <w:bottom w:val="single" w:color="auto" w:sz="4" w:space="0"/>
              <w:right w:val="single" w:color="auto" w:sz="4" w:space="0"/>
            </w:tcBorders>
            <w:shd w:val="clear" w:color="auto" w:fill="FFFFFF"/>
            <w:vAlign w:val="center"/>
          </w:tcPr>
          <w:p>
            <w:pPr>
              <w:widowControl/>
              <w:rPr>
                <w:szCs w:val="21"/>
              </w:rPr>
            </w:pPr>
            <w:r>
              <w:rPr>
                <w:rFonts w:hint="eastAsia"/>
                <w:szCs w:val="21"/>
              </w:rPr>
              <w:t>以往参与项目情况</w:t>
            </w:r>
          </w:p>
        </w:tc>
        <w:tc>
          <w:tcPr>
            <w:tcW w:w="4394" w:type="dxa"/>
            <w:gridSpan w:val="2"/>
            <w:tcBorders>
              <w:top w:val="single" w:color="auto" w:sz="4" w:space="0"/>
              <w:left w:val="single" w:color="auto" w:sz="4" w:space="0"/>
              <w:bottom w:val="single" w:color="auto" w:sz="4" w:space="0"/>
            </w:tcBorders>
            <w:shd w:val="clear" w:color="auto" w:fill="FFFFFF"/>
            <w:vAlign w:val="center"/>
          </w:tcPr>
          <w:p>
            <w:pPr>
              <w:widowControl/>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1" w:hRule="atLeast"/>
          <w:jc w:val="center"/>
        </w:trPr>
        <w:tc>
          <w:tcPr>
            <w:tcW w:w="3969" w:type="dxa"/>
            <w:gridSpan w:val="2"/>
            <w:tcBorders>
              <w:top w:val="single" w:color="auto" w:sz="4" w:space="0"/>
              <w:bottom w:val="single" w:color="auto" w:sz="4" w:space="0"/>
              <w:right w:val="single" w:color="auto" w:sz="4" w:space="0"/>
            </w:tcBorders>
            <w:shd w:val="clear" w:color="auto" w:fill="FFFFFF"/>
            <w:vAlign w:val="center"/>
          </w:tcPr>
          <w:p>
            <w:pPr>
              <w:widowControl/>
              <w:rPr>
                <w:szCs w:val="21"/>
              </w:rPr>
            </w:pPr>
            <w:r>
              <w:rPr>
                <w:rFonts w:hint="eastAsia"/>
                <w:szCs w:val="21"/>
              </w:rPr>
              <w:t>其他说明</w:t>
            </w:r>
          </w:p>
        </w:tc>
        <w:tc>
          <w:tcPr>
            <w:tcW w:w="4394" w:type="dxa"/>
            <w:gridSpan w:val="2"/>
            <w:tcBorders>
              <w:top w:val="single" w:color="auto" w:sz="4" w:space="0"/>
              <w:left w:val="single" w:color="auto" w:sz="4" w:space="0"/>
              <w:bottom w:val="single" w:color="auto" w:sz="4" w:space="0"/>
            </w:tcBorders>
            <w:shd w:val="clear" w:color="auto" w:fill="FFFFFF"/>
            <w:vAlign w:val="center"/>
          </w:tcPr>
          <w:p>
            <w:pPr>
              <w:widowControl/>
              <w:rPr>
                <w:rFonts w:ascii="Arial" w:hAnsi="Arial" w:cs="Arial"/>
                <w:szCs w:val="21"/>
              </w:rPr>
            </w:pPr>
          </w:p>
        </w:tc>
      </w:tr>
    </w:tbl>
    <w:p>
      <w:pPr>
        <w:pStyle w:val="53"/>
        <w:numPr>
          <w:ilvl w:val="0"/>
          <w:numId w:val="4"/>
        </w:numPr>
        <w:ind w:left="0" w:firstLine="567" w:firstLineChars="0"/>
        <w:rPr>
          <w:rFonts w:ascii="Arial" w:hAnsi="Arial" w:cs="Arial"/>
          <w:sz w:val="24"/>
          <w:szCs w:val="24"/>
          <w:lang w:eastAsia="zh-CN"/>
        </w:rPr>
      </w:pPr>
      <w:r>
        <w:rPr>
          <w:rFonts w:hint="eastAsia" w:ascii="Arial" w:hAnsi="Arial" w:cs="Arial"/>
          <w:sz w:val="24"/>
          <w:szCs w:val="24"/>
          <w:lang w:eastAsia="zh-CN"/>
        </w:rPr>
        <w:t>投标方项目经理有2年以上同类型项目的管理经验。</w:t>
      </w:r>
      <w:r>
        <w:rPr>
          <w:rFonts w:ascii="Arial" w:hAnsi="Arial" w:cs="Arial"/>
          <w:sz w:val="24"/>
          <w:szCs w:val="24"/>
          <w:lang w:eastAsia="zh-CN"/>
        </w:rPr>
        <w:t>从项目开始到结束</w:t>
      </w:r>
      <w:r>
        <w:rPr>
          <w:rFonts w:hint="eastAsia" w:ascii="Arial" w:hAnsi="Arial" w:cs="Arial"/>
          <w:sz w:val="24"/>
          <w:szCs w:val="24"/>
          <w:lang w:eastAsia="zh-CN"/>
        </w:rPr>
        <w:t>，</w:t>
      </w:r>
      <w:r>
        <w:rPr>
          <w:rFonts w:ascii="Arial" w:hAnsi="Arial" w:cs="Arial"/>
          <w:sz w:val="24"/>
          <w:szCs w:val="24"/>
          <w:lang w:eastAsia="zh-CN"/>
        </w:rPr>
        <w:t>项目经理在现场负责项目</w:t>
      </w:r>
      <w:r>
        <w:rPr>
          <w:rFonts w:hint="eastAsia" w:ascii="Arial" w:hAnsi="Arial" w:cs="Arial"/>
          <w:sz w:val="24"/>
          <w:szCs w:val="24"/>
          <w:lang w:eastAsia="zh-CN"/>
        </w:rPr>
        <w:t>管理、</w:t>
      </w:r>
      <w:r>
        <w:rPr>
          <w:rFonts w:ascii="Arial" w:hAnsi="Arial" w:cs="Arial"/>
          <w:sz w:val="24"/>
          <w:szCs w:val="24"/>
          <w:lang w:eastAsia="zh-CN"/>
        </w:rPr>
        <w:t>协调、沟通等工作。</w:t>
      </w:r>
    </w:p>
    <w:p>
      <w:pPr>
        <w:pStyle w:val="53"/>
        <w:numPr>
          <w:ilvl w:val="0"/>
          <w:numId w:val="4"/>
        </w:numPr>
        <w:ind w:left="0" w:firstLine="567" w:firstLineChars="0"/>
        <w:rPr>
          <w:rFonts w:ascii="Arial" w:hAnsi="Arial" w:cs="Arial"/>
          <w:sz w:val="24"/>
          <w:szCs w:val="24"/>
          <w:lang w:eastAsia="zh-CN"/>
        </w:rPr>
      </w:pPr>
      <w:r>
        <w:rPr>
          <w:rFonts w:ascii="Arial" w:hAnsi="Arial" w:cs="Arial"/>
          <w:sz w:val="24"/>
          <w:szCs w:val="24"/>
          <w:lang w:eastAsia="zh-CN"/>
        </w:rPr>
        <w:t>如果发现</w:t>
      </w:r>
      <w:r>
        <w:rPr>
          <w:rFonts w:hint="eastAsia" w:ascii="Arial" w:hAnsi="Arial" w:cs="Arial"/>
          <w:sz w:val="24"/>
          <w:szCs w:val="24"/>
          <w:lang w:eastAsia="zh-CN"/>
        </w:rPr>
        <w:t>投标方</w:t>
      </w:r>
      <w:r>
        <w:rPr>
          <w:rFonts w:ascii="Arial" w:hAnsi="Arial" w:cs="Arial"/>
          <w:sz w:val="24"/>
          <w:szCs w:val="24"/>
          <w:lang w:eastAsia="zh-CN"/>
        </w:rPr>
        <w:t>的技术人员不合格，</w:t>
      </w:r>
      <w:r>
        <w:rPr>
          <w:rFonts w:hint="eastAsia" w:ascii="Arial" w:hAnsi="Arial" w:cs="Arial"/>
          <w:sz w:val="24"/>
          <w:szCs w:val="24"/>
          <w:lang w:eastAsia="zh-CN"/>
        </w:rPr>
        <w:t>招标方</w:t>
      </w:r>
      <w:r>
        <w:rPr>
          <w:rFonts w:ascii="Arial" w:hAnsi="Arial" w:cs="Arial"/>
          <w:sz w:val="24"/>
          <w:szCs w:val="24"/>
          <w:lang w:eastAsia="zh-CN"/>
        </w:rPr>
        <w:t>有权要求</w:t>
      </w:r>
      <w:r>
        <w:rPr>
          <w:rFonts w:hint="eastAsia" w:ascii="Arial" w:hAnsi="Arial" w:cs="Arial"/>
          <w:sz w:val="24"/>
          <w:szCs w:val="24"/>
          <w:lang w:eastAsia="zh-CN"/>
        </w:rPr>
        <w:t>投标方</w:t>
      </w:r>
      <w:r>
        <w:rPr>
          <w:rFonts w:ascii="Arial" w:hAnsi="Arial" w:cs="Arial"/>
          <w:sz w:val="24"/>
          <w:szCs w:val="24"/>
          <w:lang w:eastAsia="zh-CN"/>
        </w:rPr>
        <w:t>撤换，因撤换而产生的费用由</w:t>
      </w:r>
      <w:r>
        <w:rPr>
          <w:rFonts w:hint="eastAsia" w:ascii="Arial" w:hAnsi="Arial" w:cs="Arial"/>
          <w:sz w:val="24"/>
          <w:szCs w:val="24"/>
          <w:lang w:eastAsia="zh-CN"/>
        </w:rPr>
        <w:t>投标方</w:t>
      </w:r>
      <w:r>
        <w:rPr>
          <w:rFonts w:ascii="Arial" w:hAnsi="Arial" w:cs="Arial"/>
          <w:sz w:val="24"/>
          <w:szCs w:val="24"/>
          <w:lang w:eastAsia="zh-CN"/>
        </w:rPr>
        <w:t>承担。</w:t>
      </w:r>
      <w:r>
        <w:rPr>
          <w:rFonts w:hint="eastAsia" w:ascii="Arial" w:hAnsi="Arial" w:cs="Arial"/>
          <w:sz w:val="24"/>
          <w:szCs w:val="24"/>
          <w:lang w:eastAsia="zh-CN"/>
        </w:rPr>
        <w:t>如多次更换仍然未达到要求的，保留迟延索赔的权利。</w:t>
      </w:r>
    </w:p>
    <w:p>
      <w:pPr>
        <w:pStyle w:val="53"/>
        <w:numPr>
          <w:ilvl w:val="0"/>
          <w:numId w:val="4"/>
        </w:numPr>
        <w:ind w:left="0" w:firstLine="567" w:firstLineChars="0"/>
        <w:rPr>
          <w:rFonts w:ascii="Arial" w:hAnsi="Arial" w:cs="Arial"/>
          <w:sz w:val="24"/>
          <w:szCs w:val="24"/>
          <w:lang w:eastAsia="zh-CN"/>
        </w:rPr>
      </w:pPr>
      <w:r>
        <w:rPr>
          <w:rFonts w:hint="eastAsia" w:ascii="Arial" w:hAnsi="Arial" w:cs="Arial"/>
          <w:sz w:val="24"/>
          <w:szCs w:val="24"/>
          <w:lang w:eastAsia="zh-CN"/>
        </w:rPr>
        <w:t>投标方向招标方保证项目人员组织的稳定性，在本项目结束前，投标方如对项目组人员进行变动，需取得招标方同意。</w:t>
      </w:r>
    </w:p>
    <w:p>
      <w:pPr>
        <w:pStyle w:val="4"/>
      </w:pPr>
      <w:bookmarkStart w:id="226" w:name="_Toc938"/>
      <w:bookmarkStart w:id="227" w:name="_Toc271574359"/>
      <w:bookmarkStart w:id="228" w:name="_Toc14751"/>
      <w:bookmarkStart w:id="229" w:name="_Toc22791"/>
      <w:bookmarkStart w:id="230" w:name="_Toc1498"/>
      <w:bookmarkStart w:id="231" w:name="_Toc35246443"/>
      <w:bookmarkStart w:id="232" w:name="_Toc16033"/>
      <w:r>
        <w:rPr>
          <w:rFonts w:hint="eastAsia"/>
        </w:rPr>
        <w:t>项目管理</w:t>
      </w:r>
      <w:bookmarkEnd w:id="226"/>
      <w:bookmarkEnd w:id="227"/>
      <w:bookmarkEnd w:id="228"/>
      <w:bookmarkEnd w:id="229"/>
      <w:bookmarkEnd w:id="230"/>
      <w:bookmarkEnd w:id="231"/>
      <w:bookmarkEnd w:id="232"/>
    </w:p>
    <w:p>
      <w:pPr>
        <w:pStyle w:val="53"/>
        <w:numPr>
          <w:ilvl w:val="0"/>
          <w:numId w:val="5"/>
        </w:numPr>
        <w:ind w:left="0" w:firstLine="567" w:firstLineChars="0"/>
        <w:rPr>
          <w:rFonts w:ascii="Arial" w:hAnsi="Arial" w:cs="Arial"/>
          <w:sz w:val="24"/>
          <w:szCs w:val="24"/>
          <w:lang w:eastAsia="zh-CN"/>
        </w:rPr>
      </w:pPr>
      <w:r>
        <w:rPr>
          <w:rFonts w:hint="eastAsia" w:ascii="Arial" w:hAnsi="Arial" w:cs="Arial"/>
          <w:sz w:val="24"/>
          <w:szCs w:val="24"/>
          <w:lang w:eastAsia="zh-CN"/>
        </w:rPr>
        <w:t>全面理解南方电网公司中间件采购项目的总体需求，并由此提出详细、完整的项目实施方案。方案满足相关技术要求，具有可操作性，并经招标方审核通过。方案内容至少包括：</w:t>
      </w:r>
    </w:p>
    <w:p>
      <w:pPr>
        <w:pStyle w:val="53"/>
        <w:numPr>
          <w:ilvl w:val="0"/>
          <w:numId w:val="6"/>
        </w:numPr>
        <w:ind w:left="851" w:firstLine="0" w:firstLineChars="0"/>
        <w:rPr>
          <w:rFonts w:ascii="Arial" w:hAnsi="Arial" w:cs="Arial"/>
          <w:sz w:val="24"/>
          <w:szCs w:val="24"/>
          <w:lang w:eastAsia="zh-CN"/>
        </w:rPr>
      </w:pPr>
      <w:r>
        <w:rPr>
          <w:rFonts w:hint="eastAsia" w:ascii="Arial" w:hAnsi="Arial" w:cs="Arial"/>
          <w:sz w:val="24"/>
          <w:szCs w:val="24"/>
          <w:lang w:eastAsia="zh-CN"/>
        </w:rPr>
        <w:t>工作思路；</w:t>
      </w:r>
    </w:p>
    <w:p>
      <w:pPr>
        <w:pStyle w:val="53"/>
        <w:numPr>
          <w:ilvl w:val="0"/>
          <w:numId w:val="6"/>
        </w:numPr>
        <w:ind w:left="851" w:firstLine="0" w:firstLineChars="0"/>
        <w:rPr>
          <w:rFonts w:ascii="Arial" w:hAnsi="Arial" w:cs="Arial"/>
          <w:sz w:val="24"/>
          <w:szCs w:val="24"/>
          <w:lang w:eastAsia="zh-CN"/>
        </w:rPr>
      </w:pPr>
      <w:r>
        <w:rPr>
          <w:rFonts w:hint="eastAsia" w:ascii="Arial" w:hAnsi="Arial" w:cs="Arial"/>
          <w:sz w:val="24"/>
          <w:szCs w:val="24"/>
          <w:lang w:eastAsia="zh-CN"/>
        </w:rPr>
        <w:t>项目组织架构；</w:t>
      </w:r>
    </w:p>
    <w:p>
      <w:pPr>
        <w:pStyle w:val="53"/>
        <w:numPr>
          <w:ilvl w:val="0"/>
          <w:numId w:val="6"/>
        </w:numPr>
        <w:ind w:left="851" w:firstLine="0" w:firstLineChars="0"/>
        <w:rPr>
          <w:rFonts w:ascii="Arial" w:hAnsi="Arial" w:cs="Arial"/>
          <w:sz w:val="24"/>
          <w:szCs w:val="24"/>
          <w:lang w:eastAsia="zh-CN"/>
        </w:rPr>
      </w:pPr>
      <w:r>
        <w:rPr>
          <w:rFonts w:hint="eastAsia" w:ascii="Arial" w:hAnsi="Arial" w:cs="Arial"/>
          <w:sz w:val="24"/>
          <w:szCs w:val="24"/>
          <w:lang w:eastAsia="zh-CN"/>
        </w:rPr>
        <w:t>工作界面；</w:t>
      </w:r>
    </w:p>
    <w:p>
      <w:pPr>
        <w:pStyle w:val="53"/>
        <w:numPr>
          <w:ilvl w:val="0"/>
          <w:numId w:val="6"/>
        </w:numPr>
        <w:ind w:left="851" w:firstLine="0" w:firstLineChars="0"/>
        <w:rPr>
          <w:rFonts w:ascii="Arial" w:hAnsi="Arial" w:cs="Arial"/>
          <w:sz w:val="24"/>
          <w:szCs w:val="24"/>
          <w:lang w:eastAsia="zh-CN"/>
        </w:rPr>
      </w:pPr>
      <w:r>
        <w:rPr>
          <w:rFonts w:hint="eastAsia" w:ascii="Arial" w:hAnsi="Arial" w:cs="Arial"/>
          <w:sz w:val="24"/>
          <w:szCs w:val="24"/>
          <w:lang w:eastAsia="zh-CN"/>
        </w:rPr>
        <w:t>人员安排；</w:t>
      </w:r>
    </w:p>
    <w:p>
      <w:pPr>
        <w:pStyle w:val="53"/>
        <w:numPr>
          <w:ilvl w:val="0"/>
          <w:numId w:val="6"/>
        </w:numPr>
        <w:ind w:left="851" w:firstLine="0" w:firstLineChars="0"/>
        <w:rPr>
          <w:rFonts w:ascii="Arial" w:hAnsi="Arial" w:cs="Arial"/>
          <w:sz w:val="24"/>
          <w:szCs w:val="24"/>
          <w:lang w:eastAsia="zh-CN"/>
        </w:rPr>
      </w:pPr>
      <w:r>
        <w:rPr>
          <w:rFonts w:hint="eastAsia" w:ascii="Arial" w:hAnsi="Arial" w:cs="Arial"/>
          <w:sz w:val="24"/>
          <w:szCs w:val="24"/>
          <w:lang w:eastAsia="zh-CN"/>
        </w:rPr>
        <w:t>进度安排/项目里程碑；</w:t>
      </w:r>
    </w:p>
    <w:p>
      <w:pPr>
        <w:pStyle w:val="53"/>
        <w:numPr>
          <w:ilvl w:val="0"/>
          <w:numId w:val="6"/>
        </w:numPr>
        <w:ind w:left="851" w:firstLine="0" w:firstLineChars="0"/>
        <w:rPr>
          <w:rFonts w:ascii="Arial" w:hAnsi="Arial" w:cs="Arial"/>
          <w:sz w:val="24"/>
          <w:szCs w:val="24"/>
          <w:lang w:eastAsia="zh-CN"/>
        </w:rPr>
      </w:pPr>
      <w:r>
        <w:rPr>
          <w:rFonts w:hint="eastAsia" w:ascii="Arial" w:hAnsi="Arial" w:cs="Arial"/>
          <w:sz w:val="24"/>
          <w:szCs w:val="24"/>
          <w:lang w:eastAsia="zh-CN"/>
        </w:rPr>
        <w:t>计划控制；</w:t>
      </w:r>
    </w:p>
    <w:p>
      <w:pPr>
        <w:pStyle w:val="53"/>
        <w:numPr>
          <w:ilvl w:val="0"/>
          <w:numId w:val="6"/>
        </w:numPr>
        <w:ind w:left="851" w:firstLine="0" w:firstLineChars="0"/>
        <w:rPr>
          <w:rFonts w:ascii="Arial" w:hAnsi="Arial" w:cs="Arial"/>
          <w:sz w:val="24"/>
          <w:szCs w:val="24"/>
          <w:lang w:eastAsia="zh-CN"/>
        </w:rPr>
      </w:pPr>
      <w:r>
        <w:rPr>
          <w:rFonts w:hint="eastAsia" w:ascii="Arial" w:hAnsi="Arial" w:cs="Arial"/>
          <w:sz w:val="24"/>
          <w:szCs w:val="24"/>
          <w:lang w:eastAsia="zh-CN"/>
        </w:rPr>
        <w:t>质量管理；</w:t>
      </w:r>
    </w:p>
    <w:p>
      <w:pPr>
        <w:pStyle w:val="53"/>
        <w:numPr>
          <w:ilvl w:val="0"/>
          <w:numId w:val="6"/>
        </w:numPr>
        <w:ind w:left="851" w:firstLine="0" w:firstLineChars="0"/>
        <w:rPr>
          <w:rFonts w:ascii="Arial" w:hAnsi="Arial" w:cs="Arial"/>
          <w:sz w:val="24"/>
          <w:szCs w:val="24"/>
          <w:lang w:eastAsia="zh-CN"/>
        </w:rPr>
      </w:pPr>
      <w:r>
        <w:rPr>
          <w:rFonts w:hint="eastAsia" w:ascii="Arial" w:hAnsi="Arial" w:cs="Arial"/>
          <w:sz w:val="24"/>
          <w:szCs w:val="24"/>
          <w:lang w:eastAsia="zh-CN"/>
        </w:rPr>
        <w:t>风险管理；</w:t>
      </w:r>
    </w:p>
    <w:p>
      <w:pPr>
        <w:pStyle w:val="53"/>
        <w:numPr>
          <w:ilvl w:val="0"/>
          <w:numId w:val="6"/>
        </w:numPr>
        <w:ind w:left="851" w:firstLine="0" w:firstLineChars="0"/>
        <w:rPr>
          <w:rFonts w:ascii="Arial" w:hAnsi="Arial" w:cs="Arial"/>
          <w:sz w:val="24"/>
          <w:szCs w:val="24"/>
          <w:lang w:eastAsia="zh-CN"/>
        </w:rPr>
      </w:pPr>
      <w:r>
        <w:rPr>
          <w:rFonts w:hint="eastAsia" w:ascii="Arial" w:hAnsi="Arial" w:cs="Arial"/>
          <w:sz w:val="24"/>
          <w:szCs w:val="24"/>
          <w:lang w:eastAsia="zh-CN"/>
        </w:rPr>
        <w:t>高可用方案；</w:t>
      </w:r>
    </w:p>
    <w:p>
      <w:pPr>
        <w:pStyle w:val="53"/>
        <w:numPr>
          <w:ilvl w:val="0"/>
          <w:numId w:val="6"/>
        </w:numPr>
        <w:ind w:left="851" w:firstLine="0" w:firstLineChars="0"/>
        <w:rPr>
          <w:rFonts w:ascii="Arial" w:hAnsi="Arial" w:cs="Arial"/>
          <w:sz w:val="24"/>
          <w:szCs w:val="24"/>
          <w:lang w:eastAsia="zh-CN"/>
        </w:rPr>
      </w:pPr>
      <w:r>
        <w:rPr>
          <w:rFonts w:hint="eastAsia" w:ascii="Arial" w:hAnsi="Arial" w:cs="Arial"/>
          <w:sz w:val="24"/>
          <w:szCs w:val="24"/>
          <w:lang w:eastAsia="zh-CN"/>
        </w:rPr>
        <w:t>系统扩容和升级方案；</w:t>
      </w:r>
    </w:p>
    <w:p>
      <w:pPr>
        <w:pStyle w:val="53"/>
        <w:numPr>
          <w:ilvl w:val="0"/>
          <w:numId w:val="6"/>
        </w:numPr>
        <w:ind w:left="851" w:firstLine="0" w:firstLineChars="0"/>
        <w:rPr>
          <w:rFonts w:ascii="Arial" w:hAnsi="Arial" w:cs="Arial"/>
          <w:sz w:val="24"/>
          <w:szCs w:val="24"/>
          <w:lang w:eastAsia="zh-CN"/>
        </w:rPr>
      </w:pPr>
      <w:r>
        <w:rPr>
          <w:rFonts w:hint="eastAsia" w:ascii="Arial" w:hAnsi="Arial" w:cs="Arial"/>
          <w:sz w:val="24"/>
          <w:szCs w:val="24"/>
          <w:lang w:eastAsia="zh-CN"/>
        </w:rPr>
        <w:t>需招标方提供的相关资料清单；</w:t>
      </w:r>
    </w:p>
    <w:p>
      <w:pPr>
        <w:pStyle w:val="53"/>
        <w:numPr>
          <w:ilvl w:val="0"/>
          <w:numId w:val="6"/>
        </w:numPr>
        <w:ind w:left="851" w:firstLine="0" w:firstLineChars="0"/>
        <w:rPr>
          <w:rFonts w:ascii="Arial" w:hAnsi="Arial" w:cs="Arial"/>
          <w:sz w:val="24"/>
          <w:szCs w:val="24"/>
          <w:lang w:eastAsia="zh-CN"/>
        </w:rPr>
      </w:pPr>
      <w:r>
        <w:rPr>
          <w:rFonts w:hint="eastAsia" w:ascii="Arial" w:hAnsi="Arial" w:cs="Arial"/>
          <w:sz w:val="24"/>
          <w:szCs w:val="24"/>
          <w:lang w:eastAsia="zh-CN"/>
        </w:rPr>
        <w:t>最终交付物。</w:t>
      </w:r>
    </w:p>
    <w:p>
      <w:pPr>
        <w:pStyle w:val="53"/>
        <w:numPr>
          <w:ilvl w:val="0"/>
          <w:numId w:val="5"/>
        </w:numPr>
        <w:ind w:left="0" w:firstLine="567" w:firstLineChars="0"/>
        <w:rPr>
          <w:rFonts w:ascii="Arial" w:hAnsi="Arial" w:cs="Arial"/>
          <w:sz w:val="24"/>
          <w:szCs w:val="24"/>
          <w:lang w:eastAsia="zh-CN"/>
        </w:rPr>
      </w:pPr>
      <w:r>
        <w:rPr>
          <w:rFonts w:hint="eastAsia" w:ascii="Arial" w:hAnsi="Arial" w:cs="Arial"/>
          <w:sz w:val="24"/>
          <w:szCs w:val="24"/>
          <w:lang w:eastAsia="zh-CN"/>
        </w:rPr>
        <w:t>投标方严格按照实施方案开展项目实施工作，按时提交工作报告，解决实施工作中合同产品相关问题，保障项目实施工作顺利完成。</w:t>
      </w:r>
    </w:p>
    <w:p>
      <w:pPr>
        <w:pStyle w:val="4"/>
      </w:pPr>
      <w:bookmarkStart w:id="233" w:name="_Toc11700"/>
      <w:bookmarkStart w:id="234" w:name="_Toc35246444"/>
      <w:bookmarkStart w:id="235" w:name="_Toc9490"/>
      <w:bookmarkStart w:id="236" w:name="_Toc271574360"/>
      <w:bookmarkStart w:id="237" w:name="_Toc19755"/>
      <w:bookmarkStart w:id="238" w:name="_Toc1607"/>
      <w:bookmarkStart w:id="239" w:name="_Toc8801"/>
      <w:r>
        <w:rPr>
          <w:rFonts w:hint="eastAsia"/>
        </w:rPr>
        <w:t>安装调试</w:t>
      </w:r>
      <w:bookmarkEnd w:id="233"/>
      <w:bookmarkEnd w:id="234"/>
      <w:bookmarkEnd w:id="235"/>
      <w:bookmarkEnd w:id="236"/>
      <w:bookmarkEnd w:id="237"/>
      <w:bookmarkEnd w:id="238"/>
      <w:bookmarkEnd w:id="239"/>
    </w:p>
    <w:p>
      <w:pPr>
        <w:pStyle w:val="53"/>
        <w:numPr>
          <w:ilvl w:val="0"/>
          <w:numId w:val="7"/>
        </w:numPr>
        <w:ind w:left="0" w:firstLine="567" w:firstLineChars="0"/>
        <w:rPr>
          <w:rFonts w:ascii="Arial" w:hAnsi="Arial" w:cs="Arial"/>
          <w:sz w:val="24"/>
          <w:szCs w:val="24"/>
          <w:lang w:eastAsia="zh-CN"/>
        </w:rPr>
      </w:pPr>
      <w:r>
        <w:rPr>
          <w:rFonts w:hint="eastAsia" w:ascii="Arial" w:hAnsi="Arial" w:cs="Arial"/>
          <w:sz w:val="24"/>
          <w:szCs w:val="24"/>
          <w:lang w:eastAsia="zh-CN"/>
        </w:rPr>
        <w:t>到货验收通过后，于本招标文件规定时间内完成合同产品的安装、调试等工作，并提供安装、调试过程中的各种文档资料，</w:t>
      </w:r>
      <w:r>
        <w:rPr>
          <w:rFonts w:hint="eastAsia"/>
          <w:sz w:val="24"/>
          <w:szCs w:val="22"/>
          <w:lang w:eastAsia="zh-CN"/>
        </w:rPr>
        <w:t>满足安全基线作为交付标准</w:t>
      </w:r>
      <w:r>
        <w:rPr>
          <w:rFonts w:hint="eastAsia" w:ascii="Arial" w:hAnsi="Arial" w:cs="Arial"/>
          <w:sz w:val="24"/>
          <w:szCs w:val="24"/>
          <w:lang w:eastAsia="zh-CN"/>
        </w:rPr>
        <w:t>。</w:t>
      </w:r>
    </w:p>
    <w:p>
      <w:pPr>
        <w:pStyle w:val="53"/>
        <w:numPr>
          <w:ilvl w:val="0"/>
          <w:numId w:val="7"/>
        </w:numPr>
        <w:ind w:left="0" w:firstLine="567" w:firstLineChars="0"/>
        <w:rPr>
          <w:rFonts w:ascii="Arial" w:hAnsi="Arial" w:cs="Arial"/>
          <w:sz w:val="24"/>
          <w:szCs w:val="24"/>
          <w:lang w:eastAsia="zh-CN"/>
        </w:rPr>
      </w:pPr>
      <w:r>
        <w:rPr>
          <w:rFonts w:hint="eastAsia" w:ascii="Arial" w:hAnsi="Arial" w:cs="Arial"/>
          <w:sz w:val="24"/>
          <w:szCs w:val="24"/>
          <w:lang w:eastAsia="zh-CN"/>
        </w:rPr>
        <w:t>投标方完成应用迁移、调试和检验的工作。</w:t>
      </w:r>
    </w:p>
    <w:p>
      <w:pPr>
        <w:pStyle w:val="53"/>
        <w:numPr>
          <w:ilvl w:val="0"/>
          <w:numId w:val="7"/>
        </w:numPr>
        <w:ind w:left="0" w:firstLine="567" w:firstLineChars="0"/>
        <w:rPr>
          <w:rFonts w:ascii="Arial" w:hAnsi="Arial" w:cs="Arial"/>
          <w:sz w:val="24"/>
          <w:szCs w:val="24"/>
          <w:lang w:eastAsia="zh-CN"/>
        </w:rPr>
      </w:pPr>
      <w:r>
        <w:rPr>
          <w:rFonts w:hint="eastAsia" w:ascii="Arial" w:hAnsi="Arial" w:cs="Arial"/>
          <w:sz w:val="24"/>
          <w:szCs w:val="24"/>
          <w:lang w:eastAsia="zh-CN"/>
        </w:rPr>
        <w:t>投标方完成与机房现有监控系统、信息安全运行监测预警系统等的集成工作。</w:t>
      </w:r>
    </w:p>
    <w:p>
      <w:pPr>
        <w:pStyle w:val="53"/>
        <w:numPr>
          <w:ilvl w:val="0"/>
          <w:numId w:val="7"/>
        </w:numPr>
        <w:ind w:left="0" w:firstLine="567" w:firstLineChars="0"/>
        <w:rPr>
          <w:rFonts w:ascii="Arial" w:hAnsi="Arial" w:cs="Arial"/>
          <w:sz w:val="24"/>
          <w:szCs w:val="24"/>
          <w:lang w:eastAsia="zh-CN"/>
        </w:rPr>
      </w:pPr>
      <w:r>
        <w:rPr>
          <w:rFonts w:hint="eastAsia" w:ascii="Arial" w:hAnsi="Arial" w:cs="Arial"/>
          <w:sz w:val="24"/>
          <w:szCs w:val="24"/>
          <w:lang w:eastAsia="zh-CN"/>
        </w:rPr>
        <w:t>修复在实施工作中发现的合同产品相关的故障和缺陷，确保系统稳定、可靠运行。</w:t>
      </w:r>
    </w:p>
    <w:p>
      <w:pPr>
        <w:pStyle w:val="4"/>
      </w:pPr>
      <w:bookmarkStart w:id="240" w:name="_Toc28251"/>
      <w:bookmarkStart w:id="241" w:name="_Toc271574361"/>
      <w:bookmarkStart w:id="242" w:name="_Toc7841"/>
      <w:bookmarkStart w:id="243" w:name="_Toc35246445"/>
      <w:bookmarkStart w:id="244" w:name="_Toc27484"/>
      <w:bookmarkStart w:id="245" w:name="_Toc29272"/>
      <w:bookmarkStart w:id="246" w:name="_Toc3390"/>
      <w:r>
        <w:rPr>
          <w:rFonts w:hint="eastAsia"/>
        </w:rPr>
        <w:t>测试</w:t>
      </w:r>
      <w:bookmarkEnd w:id="240"/>
      <w:bookmarkEnd w:id="241"/>
      <w:bookmarkEnd w:id="242"/>
      <w:bookmarkEnd w:id="243"/>
      <w:bookmarkEnd w:id="244"/>
      <w:bookmarkEnd w:id="245"/>
      <w:bookmarkEnd w:id="246"/>
    </w:p>
    <w:p>
      <w:pPr>
        <w:pStyle w:val="53"/>
        <w:numPr>
          <w:ilvl w:val="0"/>
          <w:numId w:val="8"/>
        </w:numPr>
        <w:ind w:left="0" w:firstLine="567" w:firstLineChars="0"/>
        <w:rPr>
          <w:rFonts w:ascii="Arial" w:hAnsi="Arial" w:cs="Arial"/>
          <w:sz w:val="24"/>
          <w:szCs w:val="24"/>
          <w:lang w:eastAsia="zh-CN"/>
        </w:rPr>
      </w:pPr>
      <w:r>
        <w:rPr>
          <w:rFonts w:hint="eastAsia" w:ascii="Arial" w:hAnsi="Arial" w:cs="Arial"/>
          <w:sz w:val="24"/>
          <w:szCs w:val="24"/>
          <w:lang w:eastAsia="zh-CN"/>
        </w:rPr>
        <w:t>投标方制定测试方案，详细说明合同产品相关的测试项目、测试标准、测试计划、测试条件、测试方法、测试步骤、测试结果等内容。测试方案经招标方审核通过。</w:t>
      </w:r>
    </w:p>
    <w:p>
      <w:pPr>
        <w:pStyle w:val="53"/>
        <w:numPr>
          <w:ilvl w:val="0"/>
          <w:numId w:val="8"/>
        </w:numPr>
        <w:ind w:left="0" w:firstLine="567" w:firstLineChars="0"/>
        <w:rPr>
          <w:rFonts w:ascii="Arial" w:hAnsi="Arial" w:cs="Arial"/>
          <w:sz w:val="24"/>
          <w:szCs w:val="24"/>
          <w:lang w:eastAsia="zh-CN"/>
        </w:rPr>
      </w:pPr>
      <w:r>
        <w:rPr>
          <w:rFonts w:hint="eastAsia" w:ascii="Arial" w:hAnsi="Arial" w:cs="Arial"/>
          <w:sz w:val="24"/>
          <w:szCs w:val="24"/>
          <w:lang w:eastAsia="zh-CN"/>
        </w:rPr>
        <w:t>在应用迁移前，投标方对一周内（含至少5个工作日）所有待整合服务器的负载（如</w:t>
      </w:r>
      <w:r>
        <w:rPr>
          <w:rFonts w:ascii="Arial" w:hAnsi="Arial" w:cs="Arial"/>
          <w:sz w:val="24"/>
          <w:szCs w:val="24"/>
          <w:lang w:eastAsia="zh-CN"/>
        </w:rPr>
        <w:t>CPU</w:t>
      </w:r>
      <w:r>
        <w:rPr>
          <w:rFonts w:hint="eastAsia" w:ascii="Arial" w:hAnsi="Arial" w:cs="Arial"/>
          <w:sz w:val="24"/>
          <w:szCs w:val="24"/>
          <w:lang w:eastAsia="zh-CN"/>
        </w:rPr>
        <w:t>利用率、内存利用率、存储压力、网络压力等）和功耗等进行测量和分析，并将相关内容列入测试记录。</w:t>
      </w:r>
    </w:p>
    <w:p>
      <w:pPr>
        <w:pStyle w:val="53"/>
        <w:numPr>
          <w:ilvl w:val="0"/>
          <w:numId w:val="8"/>
        </w:numPr>
        <w:ind w:left="0" w:firstLine="567" w:firstLineChars="0"/>
        <w:rPr>
          <w:rFonts w:ascii="Arial" w:hAnsi="Arial" w:cs="Arial"/>
          <w:sz w:val="24"/>
          <w:szCs w:val="24"/>
          <w:lang w:eastAsia="zh-CN"/>
        </w:rPr>
      </w:pPr>
      <w:r>
        <w:rPr>
          <w:rFonts w:hint="eastAsia" w:ascii="Arial" w:hAnsi="Arial" w:cs="Arial"/>
          <w:sz w:val="24"/>
          <w:szCs w:val="24"/>
          <w:lang w:eastAsia="zh-CN"/>
        </w:rPr>
        <w:t>在整体软硬件平台的联通、联调工作完成后，协助招标方按照测试方案进行测试。</w:t>
      </w:r>
    </w:p>
    <w:p>
      <w:pPr>
        <w:pStyle w:val="53"/>
        <w:numPr>
          <w:ilvl w:val="0"/>
          <w:numId w:val="8"/>
        </w:numPr>
        <w:ind w:left="0" w:firstLine="567" w:firstLineChars="0"/>
        <w:rPr>
          <w:rFonts w:ascii="Arial" w:hAnsi="Arial" w:cs="Arial"/>
          <w:sz w:val="24"/>
          <w:szCs w:val="24"/>
          <w:lang w:eastAsia="zh-CN"/>
        </w:rPr>
      </w:pPr>
      <w:r>
        <w:rPr>
          <w:rFonts w:hint="eastAsia" w:ascii="Arial" w:hAnsi="Arial" w:cs="Arial"/>
          <w:sz w:val="24"/>
          <w:szCs w:val="24"/>
          <w:lang w:eastAsia="zh-CN"/>
        </w:rPr>
        <w:t>如果在测试中发现合同产品相关问题，投标方对其缺陷或缺点进行修正，然后重新测试直至合格为止。</w:t>
      </w:r>
    </w:p>
    <w:p>
      <w:pPr>
        <w:pStyle w:val="53"/>
        <w:numPr>
          <w:ilvl w:val="0"/>
          <w:numId w:val="8"/>
        </w:numPr>
        <w:ind w:left="0" w:firstLine="567" w:firstLineChars="0"/>
        <w:rPr>
          <w:rFonts w:ascii="Arial" w:hAnsi="Arial" w:cs="Arial"/>
          <w:sz w:val="24"/>
          <w:szCs w:val="24"/>
          <w:lang w:eastAsia="zh-CN"/>
        </w:rPr>
      </w:pPr>
      <w:r>
        <w:rPr>
          <w:rFonts w:hint="eastAsia" w:ascii="Arial" w:hAnsi="Arial" w:cs="Arial"/>
          <w:sz w:val="24"/>
          <w:szCs w:val="24"/>
          <w:lang w:eastAsia="zh-CN"/>
        </w:rPr>
        <w:t>测试完成后，整理并向招标方提交测试记录。</w:t>
      </w:r>
    </w:p>
    <w:p>
      <w:pPr>
        <w:pStyle w:val="4"/>
      </w:pPr>
      <w:bookmarkStart w:id="247" w:name="_Toc8835"/>
      <w:bookmarkStart w:id="248" w:name="_Toc3523"/>
      <w:bookmarkStart w:id="249" w:name="_Toc6601"/>
      <w:bookmarkStart w:id="250" w:name="_Toc271574362"/>
      <w:bookmarkStart w:id="251" w:name="_Toc35246446"/>
      <w:bookmarkStart w:id="252" w:name="_Toc25835"/>
      <w:bookmarkStart w:id="253" w:name="_Toc23977"/>
      <w:r>
        <w:rPr>
          <w:rFonts w:hint="eastAsia"/>
        </w:rPr>
        <w:t>验收</w:t>
      </w:r>
      <w:bookmarkEnd w:id="247"/>
      <w:bookmarkEnd w:id="248"/>
      <w:bookmarkEnd w:id="249"/>
      <w:bookmarkEnd w:id="250"/>
      <w:bookmarkEnd w:id="251"/>
      <w:bookmarkEnd w:id="252"/>
      <w:bookmarkEnd w:id="253"/>
    </w:p>
    <w:p>
      <w:pPr>
        <w:pStyle w:val="53"/>
        <w:numPr>
          <w:ilvl w:val="0"/>
          <w:numId w:val="9"/>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验收分为</w:t>
      </w:r>
      <w:r>
        <w:rPr>
          <w:rFonts w:hint="eastAsia" w:ascii="Arial" w:hAnsi="Arial" w:cs="Arial"/>
          <w:b/>
          <w:bCs/>
          <w:sz w:val="24"/>
          <w:szCs w:val="24"/>
          <w:lang w:eastAsia="zh-CN"/>
        </w:rPr>
        <w:t>到货验收和终验</w:t>
      </w:r>
      <w:r>
        <w:rPr>
          <w:rFonts w:hint="eastAsia" w:ascii="Arial" w:hAnsi="Arial" w:cs="Arial"/>
          <w:sz w:val="24"/>
          <w:szCs w:val="24"/>
          <w:lang w:eastAsia="zh-CN"/>
        </w:rPr>
        <w:t>。</w:t>
      </w:r>
    </w:p>
    <w:p>
      <w:pPr>
        <w:pStyle w:val="53"/>
        <w:numPr>
          <w:ilvl w:val="0"/>
          <w:numId w:val="9"/>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所有验收工作由招标方组织进行。</w:t>
      </w:r>
    </w:p>
    <w:p>
      <w:pPr>
        <w:numPr>
          <w:ilvl w:val="0"/>
          <w:numId w:val="10"/>
        </w:numPr>
        <w:spacing w:line="360" w:lineRule="auto"/>
        <w:rPr>
          <w:rFonts w:ascii="Arial" w:hAnsi="Arial" w:cs="Arial"/>
          <w:b/>
          <w:sz w:val="24"/>
        </w:rPr>
      </w:pPr>
      <w:bookmarkStart w:id="254" w:name="_Toc271574363"/>
      <w:r>
        <w:rPr>
          <w:rFonts w:hint="eastAsia" w:ascii="Arial" w:hAnsi="Arial" w:cs="Arial"/>
          <w:b/>
          <w:sz w:val="24"/>
        </w:rPr>
        <w:t>到货验收</w:t>
      </w:r>
      <w:bookmarkEnd w:id="254"/>
    </w:p>
    <w:p>
      <w:pPr>
        <w:pStyle w:val="53"/>
        <w:numPr>
          <w:ilvl w:val="0"/>
          <w:numId w:val="11"/>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合同产品（含有关软件等）和技术文件到达交货地点和货物的最终目的地后，招标方、投标方共同对其进行检查，并认真做好交接记录，各方签字。检查的内容主要包括：</w:t>
      </w:r>
    </w:p>
    <w:p>
      <w:pPr>
        <w:pStyle w:val="53"/>
        <w:numPr>
          <w:ilvl w:val="0"/>
          <w:numId w:val="12"/>
        </w:numPr>
        <w:ind w:firstLineChars="0"/>
        <w:rPr>
          <w:rFonts w:ascii="Arial" w:hAnsi="Arial" w:cs="Arial"/>
          <w:sz w:val="24"/>
          <w:szCs w:val="24"/>
          <w:lang w:eastAsia="zh-CN"/>
        </w:rPr>
      </w:pPr>
      <w:r>
        <w:rPr>
          <w:rFonts w:hint="eastAsia" w:ascii="Arial" w:hAnsi="Arial" w:cs="Arial"/>
          <w:sz w:val="24"/>
          <w:szCs w:val="24"/>
          <w:lang w:eastAsia="zh-CN"/>
        </w:rPr>
        <w:t>满足合同对包装的要求。</w:t>
      </w:r>
    </w:p>
    <w:p>
      <w:pPr>
        <w:pStyle w:val="53"/>
        <w:numPr>
          <w:ilvl w:val="0"/>
          <w:numId w:val="12"/>
        </w:numPr>
        <w:ind w:firstLineChars="0"/>
        <w:rPr>
          <w:rFonts w:ascii="Arial" w:hAnsi="Arial" w:cs="Arial"/>
          <w:sz w:val="24"/>
          <w:szCs w:val="24"/>
          <w:lang w:eastAsia="zh-CN"/>
        </w:rPr>
      </w:pPr>
      <w:r>
        <w:rPr>
          <w:rFonts w:hint="eastAsia" w:ascii="Arial" w:hAnsi="Arial" w:cs="Arial"/>
          <w:sz w:val="24"/>
          <w:szCs w:val="24"/>
          <w:lang w:eastAsia="zh-CN"/>
        </w:rPr>
        <w:t>外观良好，运输途中未受损。</w:t>
      </w:r>
    </w:p>
    <w:p>
      <w:pPr>
        <w:pStyle w:val="53"/>
        <w:numPr>
          <w:ilvl w:val="0"/>
          <w:numId w:val="12"/>
        </w:numPr>
        <w:ind w:firstLineChars="0"/>
        <w:rPr>
          <w:rFonts w:ascii="Arial" w:hAnsi="Arial" w:cs="Arial"/>
          <w:sz w:val="24"/>
          <w:szCs w:val="24"/>
          <w:lang w:eastAsia="zh-CN"/>
        </w:rPr>
      </w:pPr>
      <w:r>
        <w:rPr>
          <w:rFonts w:hint="eastAsia" w:ascii="Arial" w:hAnsi="Arial" w:cs="Arial"/>
          <w:sz w:val="24"/>
          <w:szCs w:val="24"/>
          <w:lang w:eastAsia="zh-CN"/>
        </w:rPr>
        <w:t>编号、数量和名称与合同要求的货物清单核实无误。</w:t>
      </w:r>
    </w:p>
    <w:p>
      <w:pPr>
        <w:pStyle w:val="53"/>
        <w:numPr>
          <w:ilvl w:val="0"/>
          <w:numId w:val="11"/>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为了保证货物在运输和装卸过程中的安全，货物包装符合国家或行业标准规定。由于包装不善导致货物锈蚀、失缺或损坏，由投标方承担一切责任。</w:t>
      </w:r>
    </w:p>
    <w:p>
      <w:pPr>
        <w:pStyle w:val="53"/>
        <w:numPr>
          <w:ilvl w:val="0"/>
          <w:numId w:val="11"/>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投标方需要按照合同规定及招标方要求的地点送货，未送达指定地点的招标方有权拒收。</w:t>
      </w:r>
    </w:p>
    <w:p>
      <w:pPr>
        <w:pStyle w:val="53"/>
        <w:numPr>
          <w:ilvl w:val="0"/>
          <w:numId w:val="11"/>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投标方协助招标方负责进行产品的签收工作。</w:t>
      </w:r>
    </w:p>
    <w:p>
      <w:pPr>
        <w:pStyle w:val="53"/>
        <w:numPr>
          <w:ilvl w:val="0"/>
          <w:numId w:val="11"/>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招标方如发现投标方所提供产品的规格、数量等与合同规定不符，投标方按合同要求更换或是补足与合同不符的或是短缺的产品，并承担由此而产生的一切费用（包括但不限于检验费、保险费、运输费等）。</w:t>
      </w:r>
    </w:p>
    <w:p>
      <w:pPr>
        <w:pStyle w:val="53"/>
        <w:numPr>
          <w:ilvl w:val="0"/>
          <w:numId w:val="11"/>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如产品在测试流程中达到或视为达到技术指标，则招标方、投标方双方在测试完成后合同条款约定的时间内签署产品到货验收证书，到货验收日期为产品达到或视为达到技术指标的日期。</w:t>
      </w:r>
    </w:p>
    <w:p>
      <w:pPr>
        <w:pStyle w:val="53"/>
        <w:numPr>
          <w:ilvl w:val="0"/>
          <w:numId w:val="11"/>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签署产品验收证书后，自验收日期起进入为期3个月的试运行阶段。</w:t>
      </w:r>
    </w:p>
    <w:p>
      <w:pPr>
        <w:numPr>
          <w:ilvl w:val="0"/>
          <w:numId w:val="10"/>
        </w:numPr>
        <w:spacing w:line="360" w:lineRule="auto"/>
        <w:rPr>
          <w:rFonts w:ascii="Arial" w:hAnsi="Arial" w:cs="Arial"/>
          <w:b/>
          <w:sz w:val="24"/>
        </w:rPr>
      </w:pPr>
      <w:r>
        <w:rPr>
          <w:rFonts w:hint="eastAsia" w:ascii="Arial" w:hAnsi="Arial" w:cs="Arial"/>
          <w:b/>
          <w:sz w:val="24"/>
        </w:rPr>
        <w:t>终验</w:t>
      </w:r>
    </w:p>
    <w:p>
      <w:pPr>
        <w:pStyle w:val="53"/>
        <w:numPr>
          <w:ilvl w:val="0"/>
          <w:numId w:val="13"/>
        </w:numPr>
        <w:spacing w:before="0" w:after="0"/>
        <w:ind w:left="0" w:firstLine="480"/>
        <w:rPr>
          <w:rFonts w:ascii="Arial" w:hAnsi="Arial" w:cs="Arial"/>
          <w:sz w:val="24"/>
          <w:szCs w:val="24"/>
          <w:lang w:eastAsia="zh-CN"/>
        </w:rPr>
      </w:pPr>
      <w:r>
        <w:rPr>
          <w:rFonts w:hint="eastAsia" w:ascii="Arial" w:hAnsi="Arial" w:cs="Arial"/>
          <w:sz w:val="24"/>
          <w:szCs w:val="24"/>
          <w:lang w:eastAsia="zh-CN"/>
        </w:rPr>
        <w:t>试运行阶段出现的合同产品相关的一切技术故障和功能缺陷，由投标方负责解决；如果出现重大合同产品相关的技术故障和功能缺陷，则在问题解决后重新进入3个月的试运行阶段。所有损失由投标方承担。</w:t>
      </w:r>
    </w:p>
    <w:p>
      <w:pPr>
        <w:pStyle w:val="53"/>
        <w:numPr>
          <w:ilvl w:val="0"/>
          <w:numId w:val="13"/>
        </w:numPr>
        <w:spacing w:before="0" w:after="0"/>
        <w:ind w:left="0" w:firstLine="480"/>
        <w:rPr>
          <w:rFonts w:ascii="Arial" w:hAnsi="Arial" w:cs="Arial"/>
          <w:sz w:val="24"/>
          <w:szCs w:val="24"/>
          <w:lang w:eastAsia="zh-CN"/>
        </w:rPr>
      </w:pPr>
      <w:r>
        <w:rPr>
          <w:rFonts w:hint="eastAsia" w:ascii="Arial" w:hAnsi="Arial" w:cs="Arial"/>
          <w:sz w:val="24"/>
          <w:szCs w:val="24"/>
          <w:lang w:eastAsia="zh-CN"/>
        </w:rPr>
        <w:t>试运行阶段，投标方对至少一周内（含至少5个工作日）所有采购的中间件性能（如</w:t>
      </w:r>
      <w:r>
        <w:rPr>
          <w:rFonts w:ascii="Arial" w:hAnsi="Arial" w:cs="Arial"/>
          <w:sz w:val="24"/>
          <w:szCs w:val="24"/>
          <w:lang w:eastAsia="zh-CN"/>
        </w:rPr>
        <w:t>CPU</w:t>
      </w:r>
      <w:r>
        <w:rPr>
          <w:rFonts w:hint="eastAsia" w:ascii="Arial" w:hAnsi="Arial" w:cs="Arial"/>
          <w:sz w:val="24"/>
          <w:szCs w:val="24"/>
          <w:lang w:eastAsia="zh-CN"/>
        </w:rPr>
        <w:t>利用率、内存利用率等）进行测量和分析，并将相关内容列入终验报告。测量过程中需无重大故障和功能缺陷；否则重新测量。</w:t>
      </w:r>
    </w:p>
    <w:p>
      <w:pPr>
        <w:pStyle w:val="53"/>
        <w:numPr>
          <w:ilvl w:val="0"/>
          <w:numId w:val="13"/>
        </w:numPr>
        <w:spacing w:before="0" w:after="0"/>
        <w:ind w:left="0" w:firstLine="480"/>
        <w:rPr>
          <w:rFonts w:ascii="Arial" w:hAnsi="Arial" w:cs="Arial"/>
          <w:sz w:val="24"/>
          <w:szCs w:val="24"/>
          <w:lang w:eastAsia="zh-CN"/>
        </w:rPr>
      </w:pPr>
      <w:r>
        <w:rPr>
          <w:rFonts w:hint="eastAsia" w:ascii="Arial" w:hAnsi="Arial" w:cs="Arial"/>
          <w:sz w:val="24"/>
          <w:szCs w:val="24"/>
          <w:lang w:eastAsia="zh-CN"/>
        </w:rPr>
        <w:t>试运行3个月后，过程无重大故障和功能缺陷出现，投标方可申请终验。投标方撰写并向招标方提交终验申请书和验收方案。验收方案包括但不限于：验收内容/项目、验收方法、验收标准等。终验申请书和验收方案经招标方审核通过后，方由招标方发起终验验收。</w:t>
      </w:r>
    </w:p>
    <w:p>
      <w:pPr>
        <w:pStyle w:val="53"/>
        <w:numPr>
          <w:ilvl w:val="0"/>
          <w:numId w:val="13"/>
        </w:numPr>
        <w:spacing w:before="0" w:after="0"/>
        <w:ind w:left="0" w:firstLine="480"/>
        <w:rPr>
          <w:rFonts w:ascii="Arial" w:hAnsi="Arial" w:cs="Arial"/>
          <w:sz w:val="24"/>
          <w:szCs w:val="24"/>
          <w:lang w:eastAsia="zh-CN"/>
        </w:rPr>
      </w:pPr>
      <w:r>
        <w:rPr>
          <w:rFonts w:hint="eastAsia" w:ascii="Arial" w:hAnsi="Arial" w:cs="Arial"/>
          <w:sz w:val="24"/>
          <w:szCs w:val="24"/>
          <w:lang w:eastAsia="zh-CN"/>
        </w:rPr>
        <w:t>验收申请书和验收方案通过后，投标方协助招标方按照终验方案进行终验。</w:t>
      </w:r>
    </w:p>
    <w:p>
      <w:pPr>
        <w:pStyle w:val="53"/>
        <w:numPr>
          <w:ilvl w:val="0"/>
          <w:numId w:val="13"/>
        </w:numPr>
        <w:spacing w:before="0" w:after="0"/>
        <w:ind w:left="0" w:firstLine="480"/>
        <w:rPr>
          <w:rFonts w:ascii="Arial" w:hAnsi="Arial" w:cs="Arial"/>
          <w:sz w:val="24"/>
          <w:szCs w:val="24"/>
          <w:lang w:eastAsia="zh-CN"/>
        </w:rPr>
      </w:pPr>
      <w:r>
        <w:rPr>
          <w:rFonts w:hint="eastAsia" w:ascii="Arial" w:hAnsi="Arial" w:cs="Arial"/>
          <w:sz w:val="24"/>
          <w:szCs w:val="24"/>
          <w:lang w:eastAsia="zh-CN"/>
        </w:rPr>
        <w:t>若由于合同产品原因导致验收内容/项目未达到验收标准，投标方无条件解决相关问题，并在相关问题解决后满3个月再重新提交终验申请书。由此产生的一切损失由投标方承担。</w:t>
      </w:r>
    </w:p>
    <w:p>
      <w:pPr>
        <w:pStyle w:val="53"/>
        <w:numPr>
          <w:ilvl w:val="0"/>
          <w:numId w:val="13"/>
        </w:numPr>
        <w:spacing w:before="0" w:after="0"/>
        <w:ind w:left="0" w:firstLine="480"/>
        <w:rPr>
          <w:rFonts w:ascii="Arial" w:hAnsi="Arial" w:cs="Arial"/>
          <w:sz w:val="24"/>
          <w:szCs w:val="24"/>
          <w:lang w:eastAsia="zh-CN"/>
        </w:rPr>
      </w:pPr>
      <w:r>
        <w:rPr>
          <w:rFonts w:hint="eastAsia" w:ascii="Arial" w:hAnsi="Arial" w:cs="Arial"/>
          <w:sz w:val="24"/>
          <w:szCs w:val="24"/>
          <w:lang w:eastAsia="zh-CN"/>
        </w:rPr>
        <w:t>若验收内容/项目均达到验收标准，则终验通过，投标方撰写并提交终验报告，并将所有的试验记录以及最后的系统配置的有关资料整理移交招标方。招标方和投标方共同签署终验报告。</w:t>
      </w:r>
    </w:p>
    <w:p>
      <w:pPr>
        <w:pStyle w:val="53"/>
        <w:numPr>
          <w:ilvl w:val="0"/>
          <w:numId w:val="13"/>
        </w:numPr>
        <w:spacing w:before="0" w:after="0"/>
        <w:ind w:left="0" w:firstLine="480"/>
        <w:rPr>
          <w:rFonts w:ascii="Arial" w:hAnsi="Arial" w:cs="Arial"/>
          <w:sz w:val="24"/>
          <w:szCs w:val="24"/>
          <w:lang w:eastAsia="zh-CN"/>
        </w:rPr>
      </w:pPr>
      <w:r>
        <w:rPr>
          <w:rFonts w:hint="eastAsia" w:ascii="Arial" w:hAnsi="Arial" w:cs="Arial"/>
          <w:sz w:val="24"/>
          <w:szCs w:val="24"/>
          <w:lang w:eastAsia="zh-CN"/>
        </w:rPr>
        <w:t>终验通过后，投标方提交《系统运维手册》，用来指导招标方管理和维护本项目成果。</w:t>
      </w:r>
    </w:p>
    <w:p>
      <w:pPr>
        <w:pStyle w:val="53"/>
        <w:numPr>
          <w:ilvl w:val="0"/>
          <w:numId w:val="13"/>
        </w:numPr>
        <w:spacing w:before="0" w:after="0"/>
        <w:ind w:left="0" w:firstLine="480"/>
        <w:rPr>
          <w:rFonts w:ascii="Arial" w:hAnsi="Arial" w:cs="Arial"/>
          <w:sz w:val="24"/>
          <w:szCs w:val="24"/>
          <w:lang w:eastAsia="zh-CN"/>
        </w:rPr>
      </w:pPr>
      <w:r>
        <w:rPr>
          <w:rFonts w:hint="eastAsia" w:ascii="Arial" w:hAnsi="Arial" w:cs="Arial"/>
          <w:sz w:val="24"/>
          <w:szCs w:val="24"/>
          <w:lang w:eastAsia="zh-CN"/>
        </w:rPr>
        <w:t>签署产品终验证书后，自验收日期起进入产品质保期。</w:t>
      </w:r>
    </w:p>
    <w:p>
      <w:pPr>
        <w:spacing w:line="360" w:lineRule="auto"/>
        <w:rPr>
          <w:rFonts w:ascii="宋体" w:hAnsi="宋体"/>
          <w:sz w:val="24"/>
        </w:rPr>
      </w:pPr>
    </w:p>
    <w:p>
      <w:pPr>
        <w:pStyle w:val="3"/>
      </w:pPr>
      <w:bookmarkStart w:id="255" w:name="_Toc10028"/>
      <w:bookmarkStart w:id="256" w:name="_Toc277944716"/>
      <w:bookmarkStart w:id="257" w:name="_Toc25926"/>
      <w:bookmarkStart w:id="258" w:name="_Toc35246447"/>
      <w:bookmarkStart w:id="259" w:name="_Toc3669"/>
      <w:bookmarkStart w:id="260" w:name="_Toc405389339"/>
      <w:bookmarkStart w:id="261" w:name="_Toc1401"/>
      <w:bookmarkStart w:id="262" w:name="_Toc9043"/>
      <w:bookmarkStart w:id="263" w:name="_Toc8520"/>
      <w:bookmarkStart w:id="264" w:name="_Toc26717"/>
      <w:bookmarkStart w:id="265" w:name="_Toc6506"/>
      <w:bookmarkStart w:id="266" w:name="_Toc22136"/>
      <w:bookmarkStart w:id="267" w:name="_Toc23451"/>
      <w:r>
        <w:rPr>
          <w:rFonts w:hint="eastAsia"/>
        </w:rPr>
        <w:t>培训要求</w:t>
      </w:r>
      <w:bookmarkEnd w:id="255"/>
      <w:bookmarkEnd w:id="256"/>
      <w:bookmarkEnd w:id="257"/>
      <w:bookmarkEnd w:id="258"/>
      <w:bookmarkEnd w:id="259"/>
      <w:bookmarkEnd w:id="260"/>
      <w:bookmarkEnd w:id="261"/>
      <w:bookmarkEnd w:id="262"/>
      <w:bookmarkEnd w:id="263"/>
      <w:bookmarkEnd w:id="264"/>
      <w:bookmarkEnd w:id="265"/>
      <w:bookmarkEnd w:id="266"/>
      <w:bookmarkEnd w:id="267"/>
    </w:p>
    <w:p>
      <w:pPr>
        <w:pStyle w:val="4"/>
      </w:pPr>
      <w:bookmarkStart w:id="268" w:name="_Toc35246448"/>
      <w:bookmarkStart w:id="269" w:name="_Toc3660"/>
      <w:bookmarkStart w:id="270" w:name="_Toc405389340"/>
      <w:bookmarkStart w:id="271" w:name="_Toc271574368"/>
      <w:bookmarkStart w:id="272" w:name="_Toc261418251"/>
      <w:bookmarkStart w:id="273" w:name="_Toc28048"/>
      <w:bookmarkStart w:id="274" w:name="_Toc2423"/>
      <w:bookmarkStart w:id="275" w:name="_Toc12652"/>
      <w:bookmarkStart w:id="276" w:name="_Toc261423881"/>
      <w:bookmarkStart w:id="277" w:name="_Toc20790"/>
      <w:r>
        <w:rPr>
          <w:rFonts w:hint="eastAsia"/>
        </w:rPr>
        <w:t>培训总则</w:t>
      </w:r>
      <w:bookmarkEnd w:id="268"/>
      <w:bookmarkEnd w:id="269"/>
      <w:bookmarkEnd w:id="270"/>
      <w:bookmarkEnd w:id="271"/>
      <w:bookmarkEnd w:id="272"/>
      <w:bookmarkEnd w:id="273"/>
      <w:bookmarkEnd w:id="274"/>
      <w:bookmarkEnd w:id="275"/>
      <w:bookmarkEnd w:id="276"/>
      <w:bookmarkEnd w:id="277"/>
    </w:p>
    <w:p>
      <w:pPr>
        <w:pStyle w:val="53"/>
        <w:numPr>
          <w:ilvl w:val="0"/>
          <w:numId w:val="14"/>
        </w:numPr>
        <w:spacing w:before="0" w:after="0"/>
        <w:ind w:firstLineChars="0"/>
        <w:rPr>
          <w:rFonts w:ascii="Arial" w:hAnsi="Arial" w:cs="Arial"/>
          <w:sz w:val="24"/>
          <w:szCs w:val="24"/>
          <w:lang w:eastAsia="zh-CN"/>
        </w:rPr>
      </w:pPr>
      <w:r>
        <w:rPr>
          <w:rFonts w:hint="eastAsia" w:ascii="Arial" w:hAnsi="Arial" w:cs="Arial"/>
          <w:sz w:val="24"/>
          <w:szCs w:val="24"/>
          <w:lang w:eastAsia="zh-CN"/>
        </w:rPr>
        <w:t>投标方提供满足招标方要求的培训服务。</w:t>
      </w:r>
    </w:p>
    <w:p>
      <w:pPr>
        <w:pStyle w:val="53"/>
        <w:numPr>
          <w:ilvl w:val="0"/>
          <w:numId w:val="14"/>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投标方提供高水平的培训。培训包括各类软件产品。所提供的培训课程表随应答文件一起提交。</w:t>
      </w:r>
    </w:p>
    <w:p>
      <w:pPr>
        <w:pStyle w:val="53"/>
        <w:numPr>
          <w:ilvl w:val="0"/>
          <w:numId w:val="14"/>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投标方派出的培训教员至少具有三年的相同课程的教学经验。</w:t>
      </w:r>
    </w:p>
    <w:p>
      <w:pPr>
        <w:pStyle w:val="53"/>
        <w:numPr>
          <w:ilvl w:val="0"/>
          <w:numId w:val="14"/>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投标方为所有被培训人员提供培训用计算机、网络环境、文字资料和讲义等相关用品。</w:t>
      </w:r>
    </w:p>
    <w:p>
      <w:pPr>
        <w:pStyle w:val="53"/>
        <w:numPr>
          <w:ilvl w:val="0"/>
          <w:numId w:val="14"/>
        </w:numPr>
        <w:spacing w:before="0" w:after="0"/>
        <w:ind w:firstLineChars="0"/>
        <w:rPr>
          <w:rFonts w:ascii="Arial" w:hAnsi="Arial" w:cs="Arial"/>
          <w:sz w:val="24"/>
          <w:szCs w:val="24"/>
          <w:lang w:eastAsia="zh-CN"/>
        </w:rPr>
      </w:pPr>
      <w:r>
        <w:rPr>
          <w:rFonts w:hint="eastAsia" w:ascii="Arial" w:hAnsi="Arial" w:cs="Arial"/>
          <w:sz w:val="24"/>
          <w:szCs w:val="24"/>
          <w:lang w:eastAsia="zh-CN"/>
        </w:rPr>
        <w:t>培训时间与日期在合同生效之后尽快安排。</w:t>
      </w:r>
    </w:p>
    <w:p>
      <w:pPr>
        <w:pStyle w:val="4"/>
      </w:pPr>
      <w:bookmarkStart w:id="278" w:name="_Toc261423882"/>
      <w:bookmarkStart w:id="279" w:name="_Toc67"/>
      <w:bookmarkStart w:id="280" w:name="_Toc261418252"/>
      <w:bookmarkStart w:id="281" w:name="_Toc35246449"/>
      <w:bookmarkStart w:id="282" w:name="_Toc17174"/>
      <w:bookmarkStart w:id="283" w:name="_Toc271574369"/>
      <w:bookmarkStart w:id="284" w:name="_Toc11595"/>
      <w:bookmarkStart w:id="285" w:name="_Toc405389341"/>
      <w:bookmarkStart w:id="286" w:name="_Toc24070"/>
      <w:bookmarkStart w:id="287" w:name="_Toc24372"/>
      <w:r>
        <w:rPr>
          <w:rFonts w:hint="eastAsia"/>
        </w:rPr>
        <w:t>现场培训</w:t>
      </w:r>
      <w:bookmarkEnd w:id="278"/>
      <w:bookmarkEnd w:id="279"/>
      <w:bookmarkEnd w:id="280"/>
      <w:bookmarkEnd w:id="281"/>
      <w:bookmarkEnd w:id="282"/>
      <w:bookmarkEnd w:id="283"/>
      <w:bookmarkEnd w:id="284"/>
      <w:bookmarkEnd w:id="285"/>
      <w:bookmarkEnd w:id="286"/>
      <w:bookmarkEnd w:id="287"/>
    </w:p>
    <w:p>
      <w:pPr>
        <w:pStyle w:val="53"/>
        <w:numPr>
          <w:ilvl w:val="0"/>
          <w:numId w:val="15"/>
        </w:numPr>
        <w:ind w:left="0" w:firstLine="567" w:firstLineChars="0"/>
        <w:rPr>
          <w:rFonts w:ascii="Arial" w:hAnsi="Arial" w:cs="Arial"/>
          <w:sz w:val="24"/>
          <w:szCs w:val="24"/>
          <w:lang w:eastAsia="zh-CN"/>
        </w:rPr>
      </w:pPr>
      <w:r>
        <w:rPr>
          <w:rFonts w:hint="eastAsia" w:ascii="Arial" w:hAnsi="Arial" w:cs="Arial"/>
          <w:sz w:val="24"/>
          <w:szCs w:val="24"/>
          <w:lang w:eastAsia="zh-CN"/>
        </w:rPr>
        <w:t>培训对象</w:t>
      </w:r>
    </w:p>
    <w:p>
      <w:pPr>
        <w:pStyle w:val="53"/>
        <w:ind w:left="567" w:firstLine="0" w:firstLineChars="0"/>
        <w:rPr>
          <w:rFonts w:ascii="Arial" w:hAnsi="Arial" w:cs="Arial"/>
          <w:sz w:val="24"/>
          <w:szCs w:val="24"/>
          <w:lang w:eastAsia="zh-CN"/>
        </w:rPr>
      </w:pPr>
      <w:r>
        <w:rPr>
          <w:rFonts w:hint="eastAsia" w:ascii="Arial" w:hAnsi="Arial" w:cs="Arial"/>
          <w:sz w:val="24"/>
          <w:szCs w:val="24"/>
          <w:lang w:eastAsia="zh-CN"/>
        </w:rPr>
        <w:t>由招标方指定，人数不限。</w:t>
      </w:r>
    </w:p>
    <w:p>
      <w:pPr>
        <w:pStyle w:val="53"/>
        <w:numPr>
          <w:ilvl w:val="0"/>
          <w:numId w:val="15"/>
        </w:numPr>
        <w:ind w:left="0" w:firstLine="567" w:firstLineChars="0"/>
        <w:rPr>
          <w:rFonts w:ascii="Arial" w:hAnsi="Arial" w:cs="Arial"/>
          <w:sz w:val="24"/>
          <w:szCs w:val="24"/>
          <w:lang w:eastAsia="zh-CN"/>
        </w:rPr>
      </w:pPr>
      <w:r>
        <w:rPr>
          <w:rFonts w:hint="eastAsia" w:ascii="Arial" w:hAnsi="Arial" w:cs="Arial"/>
          <w:sz w:val="24"/>
          <w:szCs w:val="24"/>
          <w:lang w:eastAsia="zh-CN"/>
        </w:rPr>
        <w:t>培训时间</w:t>
      </w:r>
    </w:p>
    <w:p>
      <w:pPr>
        <w:pStyle w:val="53"/>
        <w:ind w:left="567" w:firstLine="0" w:firstLineChars="0"/>
        <w:rPr>
          <w:rFonts w:ascii="Arial" w:hAnsi="Arial" w:cs="Arial"/>
          <w:sz w:val="24"/>
          <w:szCs w:val="24"/>
          <w:lang w:eastAsia="zh-CN"/>
        </w:rPr>
      </w:pPr>
      <w:r>
        <w:rPr>
          <w:rFonts w:hint="eastAsia" w:ascii="Arial" w:hAnsi="Arial" w:cs="Arial"/>
          <w:sz w:val="24"/>
          <w:szCs w:val="24"/>
          <w:lang w:eastAsia="zh-CN"/>
        </w:rPr>
        <w:t>双方友好协商。</w:t>
      </w:r>
    </w:p>
    <w:p>
      <w:pPr>
        <w:pStyle w:val="53"/>
        <w:numPr>
          <w:ilvl w:val="0"/>
          <w:numId w:val="15"/>
        </w:numPr>
        <w:ind w:left="0" w:firstLine="567" w:firstLineChars="0"/>
        <w:rPr>
          <w:rFonts w:ascii="Arial" w:hAnsi="Arial" w:cs="Arial"/>
          <w:sz w:val="24"/>
          <w:szCs w:val="24"/>
          <w:lang w:eastAsia="zh-CN"/>
        </w:rPr>
      </w:pPr>
      <w:r>
        <w:rPr>
          <w:rFonts w:hint="eastAsia" w:ascii="Arial" w:hAnsi="Arial" w:cs="Arial"/>
          <w:sz w:val="24"/>
          <w:szCs w:val="24"/>
          <w:lang w:eastAsia="zh-CN"/>
        </w:rPr>
        <w:t>培训内容</w:t>
      </w:r>
    </w:p>
    <w:p>
      <w:pPr>
        <w:ind w:firstLine="480" w:firstLineChars="200"/>
        <w:rPr>
          <w:rFonts w:ascii="Arial" w:hAnsi="Arial" w:cs="Arial"/>
          <w:sz w:val="24"/>
        </w:rPr>
      </w:pPr>
      <w:r>
        <w:rPr>
          <w:rFonts w:hint="eastAsia" w:ascii="Arial" w:hAnsi="Arial" w:cs="Arial"/>
          <w:sz w:val="24"/>
        </w:rPr>
        <w:t>至少包括：产品的安装调试、操作维护、故障排除、应用适配替换、系统软件版本升级等。</w:t>
      </w:r>
    </w:p>
    <w:p>
      <w:pPr>
        <w:pStyle w:val="53"/>
        <w:numPr>
          <w:ilvl w:val="0"/>
          <w:numId w:val="15"/>
        </w:numPr>
        <w:ind w:left="0" w:firstLine="567" w:firstLineChars="0"/>
        <w:rPr>
          <w:rFonts w:ascii="Arial" w:hAnsi="Arial" w:cs="Arial"/>
          <w:sz w:val="24"/>
          <w:szCs w:val="24"/>
          <w:lang w:eastAsia="zh-CN"/>
        </w:rPr>
      </w:pPr>
      <w:r>
        <w:rPr>
          <w:rFonts w:hint="eastAsia" w:ascii="Arial" w:hAnsi="Arial" w:cs="Arial"/>
          <w:sz w:val="24"/>
          <w:szCs w:val="24"/>
          <w:lang w:eastAsia="zh-CN"/>
        </w:rPr>
        <w:t>培训地点</w:t>
      </w:r>
    </w:p>
    <w:p>
      <w:pPr>
        <w:pStyle w:val="53"/>
        <w:ind w:left="567" w:firstLine="0" w:firstLineChars="0"/>
        <w:rPr>
          <w:rFonts w:ascii="Arial" w:hAnsi="Arial" w:cs="Arial"/>
          <w:sz w:val="24"/>
          <w:szCs w:val="24"/>
          <w:lang w:eastAsia="zh-CN"/>
        </w:rPr>
      </w:pPr>
      <w:r>
        <w:rPr>
          <w:rFonts w:hint="eastAsia" w:ascii="Arial" w:hAnsi="Arial" w:cs="Arial"/>
          <w:sz w:val="24"/>
          <w:szCs w:val="24"/>
          <w:lang w:eastAsia="zh-CN"/>
        </w:rPr>
        <w:t>签订合同时另行确定，由投标方提供。</w:t>
      </w:r>
    </w:p>
    <w:p>
      <w:pPr>
        <w:pStyle w:val="53"/>
        <w:numPr>
          <w:ilvl w:val="0"/>
          <w:numId w:val="15"/>
        </w:numPr>
        <w:ind w:left="0" w:firstLine="567" w:firstLineChars="0"/>
        <w:rPr>
          <w:rFonts w:ascii="Arial" w:hAnsi="Arial" w:cs="Arial"/>
          <w:sz w:val="24"/>
          <w:szCs w:val="24"/>
          <w:lang w:eastAsia="zh-CN"/>
        </w:rPr>
      </w:pPr>
      <w:r>
        <w:rPr>
          <w:rFonts w:hint="eastAsia" w:ascii="Arial" w:hAnsi="Arial" w:cs="Arial"/>
          <w:sz w:val="24"/>
          <w:szCs w:val="24"/>
          <w:lang w:eastAsia="zh-CN"/>
        </w:rPr>
        <w:t>培训目标</w:t>
      </w:r>
    </w:p>
    <w:p>
      <w:pPr>
        <w:ind w:firstLine="480" w:firstLineChars="200"/>
        <w:rPr>
          <w:rFonts w:ascii="Arial" w:hAnsi="Arial" w:cs="Arial"/>
          <w:sz w:val="24"/>
        </w:rPr>
      </w:pPr>
      <w:r>
        <w:rPr>
          <w:rFonts w:hint="eastAsia" w:ascii="Arial" w:hAnsi="Arial" w:cs="Arial"/>
          <w:sz w:val="24"/>
        </w:rPr>
        <w:t>培训后，培训人员能掌握产品的安装部署、操作维护等情况，能独立进行操作、管理、一般故障处理、日常维护等工作。</w:t>
      </w:r>
    </w:p>
    <w:p>
      <w:pPr>
        <w:pStyle w:val="53"/>
        <w:numPr>
          <w:ilvl w:val="0"/>
          <w:numId w:val="15"/>
        </w:numPr>
        <w:ind w:left="0" w:firstLine="567" w:firstLineChars="0"/>
        <w:rPr>
          <w:rFonts w:ascii="Arial" w:hAnsi="Arial" w:cs="Arial"/>
          <w:sz w:val="24"/>
          <w:szCs w:val="24"/>
          <w:lang w:eastAsia="zh-CN"/>
        </w:rPr>
      </w:pPr>
      <w:r>
        <w:rPr>
          <w:rFonts w:hint="eastAsia" w:ascii="Arial" w:hAnsi="Arial" w:cs="Arial"/>
          <w:sz w:val="24"/>
          <w:szCs w:val="24"/>
          <w:lang w:eastAsia="zh-CN"/>
        </w:rPr>
        <w:t>现场培训为必选项，由投标方提供。</w:t>
      </w:r>
    </w:p>
    <w:p>
      <w:pPr>
        <w:pStyle w:val="4"/>
      </w:pPr>
      <w:bookmarkStart w:id="288" w:name="_Toc20869"/>
      <w:bookmarkStart w:id="289" w:name="_Toc16885"/>
      <w:bookmarkStart w:id="290" w:name="_Toc27096"/>
      <w:bookmarkStart w:id="291" w:name="_Toc405389342"/>
      <w:bookmarkStart w:id="292" w:name="_Toc261418253"/>
      <w:bookmarkStart w:id="293" w:name="_Toc261423883"/>
      <w:bookmarkStart w:id="294" w:name="_Toc271574370"/>
      <w:bookmarkStart w:id="295" w:name="_Toc35246450"/>
      <w:bookmarkStart w:id="296" w:name="_Toc3092"/>
      <w:bookmarkStart w:id="297" w:name="_Toc3488"/>
      <w:r>
        <w:rPr>
          <w:rFonts w:hint="eastAsia"/>
        </w:rPr>
        <w:t>高级培训</w:t>
      </w:r>
      <w:bookmarkEnd w:id="288"/>
      <w:bookmarkEnd w:id="289"/>
      <w:bookmarkEnd w:id="290"/>
      <w:bookmarkEnd w:id="291"/>
      <w:bookmarkEnd w:id="292"/>
      <w:bookmarkEnd w:id="293"/>
      <w:bookmarkEnd w:id="294"/>
      <w:bookmarkEnd w:id="295"/>
      <w:bookmarkEnd w:id="296"/>
      <w:bookmarkEnd w:id="297"/>
    </w:p>
    <w:p>
      <w:pPr>
        <w:pStyle w:val="53"/>
        <w:numPr>
          <w:ilvl w:val="0"/>
          <w:numId w:val="16"/>
        </w:numPr>
        <w:ind w:left="0" w:firstLine="567" w:firstLineChars="0"/>
        <w:rPr>
          <w:rFonts w:ascii="Arial" w:hAnsi="Arial" w:cs="Arial"/>
          <w:sz w:val="24"/>
          <w:szCs w:val="24"/>
          <w:lang w:eastAsia="zh-CN"/>
        </w:rPr>
      </w:pPr>
      <w:r>
        <w:rPr>
          <w:rFonts w:hint="eastAsia" w:ascii="Arial" w:hAnsi="Arial" w:cs="Arial"/>
          <w:sz w:val="24"/>
          <w:szCs w:val="24"/>
          <w:lang w:eastAsia="zh-CN"/>
        </w:rPr>
        <w:t>培训对象</w:t>
      </w:r>
    </w:p>
    <w:p>
      <w:pPr>
        <w:pStyle w:val="53"/>
        <w:ind w:left="567" w:firstLine="0" w:firstLineChars="0"/>
        <w:rPr>
          <w:rFonts w:ascii="Arial" w:hAnsi="Arial" w:cs="Arial"/>
          <w:sz w:val="24"/>
          <w:szCs w:val="24"/>
          <w:lang w:eastAsia="zh-CN"/>
        </w:rPr>
      </w:pPr>
      <w:r>
        <w:rPr>
          <w:rFonts w:hint="eastAsia" w:ascii="Arial" w:hAnsi="Arial" w:cs="Arial"/>
          <w:sz w:val="24"/>
          <w:szCs w:val="24"/>
          <w:lang w:eastAsia="zh-CN"/>
        </w:rPr>
        <w:t>由招标方指定。</w:t>
      </w:r>
    </w:p>
    <w:p>
      <w:pPr>
        <w:pStyle w:val="53"/>
        <w:numPr>
          <w:ilvl w:val="0"/>
          <w:numId w:val="16"/>
        </w:numPr>
        <w:ind w:left="0" w:firstLine="567" w:firstLineChars="0"/>
        <w:rPr>
          <w:rFonts w:ascii="Arial" w:hAnsi="Arial" w:cs="Arial"/>
          <w:sz w:val="24"/>
          <w:szCs w:val="24"/>
          <w:lang w:eastAsia="zh-CN"/>
        </w:rPr>
      </w:pPr>
      <w:r>
        <w:rPr>
          <w:rFonts w:hint="eastAsia" w:ascii="Arial" w:hAnsi="Arial" w:cs="Arial"/>
          <w:sz w:val="24"/>
          <w:szCs w:val="24"/>
          <w:lang w:eastAsia="zh-CN"/>
        </w:rPr>
        <w:t>培训时间</w:t>
      </w:r>
    </w:p>
    <w:p>
      <w:pPr>
        <w:pStyle w:val="53"/>
        <w:ind w:left="567" w:firstLine="0" w:firstLineChars="0"/>
        <w:rPr>
          <w:rFonts w:ascii="Arial" w:hAnsi="Arial" w:cs="Arial"/>
          <w:sz w:val="24"/>
          <w:szCs w:val="24"/>
          <w:lang w:eastAsia="zh-CN"/>
        </w:rPr>
      </w:pPr>
      <w:r>
        <w:rPr>
          <w:rFonts w:hint="eastAsia" w:ascii="Arial" w:hAnsi="Arial" w:cs="Arial"/>
          <w:sz w:val="24"/>
          <w:szCs w:val="24"/>
          <w:lang w:eastAsia="zh-CN"/>
        </w:rPr>
        <w:t>双方友好协商。</w:t>
      </w:r>
    </w:p>
    <w:p>
      <w:pPr>
        <w:pStyle w:val="53"/>
        <w:numPr>
          <w:ilvl w:val="0"/>
          <w:numId w:val="16"/>
        </w:numPr>
        <w:ind w:left="0" w:firstLine="567" w:firstLineChars="0"/>
        <w:rPr>
          <w:rFonts w:ascii="Arial" w:hAnsi="Arial" w:cs="Arial"/>
          <w:sz w:val="24"/>
          <w:szCs w:val="24"/>
          <w:lang w:eastAsia="zh-CN"/>
        </w:rPr>
      </w:pPr>
      <w:r>
        <w:rPr>
          <w:rFonts w:hint="eastAsia" w:ascii="Arial" w:hAnsi="Arial" w:cs="Arial"/>
          <w:sz w:val="24"/>
          <w:szCs w:val="24"/>
          <w:lang w:eastAsia="zh-CN"/>
        </w:rPr>
        <w:t>培训内容</w:t>
      </w:r>
    </w:p>
    <w:p>
      <w:pPr>
        <w:pStyle w:val="53"/>
        <w:ind w:left="0" w:firstLine="480"/>
        <w:rPr>
          <w:rFonts w:ascii="Arial" w:hAnsi="Arial" w:cs="Arial"/>
          <w:sz w:val="24"/>
          <w:szCs w:val="24"/>
          <w:highlight w:val="none"/>
          <w:lang w:eastAsia="zh-CN"/>
        </w:rPr>
      </w:pPr>
      <w:r>
        <w:rPr>
          <w:rFonts w:hint="eastAsia" w:ascii="Arial" w:hAnsi="Arial" w:cs="Arial"/>
          <w:sz w:val="24"/>
          <w:szCs w:val="24"/>
          <w:highlight w:val="none"/>
          <w:lang w:eastAsia="zh-CN"/>
        </w:rPr>
        <w:t>企业级中间件认证培训及其他可承诺的相关培训类型，需含高级培训，并提供相应认证证书。投标人须在投标阶段提供可承诺的免费高级培训（含证书）人数以及超出免费人数后的培训报价。</w:t>
      </w:r>
    </w:p>
    <w:p>
      <w:pPr>
        <w:pStyle w:val="53"/>
        <w:numPr>
          <w:ilvl w:val="0"/>
          <w:numId w:val="16"/>
        </w:numPr>
        <w:ind w:left="0" w:firstLine="567" w:firstLineChars="0"/>
        <w:rPr>
          <w:rFonts w:ascii="Arial" w:hAnsi="Arial" w:cs="Arial"/>
          <w:sz w:val="24"/>
          <w:szCs w:val="24"/>
          <w:lang w:eastAsia="zh-CN"/>
        </w:rPr>
      </w:pPr>
      <w:r>
        <w:rPr>
          <w:rFonts w:hint="eastAsia" w:ascii="Arial" w:hAnsi="Arial" w:cs="Arial"/>
          <w:sz w:val="24"/>
          <w:szCs w:val="24"/>
          <w:lang w:eastAsia="zh-CN"/>
        </w:rPr>
        <w:t>培训地点</w:t>
      </w:r>
    </w:p>
    <w:p>
      <w:pPr>
        <w:pStyle w:val="53"/>
        <w:ind w:left="567" w:firstLine="0" w:firstLineChars="0"/>
        <w:rPr>
          <w:rFonts w:ascii="Arial" w:hAnsi="Arial" w:cs="Arial"/>
          <w:sz w:val="24"/>
          <w:szCs w:val="24"/>
          <w:lang w:eastAsia="zh-CN"/>
        </w:rPr>
      </w:pPr>
      <w:r>
        <w:rPr>
          <w:rFonts w:hint="eastAsia" w:ascii="Arial" w:hAnsi="Arial" w:cs="Arial"/>
          <w:sz w:val="24"/>
          <w:szCs w:val="24"/>
          <w:lang w:eastAsia="zh-CN"/>
        </w:rPr>
        <w:t>国内；具体地点双方另行商定。</w:t>
      </w:r>
    </w:p>
    <w:p>
      <w:pPr>
        <w:pStyle w:val="53"/>
        <w:numPr>
          <w:ilvl w:val="0"/>
          <w:numId w:val="16"/>
        </w:numPr>
        <w:ind w:left="0" w:firstLine="567" w:firstLineChars="0"/>
        <w:rPr>
          <w:rFonts w:ascii="Arial" w:hAnsi="Arial" w:cs="Arial"/>
          <w:sz w:val="24"/>
          <w:szCs w:val="24"/>
          <w:lang w:eastAsia="zh-CN"/>
        </w:rPr>
      </w:pPr>
      <w:r>
        <w:rPr>
          <w:rFonts w:hint="eastAsia" w:ascii="Arial" w:hAnsi="Arial" w:cs="Arial"/>
          <w:sz w:val="24"/>
          <w:szCs w:val="24"/>
          <w:lang w:eastAsia="zh-CN"/>
        </w:rPr>
        <w:t>高级培训为必选项，由投标方提供。</w:t>
      </w:r>
    </w:p>
    <w:p>
      <w:pPr>
        <w:pStyle w:val="4"/>
      </w:pPr>
      <w:bookmarkStart w:id="298" w:name="_Toc16238"/>
      <w:bookmarkStart w:id="299" w:name="_Toc13088"/>
      <w:bookmarkStart w:id="300" w:name="_Toc261423884"/>
      <w:bookmarkStart w:id="301" w:name="_Toc271574371"/>
      <w:bookmarkStart w:id="302" w:name="_Toc35246451"/>
      <w:bookmarkStart w:id="303" w:name="_Toc260681523"/>
      <w:bookmarkStart w:id="304" w:name="_Toc261418254"/>
      <w:bookmarkStart w:id="305" w:name="_Toc32483"/>
      <w:bookmarkStart w:id="306" w:name="_Toc24899"/>
      <w:bookmarkStart w:id="307" w:name="_Toc405389343"/>
      <w:bookmarkStart w:id="308" w:name="_Toc28774"/>
      <w:r>
        <w:rPr>
          <w:rFonts w:hint="eastAsia"/>
        </w:rPr>
        <w:t>培训要求</w:t>
      </w:r>
      <w:bookmarkEnd w:id="298"/>
      <w:bookmarkEnd w:id="299"/>
      <w:bookmarkEnd w:id="300"/>
      <w:bookmarkEnd w:id="301"/>
      <w:bookmarkEnd w:id="302"/>
      <w:bookmarkEnd w:id="303"/>
      <w:bookmarkEnd w:id="304"/>
      <w:bookmarkEnd w:id="305"/>
      <w:bookmarkEnd w:id="306"/>
      <w:bookmarkEnd w:id="307"/>
      <w:bookmarkEnd w:id="308"/>
    </w:p>
    <w:p>
      <w:pPr>
        <w:pStyle w:val="53"/>
        <w:numPr>
          <w:ilvl w:val="0"/>
          <w:numId w:val="17"/>
        </w:numPr>
        <w:ind w:left="0" w:firstLine="567" w:firstLineChars="0"/>
        <w:rPr>
          <w:rFonts w:ascii="Arial" w:hAnsi="Arial" w:cs="Arial"/>
          <w:sz w:val="24"/>
          <w:szCs w:val="24"/>
          <w:lang w:eastAsia="zh-CN"/>
        </w:rPr>
      </w:pPr>
      <w:r>
        <w:rPr>
          <w:rFonts w:hint="eastAsia" w:ascii="Arial" w:hAnsi="Arial" w:cs="Arial"/>
          <w:sz w:val="24"/>
          <w:szCs w:val="24"/>
          <w:lang w:eastAsia="zh-CN"/>
        </w:rPr>
        <w:t>培训内容具备足够的广度及深度。</w:t>
      </w:r>
    </w:p>
    <w:p>
      <w:pPr>
        <w:pStyle w:val="53"/>
        <w:numPr>
          <w:ilvl w:val="0"/>
          <w:numId w:val="17"/>
        </w:numPr>
        <w:ind w:left="0" w:firstLine="567" w:firstLineChars="0"/>
        <w:rPr>
          <w:rFonts w:ascii="Arial" w:hAnsi="Arial" w:cs="Arial"/>
          <w:sz w:val="24"/>
          <w:szCs w:val="24"/>
          <w:lang w:eastAsia="zh-CN"/>
        </w:rPr>
      </w:pPr>
      <w:r>
        <w:rPr>
          <w:rFonts w:hint="eastAsia" w:ascii="Arial" w:hAnsi="Arial" w:cs="Arial"/>
          <w:sz w:val="24"/>
          <w:szCs w:val="24"/>
          <w:lang w:eastAsia="zh-CN"/>
        </w:rPr>
        <w:t>投标方提供详细的培训大纲，包括培训目的、培训课程（包括课程详细内容和课时安排）等。培训大纲经招标方审核通过。</w:t>
      </w:r>
    </w:p>
    <w:p>
      <w:pPr>
        <w:pStyle w:val="53"/>
        <w:numPr>
          <w:ilvl w:val="0"/>
          <w:numId w:val="17"/>
        </w:numPr>
        <w:ind w:left="0" w:firstLine="567" w:firstLineChars="0"/>
        <w:rPr>
          <w:rFonts w:ascii="Arial" w:hAnsi="Arial" w:cs="Arial"/>
          <w:sz w:val="24"/>
          <w:szCs w:val="24"/>
          <w:lang w:eastAsia="zh-CN"/>
        </w:rPr>
      </w:pPr>
      <w:r>
        <w:rPr>
          <w:rFonts w:hint="eastAsia" w:ascii="Arial" w:hAnsi="Arial" w:cs="Arial"/>
          <w:sz w:val="24"/>
          <w:szCs w:val="24"/>
          <w:lang w:eastAsia="zh-CN"/>
        </w:rPr>
        <w:t>投标方为所有被培训人员提供必需的培训用品。</w:t>
      </w:r>
    </w:p>
    <w:p>
      <w:pPr>
        <w:pStyle w:val="53"/>
        <w:numPr>
          <w:ilvl w:val="0"/>
          <w:numId w:val="17"/>
        </w:numPr>
        <w:ind w:left="0" w:firstLine="567" w:firstLineChars="0"/>
        <w:rPr>
          <w:rFonts w:ascii="Arial" w:hAnsi="Arial" w:cs="Arial"/>
          <w:sz w:val="24"/>
          <w:szCs w:val="24"/>
          <w:lang w:eastAsia="zh-CN"/>
        </w:rPr>
      </w:pPr>
      <w:r>
        <w:rPr>
          <w:rFonts w:ascii="Arial" w:hAnsi="Arial" w:cs="Arial"/>
          <w:sz w:val="24"/>
          <w:szCs w:val="24"/>
          <w:lang w:eastAsia="zh-CN"/>
        </w:rPr>
        <w:t>主要培训</w:t>
      </w:r>
      <w:r>
        <w:rPr>
          <w:rFonts w:hint="eastAsia" w:ascii="Arial" w:hAnsi="Arial" w:cs="Arial"/>
          <w:sz w:val="24"/>
          <w:szCs w:val="24"/>
          <w:lang w:eastAsia="zh-CN"/>
        </w:rPr>
        <w:t>师</w:t>
      </w:r>
      <w:r>
        <w:rPr>
          <w:rFonts w:ascii="Arial" w:hAnsi="Arial" w:cs="Arial"/>
          <w:sz w:val="24"/>
          <w:szCs w:val="24"/>
          <w:lang w:eastAsia="zh-CN"/>
        </w:rPr>
        <w:t>具有</w:t>
      </w:r>
      <w:r>
        <w:rPr>
          <w:rFonts w:hint="eastAsia" w:ascii="Arial" w:hAnsi="Arial" w:cs="Arial"/>
          <w:sz w:val="24"/>
          <w:szCs w:val="24"/>
          <w:lang w:eastAsia="zh-CN"/>
        </w:rPr>
        <w:t>相关</w:t>
      </w:r>
      <w:r>
        <w:rPr>
          <w:rFonts w:ascii="Arial" w:hAnsi="Arial" w:cs="Arial"/>
          <w:sz w:val="24"/>
          <w:szCs w:val="24"/>
          <w:lang w:eastAsia="zh-CN"/>
        </w:rPr>
        <w:t>实际工作经验</w:t>
      </w:r>
      <w:r>
        <w:rPr>
          <w:rFonts w:hint="eastAsia" w:ascii="Arial" w:hAnsi="Arial" w:cs="Arial"/>
          <w:sz w:val="24"/>
          <w:szCs w:val="24"/>
          <w:lang w:eastAsia="zh-CN"/>
        </w:rPr>
        <w:t>或</w:t>
      </w:r>
      <w:r>
        <w:rPr>
          <w:rFonts w:ascii="Arial" w:hAnsi="Arial" w:cs="Arial"/>
          <w:sz w:val="24"/>
          <w:szCs w:val="24"/>
          <w:lang w:eastAsia="zh-CN"/>
        </w:rPr>
        <w:t>教学经验。</w:t>
      </w:r>
    </w:p>
    <w:p>
      <w:pPr>
        <w:pStyle w:val="53"/>
        <w:numPr>
          <w:ilvl w:val="0"/>
          <w:numId w:val="17"/>
        </w:numPr>
        <w:ind w:left="0" w:firstLine="567" w:firstLineChars="0"/>
        <w:rPr>
          <w:rFonts w:ascii="Arial" w:hAnsi="Arial" w:cs="Arial"/>
          <w:sz w:val="24"/>
          <w:szCs w:val="24"/>
          <w:lang w:eastAsia="zh-CN"/>
        </w:rPr>
      </w:pPr>
      <w:r>
        <w:rPr>
          <w:rFonts w:hint="eastAsia" w:ascii="Arial" w:hAnsi="Arial" w:cs="Arial"/>
          <w:sz w:val="24"/>
          <w:szCs w:val="24"/>
          <w:lang w:eastAsia="zh-CN"/>
        </w:rPr>
        <w:t>投标方随投标文件提交培训师简历。格式如下表所示：</w:t>
      </w:r>
    </w:p>
    <w:tbl>
      <w:tblPr>
        <w:tblStyle w:val="32"/>
        <w:tblW w:w="8221" w:type="dxa"/>
        <w:tblInd w:w="534"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2126"/>
        <w:gridCol w:w="1843"/>
        <w:gridCol w:w="2268"/>
        <w:gridCol w:w="1984"/>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2126" w:type="dxa"/>
            <w:tcBorders>
              <w:top w:val="single" w:color="auto" w:sz="4" w:space="0"/>
              <w:bottom w:val="single" w:color="auto" w:sz="4" w:space="0"/>
              <w:right w:val="single" w:color="auto" w:sz="4" w:space="0"/>
            </w:tcBorders>
            <w:shd w:val="clear" w:color="auto" w:fill="FFFFFF"/>
            <w:vAlign w:val="center"/>
          </w:tcPr>
          <w:p>
            <w:pPr>
              <w:widowControl/>
              <w:rPr>
                <w:rFonts w:ascii="宋体" w:hAnsi="宋体" w:cs="宋体"/>
                <w:szCs w:val="21"/>
              </w:rPr>
            </w:pPr>
            <w:r>
              <w:rPr>
                <w:rFonts w:hint="eastAsia"/>
                <w:szCs w:val="21"/>
              </w:rPr>
              <w:t>序号</w:t>
            </w:r>
          </w:p>
        </w:tc>
        <w:tc>
          <w:tcPr>
            <w:tcW w:w="184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rPr>
                <w:rFonts w:ascii="宋体" w:hAnsi="宋体" w:cs="宋体"/>
                <w:szCs w:val="21"/>
              </w:rPr>
            </w:pPr>
          </w:p>
        </w:tc>
        <w:tc>
          <w:tcPr>
            <w:tcW w:w="226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rPr>
                <w:rFonts w:ascii="Arial" w:hAnsi="Arial" w:cs="Arial"/>
                <w:szCs w:val="21"/>
              </w:rPr>
            </w:pPr>
            <w:r>
              <w:rPr>
                <w:rFonts w:hint="eastAsia"/>
                <w:szCs w:val="21"/>
              </w:rPr>
              <w:t>姓名</w:t>
            </w:r>
          </w:p>
        </w:tc>
        <w:tc>
          <w:tcPr>
            <w:tcW w:w="1984" w:type="dxa"/>
            <w:tcBorders>
              <w:top w:val="single" w:color="auto" w:sz="4" w:space="0"/>
              <w:left w:val="single" w:color="auto" w:sz="4" w:space="0"/>
              <w:bottom w:val="single" w:color="auto" w:sz="4" w:space="0"/>
            </w:tcBorders>
            <w:shd w:val="clear" w:color="auto" w:fill="FFFFFF"/>
            <w:vAlign w:val="center"/>
          </w:tcPr>
          <w:p>
            <w:pPr>
              <w:widowControl/>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2126" w:type="dxa"/>
            <w:tcBorders>
              <w:top w:val="single" w:color="auto" w:sz="4" w:space="0"/>
              <w:bottom w:val="single" w:color="auto" w:sz="4" w:space="0"/>
              <w:right w:val="single" w:color="auto" w:sz="4" w:space="0"/>
            </w:tcBorders>
            <w:shd w:val="clear" w:color="auto" w:fill="FFFFFF"/>
            <w:vAlign w:val="center"/>
          </w:tcPr>
          <w:p>
            <w:pPr>
              <w:widowControl/>
              <w:rPr>
                <w:rFonts w:ascii="宋体" w:hAnsi="宋体" w:cs="宋体"/>
                <w:szCs w:val="21"/>
              </w:rPr>
            </w:pPr>
            <w:r>
              <w:rPr>
                <w:rFonts w:hint="eastAsia"/>
                <w:szCs w:val="21"/>
              </w:rPr>
              <w:t>相关工作年限</w:t>
            </w:r>
          </w:p>
        </w:tc>
        <w:tc>
          <w:tcPr>
            <w:tcW w:w="184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rPr>
                <w:rFonts w:ascii="宋体" w:hAnsi="宋体" w:cs="宋体"/>
                <w:szCs w:val="21"/>
              </w:rPr>
            </w:pPr>
          </w:p>
        </w:tc>
        <w:tc>
          <w:tcPr>
            <w:tcW w:w="226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rPr>
                <w:rFonts w:ascii="Arial" w:hAnsi="Arial" w:cs="Arial"/>
                <w:szCs w:val="21"/>
              </w:rPr>
            </w:pPr>
            <w:r>
              <w:rPr>
                <w:rFonts w:hint="eastAsia"/>
                <w:szCs w:val="21"/>
              </w:rPr>
              <w:t>毕业院校</w:t>
            </w:r>
          </w:p>
        </w:tc>
        <w:tc>
          <w:tcPr>
            <w:tcW w:w="1984" w:type="dxa"/>
            <w:tcBorders>
              <w:top w:val="single" w:color="auto" w:sz="4" w:space="0"/>
              <w:left w:val="single" w:color="auto" w:sz="4" w:space="0"/>
              <w:bottom w:val="single" w:color="auto" w:sz="4" w:space="0"/>
            </w:tcBorders>
            <w:shd w:val="clear" w:color="auto" w:fill="FFFFFF"/>
            <w:vAlign w:val="center"/>
          </w:tcPr>
          <w:p>
            <w:pPr>
              <w:widowControl/>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2126" w:type="dxa"/>
            <w:tcBorders>
              <w:top w:val="single" w:color="auto" w:sz="4" w:space="0"/>
              <w:bottom w:val="single" w:color="auto" w:sz="4" w:space="0"/>
              <w:right w:val="single" w:color="auto" w:sz="4" w:space="0"/>
            </w:tcBorders>
            <w:shd w:val="clear" w:color="auto" w:fill="FFFFFF"/>
            <w:vAlign w:val="center"/>
          </w:tcPr>
          <w:p>
            <w:pPr>
              <w:widowControl/>
              <w:rPr>
                <w:szCs w:val="21"/>
              </w:rPr>
            </w:pPr>
            <w:r>
              <w:rPr>
                <w:rFonts w:hint="eastAsia"/>
                <w:szCs w:val="21"/>
              </w:rPr>
              <w:t>专业</w:t>
            </w:r>
          </w:p>
        </w:tc>
        <w:tc>
          <w:tcPr>
            <w:tcW w:w="184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rPr>
                <w:rFonts w:ascii="宋体" w:hAnsi="宋体" w:cs="宋体"/>
                <w:szCs w:val="21"/>
              </w:rPr>
            </w:pPr>
          </w:p>
        </w:tc>
        <w:tc>
          <w:tcPr>
            <w:tcW w:w="226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rPr>
                <w:szCs w:val="21"/>
              </w:rPr>
            </w:pPr>
            <w:r>
              <w:rPr>
                <w:rFonts w:hint="eastAsia"/>
                <w:szCs w:val="21"/>
              </w:rPr>
              <w:t>学历</w:t>
            </w:r>
          </w:p>
        </w:tc>
        <w:tc>
          <w:tcPr>
            <w:tcW w:w="1984" w:type="dxa"/>
            <w:tcBorders>
              <w:top w:val="single" w:color="auto" w:sz="4" w:space="0"/>
              <w:left w:val="single" w:color="auto" w:sz="4" w:space="0"/>
              <w:bottom w:val="single" w:color="auto" w:sz="4" w:space="0"/>
            </w:tcBorders>
            <w:shd w:val="clear" w:color="auto" w:fill="FFFFFF"/>
            <w:vAlign w:val="center"/>
          </w:tcPr>
          <w:p>
            <w:pPr>
              <w:widowControl/>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3969" w:type="dxa"/>
            <w:gridSpan w:val="2"/>
            <w:tcBorders>
              <w:top w:val="single" w:color="auto" w:sz="4" w:space="0"/>
              <w:bottom w:val="single" w:color="auto" w:sz="4" w:space="0"/>
              <w:right w:val="single" w:color="auto" w:sz="4" w:space="0"/>
            </w:tcBorders>
            <w:shd w:val="clear" w:color="auto" w:fill="FFFFFF"/>
            <w:vAlign w:val="center"/>
          </w:tcPr>
          <w:p>
            <w:pPr>
              <w:widowControl/>
              <w:rPr>
                <w:rFonts w:ascii="宋体" w:hAnsi="宋体" w:cs="宋体"/>
                <w:szCs w:val="21"/>
              </w:rPr>
            </w:pPr>
            <w:r>
              <w:rPr>
                <w:rFonts w:hint="eastAsia"/>
                <w:szCs w:val="21"/>
              </w:rPr>
              <w:t>在本项目承担的角色</w:t>
            </w:r>
          </w:p>
        </w:tc>
        <w:tc>
          <w:tcPr>
            <w:tcW w:w="4252" w:type="dxa"/>
            <w:gridSpan w:val="2"/>
            <w:tcBorders>
              <w:top w:val="single" w:color="auto" w:sz="4" w:space="0"/>
              <w:left w:val="single" w:color="auto" w:sz="4" w:space="0"/>
              <w:bottom w:val="single" w:color="auto" w:sz="4" w:space="0"/>
            </w:tcBorders>
            <w:shd w:val="clear" w:color="auto" w:fill="FFFFFF"/>
            <w:vAlign w:val="center"/>
          </w:tcPr>
          <w:p>
            <w:pPr>
              <w:widowControl/>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3969" w:type="dxa"/>
            <w:gridSpan w:val="2"/>
            <w:tcBorders>
              <w:top w:val="single" w:color="auto" w:sz="4" w:space="0"/>
              <w:bottom w:val="single" w:color="auto" w:sz="4" w:space="0"/>
              <w:right w:val="single" w:color="auto" w:sz="4" w:space="0"/>
            </w:tcBorders>
            <w:shd w:val="clear" w:color="auto" w:fill="FFFFFF"/>
            <w:vAlign w:val="center"/>
          </w:tcPr>
          <w:p>
            <w:pPr>
              <w:widowControl/>
              <w:rPr>
                <w:szCs w:val="21"/>
              </w:rPr>
            </w:pPr>
            <w:r>
              <w:rPr>
                <w:rFonts w:hint="eastAsia"/>
                <w:szCs w:val="21"/>
              </w:rPr>
              <w:t>相关资质证书</w:t>
            </w:r>
          </w:p>
        </w:tc>
        <w:tc>
          <w:tcPr>
            <w:tcW w:w="4252" w:type="dxa"/>
            <w:gridSpan w:val="2"/>
            <w:tcBorders>
              <w:top w:val="single" w:color="auto" w:sz="4" w:space="0"/>
              <w:left w:val="single" w:color="auto" w:sz="4" w:space="0"/>
              <w:bottom w:val="single" w:color="auto" w:sz="4" w:space="0"/>
            </w:tcBorders>
            <w:shd w:val="clear" w:color="auto" w:fill="FFFFFF"/>
            <w:vAlign w:val="center"/>
          </w:tcPr>
          <w:p>
            <w:pPr>
              <w:widowControl/>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3969" w:type="dxa"/>
            <w:gridSpan w:val="2"/>
            <w:tcBorders>
              <w:top w:val="single" w:color="auto" w:sz="4" w:space="0"/>
              <w:bottom w:val="single" w:color="auto" w:sz="4" w:space="0"/>
              <w:right w:val="single" w:color="auto" w:sz="4" w:space="0"/>
            </w:tcBorders>
            <w:shd w:val="clear" w:color="auto" w:fill="FFFFFF"/>
            <w:vAlign w:val="center"/>
          </w:tcPr>
          <w:p>
            <w:pPr>
              <w:widowControl/>
              <w:rPr>
                <w:szCs w:val="21"/>
              </w:rPr>
            </w:pPr>
            <w:r>
              <w:rPr>
                <w:rFonts w:hint="eastAsia"/>
                <w:szCs w:val="21"/>
              </w:rPr>
              <w:t>以往参与项目情况</w:t>
            </w:r>
          </w:p>
        </w:tc>
        <w:tc>
          <w:tcPr>
            <w:tcW w:w="4252" w:type="dxa"/>
            <w:gridSpan w:val="2"/>
            <w:tcBorders>
              <w:top w:val="single" w:color="auto" w:sz="4" w:space="0"/>
              <w:left w:val="single" w:color="auto" w:sz="4" w:space="0"/>
              <w:bottom w:val="single" w:color="auto" w:sz="4" w:space="0"/>
            </w:tcBorders>
            <w:shd w:val="clear" w:color="auto" w:fill="FFFFFF"/>
            <w:vAlign w:val="center"/>
          </w:tcPr>
          <w:p>
            <w:pPr>
              <w:widowControl/>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1" w:hRule="atLeast"/>
        </w:trPr>
        <w:tc>
          <w:tcPr>
            <w:tcW w:w="3969" w:type="dxa"/>
            <w:gridSpan w:val="2"/>
            <w:tcBorders>
              <w:top w:val="single" w:color="auto" w:sz="4" w:space="0"/>
              <w:bottom w:val="single" w:color="auto" w:sz="4" w:space="0"/>
              <w:right w:val="single" w:color="auto" w:sz="4" w:space="0"/>
            </w:tcBorders>
            <w:shd w:val="clear" w:color="auto" w:fill="FFFFFF"/>
            <w:vAlign w:val="center"/>
          </w:tcPr>
          <w:p>
            <w:pPr>
              <w:widowControl/>
              <w:rPr>
                <w:szCs w:val="21"/>
              </w:rPr>
            </w:pPr>
            <w:r>
              <w:rPr>
                <w:rFonts w:hint="eastAsia"/>
                <w:szCs w:val="21"/>
              </w:rPr>
              <w:t>其他说明</w:t>
            </w:r>
          </w:p>
        </w:tc>
        <w:tc>
          <w:tcPr>
            <w:tcW w:w="4252" w:type="dxa"/>
            <w:gridSpan w:val="2"/>
            <w:tcBorders>
              <w:top w:val="single" w:color="auto" w:sz="4" w:space="0"/>
              <w:left w:val="single" w:color="auto" w:sz="4" w:space="0"/>
              <w:bottom w:val="single" w:color="auto" w:sz="4" w:space="0"/>
            </w:tcBorders>
            <w:shd w:val="clear" w:color="auto" w:fill="FFFFFF"/>
            <w:vAlign w:val="center"/>
          </w:tcPr>
          <w:p>
            <w:pPr>
              <w:widowControl/>
              <w:rPr>
                <w:rFonts w:ascii="Arial" w:hAnsi="Arial" w:cs="Arial"/>
                <w:szCs w:val="21"/>
              </w:rPr>
            </w:pPr>
          </w:p>
        </w:tc>
      </w:tr>
    </w:tbl>
    <w:p>
      <w:pPr>
        <w:pStyle w:val="53"/>
        <w:numPr>
          <w:ilvl w:val="0"/>
          <w:numId w:val="17"/>
        </w:numPr>
        <w:ind w:left="0" w:firstLine="567" w:firstLineChars="0"/>
        <w:rPr>
          <w:rFonts w:ascii="Arial" w:hAnsi="Arial" w:cs="Arial"/>
          <w:sz w:val="24"/>
          <w:szCs w:val="24"/>
          <w:lang w:eastAsia="zh-CN"/>
        </w:rPr>
      </w:pPr>
      <w:r>
        <w:rPr>
          <w:rFonts w:hint="eastAsia" w:ascii="Arial" w:hAnsi="Arial" w:cs="Arial"/>
          <w:sz w:val="24"/>
          <w:szCs w:val="24"/>
          <w:lang w:eastAsia="zh-CN"/>
        </w:rPr>
        <w:t>如投标方对双方协商确定的培训地点、时间和培训师等项目提出变更，提前以书面形式向招标方提出请求，并取得招标方同意。由此产生的全部费用由投标方承担。</w:t>
      </w:r>
    </w:p>
    <w:p>
      <w:pPr>
        <w:spacing w:before="100" w:after="100" w:line="360" w:lineRule="auto"/>
        <w:ind w:firstLine="420"/>
        <w:rPr>
          <w:rFonts w:ascii="宋体"/>
          <w:b/>
          <w:sz w:val="24"/>
          <w:u w:val="single"/>
        </w:rPr>
      </w:pPr>
    </w:p>
    <w:p>
      <w:pPr>
        <w:pStyle w:val="2"/>
      </w:pPr>
      <w:bookmarkStart w:id="309" w:name="_Toc178435148"/>
      <w:bookmarkStart w:id="310" w:name="_Toc178435287"/>
      <w:bookmarkStart w:id="311" w:name="_Toc181697784"/>
      <w:r>
        <w:br w:type="page"/>
      </w:r>
      <w:bookmarkEnd w:id="309"/>
      <w:bookmarkEnd w:id="310"/>
      <w:bookmarkEnd w:id="311"/>
      <w:bookmarkStart w:id="312" w:name="_Toc22597"/>
      <w:bookmarkStart w:id="313" w:name="_Toc9808"/>
      <w:bookmarkStart w:id="314" w:name="_Toc19764"/>
      <w:bookmarkStart w:id="315" w:name="_Toc19199"/>
      <w:bookmarkStart w:id="316" w:name="_Toc23948"/>
      <w:bookmarkStart w:id="317" w:name="_Toc277944717"/>
      <w:bookmarkStart w:id="318" w:name="_Toc7478"/>
      <w:bookmarkStart w:id="319" w:name="_Toc12168"/>
      <w:bookmarkStart w:id="320" w:name="_Toc17396"/>
      <w:bookmarkStart w:id="321" w:name="_Toc405389344"/>
      <w:bookmarkStart w:id="322" w:name="_Toc18090"/>
      <w:bookmarkStart w:id="323" w:name="_Toc35246452"/>
      <w:bookmarkStart w:id="324" w:name="_Toc7401"/>
      <w:r>
        <w:rPr>
          <w:rFonts w:hint="eastAsia"/>
        </w:rPr>
        <w:t>售后服务</w:t>
      </w:r>
      <w:bookmarkEnd w:id="312"/>
      <w:bookmarkEnd w:id="313"/>
      <w:bookmarkEnd w:id="314"/>
      <w:bookmarkEnd w:id="315"/>
      <w:bookmarkEnd w:id="316"/>
      <w:bookmarkEnd w:id="317"/>
      <w:bookmarkEnd w:id="318"/>
      <w:bookmarkEnd w:id="319"/>
      <w:bookmarkEnd w:id="320"/>
      <w:bookmarkEnd w:id="321"/>
      <w:bookmarkEnd w:id="322"/>
      <w:bookmarkEnd w:id="323"/>
      <w:bookmarkEnd w:id="324"/>
    </w:p>
    <w:p>
      <w:pPr>
        <w:pStyle w:val="3"/>
      </w:pPr>
      <w:bookmarkStart w:id="325" w:name="_Toc27509"/>
      <w:bookmarkStart w:id="326" w:name="_Toc9959"/>
      <w:bookmarkStart w:id="327" w:name="_Toc279069212"/>
      <w:bookmarkStart w:id="328" w:name="_Toc18350"/>
      <w:bookmarkStart w:id="329" w:name="_Toc21785"/>
      <w:bookmarkStart w:id="330" w:name="_Toc35246453"/>
      <w:bookmarkStart w:id="331" w:name="_Toc1276"/>
      <w:bookmarkStart w:id="332" w:name="_Toc320"/>
      <w:bookmarkStart w:id="333" w:name="_Toc15987"/>
      <w:bookmarkStart w:id="334" w:name="_Toc405389345"/>
      <w:bookmarkStart w:id="335" w:name="_Toc13709"/>
      <w:bookmarkStart w:id="336" w:name="_Toc271574373"/>
      <w:bookmarkStart w:id="337" w:name="_Toc261418261"/>
      <w:bookmarkStart w:id="338" w:name="_Toc261423890"/>
      <w:r>
        <w:rPr>
          <w:rFonts w:hint="eastAsia"/>
        </w:rPr>
        <w:t>质保期内技术支持和服务</w:t>
      </w:r>
      <w:bookmarkEnd w:id="325"/>
      <w:bookmarkEnd w:id="326"/>
      <w:bookmarkEnd w:id="327"/>
      <w:bookmarkEnd w:id="328"/>
      <w:bookmarkEnd w:id="329"/>
      <w:bookmarkEnd w:id="330"/>
      <w:bookmarkEnd w:id="331"/>
      <w:bookmarkEnd w:id="332"/>
      <w:bookmarkEnd w:id="333"/>
      <w:bookmarkEnd w:id="334"/>
      <w:bookmarkEnd w:id="335"/>
    </w:p>
    <w:p>
      <w:pPr>
        <w:spacing w:before="100" w:after="100" w:line="360" w:lineRule="auto"/>
        <w:ind w:firstLine="420"/>
        <w:rPr>
          <w:lang w:val="zh-CN"/>
        </w:rPr>
      </w:pPr>
      <w:r>
        <w:rPr>
          <w:rFonts w:hint="eastAsia" w:ascii="Arial" w:hAnsi="Arial" w:cs="Arial"/>
          <w:sz w:val="24"/>
        </w:rPr>
        <w:t>质保期时长</w:t>
      </w:r>
      <w:r>
        <w:rPr>
          <w:rFonts w:ascii="Arial" w:hAnsi="Arial" w:cs="Arial"/>
          <w:sz w:val="24"/>
        </w:rPr>
        <w:t>1</w:t>
      </w:r>
      <w:r>
        <w:rPr>
          <w:rFonts w:hint="eastAsia" w:ascii="Arial" w:hAnsi="Arial" w:cs="Arial"/>
          <w:sz w:val="24"/>
        </w:rPr>
        <w:t>年；投标方为第一响应方，在质保期开始时向招标方提供联系方式。</w:t>
      </w:r>
    </w:p>
    <w:p>
      <w:pPr>
        <w:spacing w:before="100" w:after="100" w:line="360" w:lineRule="auto"/>
        <w:ind w:firstLine="420"/>
        <w:rPr>
          <w:rFonts w:ascii="Arial" w:hAnsi="Arial" w:cs="Arial"/>
          <w:sz w:val="24"/>
        </w:rPr>
      </w:pPr>
      <w:r>
        <w:rPr>
          <w:rFonts w:hint="eastAsia" w:ascii="Arial" w:hAnsi="Arial" w:cs="Arial"/>
          <w:sz w:val="24"/>
        </w:rPr>
        <w:t>投标方为合同产品提供原厂标准服务、基本集成服务和高级现场服务：</w:t>
      </w:r>
    </w:p>
    <w:p>
      <w:pPr>
        <w:pStyle w:val="53"/>
        <w:numPr>
          <w:ilvl w:val="0"/>
          <w:numId w:val="18"/>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原厂标准服务包括但不限于：</w:t>
      </w:r>
    </w:p>
    <w:p>
      <w:pPr>
        <w:pStyle w:val="53"/>
        <w:spacing w:before="0" w:after="0"/>
        <w:ind w:firstLineChars="0"/>
        <w:rPr>
          <w:rFonts w:ascii="Arial" w:hAnsi="Arial" w:cs="Arial"/>
          <w:sz w:val="24"/>
          <w:szCs w:val="24"/>
          <w:lang w:eastAsia="zh-CN"/>
        </w:rPr>
      </w:pPr>
      <w:r>
        <w:rPr>
          <w:rFonts w:hint="eastAsia" w:ascii="Arial" w:hAnsi="Arial" w:cs="Arial"/>
          <w:sz w:val="24"/>
          <w:szCs w:val="24"/>
          <w:lang w:eastAsia="zh-CN"/>
        </w:rPr>
        <w:t>（1）软件升级服务：提供相关软件补丁包和具有新增功能的软件升级补丁包；</w:t>
      </w:r>
    </w:p>
    <w:p>
      <w:pPr>
        <w:pStyle w:val="53"/>
        <w:spacing w:before="0" w:after="0"/>
        <w:ind w:firstLineChars="0"/>
        <w:rPr>
          <w:rFonts w:ascii="Arial" w:hAnsi="Arial" w:cs="Arial"/>
          <w:sz w:val="24"/>
          <w:szCs w:val="24"/>
          <w:lang w:eastAsia="zh-CN"/>
        </w:rPr>
      </w:pPr>
      <w:r>
        <w:rPr>
          <w:rFonts w:hint="eastAsia" w:ascii="Arial" w:hAnsi="Arial" w:cs="Arial"/>
          <w:sz w:val="24"/>
          <w:szCs w:val="24"/>
          <w:lang w:eastAsia="zh-CN"/>
        </w:rPr>
        <w:t>（2）产品技术支持：提供本土化的7*24小时热线支持服务，邮件服务，WEB网站的服务请求提交，后台知识库的访问，技术文档的查阅，各类bug查询，相关补丁集和升级包的免费下载等等；</w:t>
      </w:r>
    </w:p>
    <w:p>
      <w:pPr>
        <w:pStyle w:val="53"/>
        <w:spacing w:before="0" w:after="0"/>
        <w:ind w:firstLineChars="0"/>
        <w:rPr>
          <w:rFonts w:ascii="Arial" w:hAnsi="Arial" w:cs="Arial"/>
          <w:sz w:val="24"/>
          <w:szCs w:val="24"/>
          <w:lang w:eastAsia="zh-CN"/>
        </w:rPr>
      </w:pPr>
      <w:r>
        <w:rPr>
          <w:rFonts w:hint="eastAsia" w:ascii="Arial" w:hAnsi="Arial" w:cs="Arial"/>
          <w:sz w:val="24"/>
          <w:szCs w:val="24"/>
          <w:lang w:eastAsia="zh-CN"/>
        </w:rPr>
        <w:t>（3）提供合同产品相关的新技术的日常技术咨询服务；</w:t>
      </w:r>
    </w:p>
    <w:p>
      <w:pPr>
        <w:pStyle w:val="53"/>
        <w:spacing w:before="0" w:after="0"/>
        <w:ind w:firstLineChars="0"/>
        <w:rPr>
          <w:rFonts w:ascii="Arial" w:hAnsi="Arial" w:cs="Arial"/>
          <w:sz w:val="24"/>
          <w:szCs w:val="24"/>
          <w:lang w:eastAsia="zh-CN"/>
        </w:rPr>
      </w:pPr>
      <w:r>
        <w:rPr>
          <w:rFonts w:hint="eastAsia" w:ascii="Arial" w:hAnsi="Arial" w:cs="Arial"/>
          <w:sz w:val="24"/>
          <w:szCs w:val="24"/>
          <w:lang w:eastAsia="zh-CN"/>
        </w:rPr>
        <w:t>（4）产品所包含的其他服务内容；</w:t>
      </w:r>
    </w:p>
    <w:p>
      <w:pPr>
        <w:pStyle w:val="53"/>
        <w:numPr>
          <w:ilvl w:val="0"/>
          <w:numId w:val="18"/>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基本集成服务包括但不限于：</w:t>
      </w:r>
    </w:p>
    <w:p>
      <w:pPr>
        <w:pStyle w:val="53"/>
        <w:spacing w:before="0" w:after="0"/>
        <w:ind w:firstLineChars="0"/>
        <w:rPr>
          <w:rFonts w:ascii="Arial" w:hAnsi="Arial" w:cs="Arial"/>
          <w:sz w:val="24"/>
          <w:szCs w:val="24"/>
          <w:lang w:eastAsia="zh-CN"/>
        </w:rPr>
      </w:pPr>
      <w:r>
        <w:rPr>
          <w:rFonts w:hint="eastAsia" w:ascii="Arial" w:hAnsi="Arial" w:cs="Arial"/>
          <w:sz w:val="24"/>
          <w:szCs w:val="24"/>
          <w:lang w:eastAsia="zh-CN"/>
        </w:rPr>
        <w:t>（1）提供7*24现场技术人员相应服务（技术人员通过原厂商专业资格认证），为系统实际用户提供从系统设计阶段起的技术咨询和技术指导，在开发阶段配合用户进行系统调试以及涉及本次招标标的物的新增功能迭代。当系统发生故障时，对问题进行及时的处理和故障排除。在进行故障处理时提供详细的故障处理方案，该方案经招标方评审通过。故障处理方案针对不同故障等级分别制定，故障等级划分包括但不限于：</w:t>
      </w:r>
    </w:p>
    <w:p>
      <w:pPr>
        <w:pStyle w:val="53"/>
        <w:spacing w:before="0" w:after="0"/>
        <w:ind w:left="840" w:firstLineChars="0"/>
        <w:rPr>
          <w:rFonts w:ascii="Arial" w:hAnsi="Arial" w:cs="Arial"/>
          <w:sz w:val="24"/>
          <w:szCs w:val="24"/>
          <w:lang w:eastAsia="zh-CN"/>
        </w:rPr>
      </w:pPr>
      <w:r>
        <w:rPr>
          <w:rFonts w:hint="eastAsia" w:ascii="Arial" w:hAnsi="Arial" w:cs="Arial"/>
          <w:sz w:val="24"/>
          <w:szCs w:val="24"/>
          <w:lang w:eastAsia="zh-CN"/>
        </w:rPr>
        <w:t>a、重大故障：由于合同产品原因造成系统瘫痪或对大量用户的服务无法正常进行。在重大故障发生时，在</w:t>
      </w:r>
      <w:r>
        <w:rPr>
          <w:rFonts w:ascii="Arial" w:hAnsi="Arial" w:cs="Arial"/>
          <w:sz w:val="24"/>
          <w:szCs w:val="24"/>
          <w:lang w:eastAsia="zh-CN"/>
        </w:rPr>
        <w:t>10</w:t>
      </w:r>
      <w:r>
        <w:rPr>
          <w:rFonts w:hint="eastAsia" w:ascii="Arial" w:hAnsi="Arial" w:cs="Arial"/>
          <w:sz w:val="24"/>
          <w:szCs w:val="24"/>
          <w:lang w:eastAsia="zh-CN"/>
        </w:rPr>
        <w:t>分钟内响应，0.5小时之内到达现场；</w:t>
      </w:r>
    </w:p>
    <w:p>
      <w:pPr>
        <w:pStyle w:val="53"/>
        <w:spacing w:before="0" w:after="0"/>
        <w:ind w:left="840" w:firstLineChars="0"/>
        <w:rPr>
          <w:rFonts w:ascii="Arial" w:hAnsi="Arial" w:cs="Arial"/>
          <w:sz w:val="24"/>
          <w:szCs w:val="24"/>
          <w:lang w:eastAsia="zh-CN"/>
        </w:rPr>
      </w:pPr>
      <w:r>
        <w:rPr>
          <w:rFonts w:hint="eastAsia" w:ascii="Arial" w:hAnsi="Arial" w:cs="Arial"/>
          <w:sz w:val="24"/>
          <w:szCs w:val="24"/>
          <w:lang w:eastAsia="zh-CN"/>
        </w:rPr>
        <w:t>b、严重故障：由于合同产品原因导致系统部分功能丧失或对部分用户的服务无法正常进行。或者该故障对系统存在重大隐患。在严重故障发生时，在</w:t>
      </w:r>
      <w:r>
        <w:rPr>
          <w:rFonts w:ascii="Arial" w:hAnsi="Arial" w:cs="Arial"/>
          <w:sz w:val="24"/>
          <w:szCs w:val="24"/>
          <w:lang w:eastAsia="zh-CN"/>
        </w:rPr>
        <w:t>30</w:t>
      </w:r>
      <w:r>
        <w:rPr>
          <w:rFonts w:hint="eastAsia" w:ascii="Arial" w:hAnsi="Arial" w:cs="Arial"/>
          <w:sz w:val="24"/>
          <w:szCs w:val="24"/>
          <w:lang w:eastAsia="zh-CN"/>
        </w:rPr>
        <w:t>分钟内响应，1小时之内到达现场；</w:t>
      </w:r>
    </w:p>
    <w:p>
      <w:pPr>
        <w:pStyle w:val="53"/>
        <w:spacing w:before="0" w:after="0"/>
        <w:ind w:left="840" w:firstLineChars="0"/>
        <w:rPr>
          <w:rFonts w:ascii="Arial" w:hAnsi="Arial" w:cs="Arial"/>
          <w:sz w:val="24"/>
          <w:szCs w:val="24"/>
          <w:lang w:eastAsia="zh-CN"/>
        </w:rPr>
      </w:pPr>
      <w:r>
        <w:rPr>
          <w:rFonts w:hint="eastAsia" w:ascii="Arial" w:hAnsi="Arial" w:cs="Arial"/>
          <w:sz w:val="24"/>
          <w:szCs w:val="24"/>
          <w:lang w:eastAsia="zh-CN"/>
        </w:rPr>
        <w:t>c、一般故障：合同产品故障基本不影响业务。在一般故障发生时，在</w:t>
      </w:r>
      <w:r>
        <w:rPr>
          <w:rFonts w:ascii="Arial" w:hAnsi="Arial" w:cs="Arial"/>
          <w:sz w:val="24"/>
          <w:szCs w:val="24"/>
          <w:lang w:eastAsia="zh-CN"/>
        </w:rPr>
        <w:t>2</w:t>
      </w:r>
      <w:r>
        <w:rPr>
          <w:rFonts w:hint="eastAsia" w:ascii="Arial" w:hAnsi="Arial" w:cs="Arial"/>
          <w:sz w:val="24"/>
          <w:szCs w:val="24"/>
          <w:lang w:eastAsia="zh-CN"/>
        </w:rPr>
        <w:t>小时内响应，8小时内到达现场。</w:t>
      </w:r>
    </w:p>
    <w:p>
      <w:pPr>
        <w:pStyle w:val="53"/>
        <w:spacing w:before="0" w:after="0"/>
        <w:ind w:firstLineChars="0"/>
        <w:rPr>
          <w:rFonts w:ascii="Arial" w:hAnsi="Arial" w:cs="Arial"/>
          <w:sz w:val="24"/>
          <w:szCs w:val="24"/>
          <w:lang w:eastAsia="zh-CN"/>
        </w:rPr>
      </w:pPr>
      <w:r>
        <w:rPr>
          <w:rFonts w:hint="eastAsia" w:ascii="Arial" w:hAnsi="Arial" w:cs="Arial"/>
          <w:sz w:val="24"/>
          <w:szCs w:val="24"/>
          <w:lang w:eastAsia="zh-CN"/>
        </w:rPr>
        <w:t>（2）协助招标方提供项目前期其协调、系统规划设计、项目管理等工作；</w:t>
      </w:r>
    </w:p>
    <w:p>
      <w:pPr>
        <w:pStyle w:val="53"/>
        <w:spacing w:before="0" w:after="0"/>
        <w:ind w:firstLineChars="0"/>
        <w:rPr>
          <w:rFonts w:ascii="Arial" w:hAnsi="Arial" w:cs="Arial"/>
          <w:sz w:val="24"/>
          <w:szCs w:val="24"/>
          <w:lang w:eastAsia="zh-CN"/>
        </w:rPr>
      </w:pPr>
      <w:r>
        <w:rPr>
          <w:rFonts w:hint="eastAsia" w:ascii="Arial" w:hAnsi="Arial" w:cs="Arial"/>
          <w:sz w:val="24"/>
          <w:szCs w:val="24"/>
          <w:lang w:eastAsia="zh-CN"/>
        </w:rPr>
        <w:t>（3）投标方提供系统的现场安装、调试服务、维护服务等；</w:t>
      </w:r>
    </w:p>
    <w:p>
      <w:pPr>
        <w:pStyle w:val="53"/>
        <w:spacing w:before="0" w:after="0"/>
        <w:ind w:firstLineChars="0"/>
        <w:rPr>
          <w:rFonts w:ascii="Arial" w:hAnsi="Arial" w:cs="Arial"/>
          <w:sz w:val="24"/>
          <w:szCs w:val="24"/>
          <w:lang w:eastAsia="zh-CN"/>
        </w:rPr>
      </w:pPr>
      <w:r>
        <w:rPr>
          <w:rFonts w:hint="eastAsia" w:ascii="Arial" w:hAnsi="Arial" w:cs="Arial"/>
          <w:sz w:val="24"/>
          <w:szCs w:val="24"/>
          <w:lang w:eastAsia="zh-CN"/>
        </w:rPr>
        <w:t>（4）投标方提供相关的产品使用、维护手册给招标方，提供必要的现场培训服务；</w:t>
      </w:r>
    </w:p>
    <w:p>
      <w:pPr>
        <w:pStyle w:val="53"/>
        <w:spacing w:before="0" w:after="0"/>
        <w:ind w:firstLineChars="0"/>
        <w:rPr>
          <w:rFonts w:ascii="Arial" w:hAnsi="Arial" w:cs="Arial"/>
          <w:sz w:val="24"/>
          <w:szCs w:val="24"/>
          <w:lang w:eastAsia="zh-CN"/>
        </w:rPr>
      </w:pPr>
      <w:r>
        <w:rPr>
          <w:rFonts w:hint="eastAsia" w:ascii="Arial" w:hAnsi="Arial" w:cs="Arial"/>
          <w:sz w:val="24"/>
          <w:szCs w:val="24"/>
          <w:lang w:eastAsia="zh-CN"/>
        </w:rPr>
        <w:t>（5）当招标方准备对合同产品进行升级或扩容时，提供咨询服务并提交相关方案，以及协助招标方进行系统的补丁、软件升级包的安装、实施工作；</w:t>
      </w:r>
    </w:p>
    <w:p>
      <w:pPr>
        <w:pStyle w:val="53"/>
        <w:spacing w:before="0" w:after="0"/>
        <w:ind w:firstLineChars="0"/>
        <w:rPr>
          <w:rFonts w:ascii="Arial" w:hAnsi="Arial" w:cs="Arial"/>
          <w:sz w:val="24"/>
          <w:szCs w:val="24"/>
          <w:lang w:eastAsia="zh-CN"/>
        </w:rPr>
      </w:pPr>
      <w:r>
        <w:rPr>
          <w:rFonts w:hint="eastAsia" w:ascii="Arial" w:hAnsi="Arial" w:cs="Arial"/>
          <w:sz w:val="24"/>
          <w:szCs w:val="24"/>
          <w:lang w:eastAsia="zh-CN"/>
        </w:rPr>
        <w:t>（6）建立标准化的客户服务体系和常态技术支持队伍，为客户提供故障诊断、技术咨询等服务；</w:t>
      </w:r>
    </w:p>
    <w:p>
      <w:pPr>
        <w:pStyle w:val="53"/>
        <w:spacing w:before="0" w:after="0"/>
        <w:ind w:firstLineChars="0"/>
        <w:rPr>
          <w:rFonts w:ascii="Arial" w:hAnsi="Arial" w:cs="Arial"/>
          <w:sz w:val="24"/>
          <w:szCs w:val="24"/>
          <w:lang w:eastAsia="zh-CN"/>
        </w:rPr>
      </w:pPr>
      <w:r>
        <w:rPr>
          <w:rFonts w:hint="eastAsia" w:ascii="Arial" w:hAnsi="Arial" w:cs="Arial"/>
          <w:sz w:val="24"/>
          <w:szCs w:val="24"/>
          <w:lang w:eastAsia="zh-CN"/>
        </w:rPr>
        <w:t>（7）建立客户档案，制定服务计划，监督服务执行，处理用户投诉等；</w:t>
      </w:r>
    </w:p>
    <w:p>
      <w:pPr>
        <w:pStyle w:val="53"/>
        <w:spacing w:before="0" w:after="0"/>
        <w:ind w:firstLineChars="0"/>
        <w:rPr>
          <w:rFonts w:ascii="Arial" w:hAnsi="Arial" w:cs="Arial"/>
          <w:sz w:val="24"/>
          <w:szCs w:val="24"/>
          <w:lang w:eastAsia="zh-CN"/>
        </w:rPr>
      </w:pPr>
      <w:r>
        <w:rPr>
          <w:rFonts w:hint="eastAsia" w:ascii="Arial" w:hAnsi="Arial" w:cs="Arial"/>
          <w:sz w:val="24"/>
          <w:szCs w:val="24"/>
          <w:lang w:eastAsia="zh-CN"/>
        </w:rPr>
        <w:t>（8）提供软件的重安装（包括开发环境、测试环境、生产环境、临时环境）、配置修改、迁移等服务；</w:t>
      </w:r>
    </w:p>
    <w:p>
      <w:pPr>
        <w:pStyle w:val="53"/>
        <w:spacing w:before="0" w:after="0"/>
        <w:ind w:firstLineChars="0"/>
        <w:rPr>
          <w:rFonts w:ascii="Arial" w:hAnsi="Arial" w:cs="Arial"/>
          <w:sz w:val="24"/>
          <w:szCs w:val="24"/>
          <w:lang w:eastAsia="zh-CN"/>
        </w:rPr>
      </w:pPr>
      <w:r>
        <w:rPr>
          <w:rFonts w:hint="eastAsia" w:ascii="Arial" w:hAnsi="Arial" w:cs="Arial"/>
          <w:sz w:val="24"/>
          <w:szCs w:val="24"/>
          <w:lang w:eastAsia="zh-CN"/>
        </w:rPr>
        <w:t>（9）投标方协助招标方对产品</w:t>
      </w:r>
      <w:r>
        <w:rPr>
          <w:rFonts w:ascii="Arial" w:hAnsi="Arial" w:cs="Arial"/>
          <w:sz w:val="24"/>
          <w:szCs w:val="24"/>
          <w:lang w:eastAsia="zh-CN"/>
        </w:rPr>
        <w:t>运行状况</w:t>
      </w:r>
      <w:r>
        <w:rPr>
          <w:rFonts w:hint="eastAsia" w:ascii="Arial" w:hAnsi="Arial" w:cs="Arial"/>
          <w:sz w:val="24"/>
          <w:szCs w:val="24"/>
          <w:lang w:eastAsia="zh-CN"/>
        </w:rPr>
        <w:t>一年</w:t>
      </w:r>
      <w:r>
        <w:rPr>
          <w:rFonts w:ascii="Arial" w:hAnsi="Arial" w:cs="Arial"/>
          <w:sz w:val="24"/>
          <w:szCs w:val="24"/>
          <w:lang w:eastAsia="zh-CN"/>
        </w:rPr>
        <w:t>两次</w:t>
      </w:r>
      <w:r>
        <w:rPr>
          <w:rFonts w:hint="eastAsia" w:ascii="Arial" w:hAnsi="Arial" w:cs="Arial"/>
          <w:sz w:val="24"/>
          <w:szCs w:val="24"/>
          <w:lang w:eastAsia="zh-CN"/>
        </w:rPr>
        <w:t>（每半年一次）进行全面</w:t>
      </w:r>
      <w:r>
        <w:rPr>
          <w:rFonts w:ascii="Arial" w:hAnsi="Arial" w:cs="Arial"/>
          <w:sz w:val="24"/>
          <w:szCs w:val="24"/>
          <w:lang w:eastAsia="zh-CN"/>
        </w:rPr>
        <w:t>总结与回顾，内容根据双方的协商而决定</w:t>
      </w:r>
      <w:r>
        <w:rPr>
          <w:rFonts w:hint="eastAsia" w:ascii="Arial" w:hAnsi="Arial" w:cs="Arial"/>
          <w:sz w:val="24"/>
          <w:szCs w:val="24"/>
          <w:lang w:eastAsia="zh-CN"/>
        </w:rPr>
        <w:t>。报告用于</w:t>
      </w:r>
      <w:r>
        <w:rPr>
          <w:rFonts w:ascii="Arial" w:hAnsi="Arial" w:cs="Arial"/>
          <w:sz w:val="24"/>
          <w:szCs w:val="24"/>
          <w:lang w:eastAsia="zh-CN"/>
        </w:rPr>
        <w:t>帮助</w:t>
      </w:r>
      <w:r>
        <w:rPr>
          <w:rFonts w:hint="eastAsia" w:ascii="Arial" w:hAnsi="Arial" w:cs="Arial"/>
          <w:sz w:val="24"/>
          <w:szCs w:val="24"/>
          <w:lang w:eastAsia="zh-CN"/>
        </w:rPr>
        <w:t>招标方</w:t>
      </w:r>
      <w:r>
        <w:rPr>
          <w:rFonts w:ascii="Arial" w:hAnsi="Arial" w:cs="Arial"/>
          <w:sz w:val="24"/>
          <w:szCs w:val="24"/>
          <w:lang w:eastAsia="zh-CN"/>
        </w:rPr>
        <w:t>解决在使用过程中遇到的</w:t>
      </w:r>
      <w:r>
        <w:rPr>
          <w:rFonts w:hint="eastAsia" w:ascii="Arial" w:hAnsi="Arial" w:cs="Arial"/>
          <w:sz w:val="24"/>
          <w:szCs w:val="24"/>
          <w:lang w:eastAsia="zh-CN"/>
        </w:rPr>
        <w:t>合同产品</w:t>
      </w:r>
      <w:r>
        <w:rPr>
          <w:rFonts w:ascii="Arial" w:hAnsi="Arial" w:cs="Arial"/>
          <w:sz w:val="24"/>
          <w:szCs w:val="24"/>
          <w:lang w:eastAsia="zh-CN"/>
        </w:rPr>
        <w:t>故障及性能问题，提供相应的解决方案，寻求系统的最佳配置，同时避免问题的再次出现</w:t>
      </w:r>
      <w:r>
        <w:rPr>
          <w:rFonts w:hint="eastAsia" w:ascii="Arial" w:hAnsi="Arial" w:cs="Arial"/>
          <w:sz w:val="24"/>
          <w:szCs w:val="24"/>
          <w:lang w:eastAsia="zh-CN"/>
        </w:rPr>
        <w:t>；</w:t>
      </w:r>
    </w:p>
    <w:p>
      <w:pPr>
        <w:pStyle w:val="53"/>
        <w:spacing w:before="0" w:after="0"/>
        <w:ind w:firstLineChars="0"/>
        <w:rPr>
          <w:rFonts w:ascii="Arial" w:hAnsi="Arial" w:cs="Arial"/>
          <w:sz w:val="24"/>
          <w:szCs w:val="24"/>
          <w:lang w:eastAsia="zh-CN"/>
        </w:rPr>
      </w:pPr>
      <w:r>
        <w:rPr>
          <w:rFonts w:hint="eastAsia" w:ascii="Arial" w:hAnsi="Arial" w:cs="Arial"/>
          <w:sz w:val="24"/>
          <w:szCs w:val="24"/>
          <w:lang w:eastAsia="zh-CN"/>
        </w:rPr>
        <w:t>（</w:t>
      </w:r>
      <w:r>
        <w:rPr>
          <w:rFonts w:ascii="Arial" w:hAnsi="Arial" w:cs="Arial"/>
          <w:sz w:val="24"/>
          <w:szCs w:val="24"/>
          <w:lang w:eastAsia="zh-CN"/>
        </w:rPr>
        <w:t>10</w:t>
      </w:r>
      <w:r>
        <w:rPr>
          <w:rFonts w:hint="eastAsia" w:ascii="Arial" w:hAnsi="Arial" w:cs="Arial"/>
          <w:sz w:val="24"/>
          <w:szCs w:val="24"/>
          <w:lang w:eastAsia="zh-CN"/>
        </w:rPr>
        <w:t>）投标方根据《网络安全等级保护基本要求》、《</w:t>
      </w:r>
      <w:r>
        <w:rPr>
          <w:rFonts w:ascii="Arial" w:hAnsi="Arial" w:cs="Arial"/>
          <w:sz w:val="24"/>
          <w:szCs w:val="24"/>
          <w:lang w:eastAsia="zh-CN"/>
        </w:rPr>
        <w:t>南方电网公司网络安全合规库</w:t>
      </w:r>
      <w:r>
        <w:rPr>
          <w:rFonts w:hint="eastAsia" w:ascii="Arial" w:hAnsi="Arial" w:cs="Arial"/>
          <w:sz w:val="24"/>
          <w:szCs w:val="24"/>
          <w:lang w:eastAsia="zh-CN"/>
        </w:rPr>
        <w:t>》以及招标方安全标准要求，完成安全加固配置等工作。</w:t>
      </w:r>
    </w:p>
    <w:p>
      <w:pPr>
        <w:pStyle w:val="53"/>
        <w:numPr>
          <w:ilvl w:val="0"/>
          <w:numId w:val="18"/>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高级现场服务包括但不限于：</w:t>
      </w:r>
    </w:p>
    <w:p>
      <w:pPr>
        <w:pStyle w:val="53"/>
        <w:spacing w:before="0" w:after="0"/>
        <w:ind w:firstLineChars="0"/>
        <w:rPr>
          <w:rFonts w:ascii="Arial" w:hAnsi="Arial" w:cs="Arial"/>
          <w:sz w:val="24"/>
          <w:szCs w:val="24"/>
          <w:lang w:eastAsia="zh-CN"/>
        </w:rPr>
      </w:pPr>
      <w:r>
        <w:rPr>
          <w:rFonts w:hint="eastAsia" w:ascii="Arial" w:hAnsi="Arial" w:cs="Arial"/>
          <w:sz w:val="24"/>
          <w:szCs w:val="24"/>
          <w:lang w:eastAsia="zh-CN"/>
        </w:rPr>
        <w:t>（1）对招标方系统提供系统架构设计、优化等咨询服务，并对优化后的方案进行实施；</w:t>
      </w:r>
    </w:p>
    <w:p>
      <w:pPr>
        <w:pStyle w:val="53"/>
        <w:spacing w:before="0" w:after="0"/>
        <w:ind w:firstLineChars="0"/>
        <w:rPr>
          <w:rFonts w:ascii="Arial" w:hAnsi="Arial" w:cs="Arial"/>
          <w:sz w:val="24"/>
          <w:szCs w:val="24"/>
          <w:lang w:eastAsia="zh-CN"/>
        </w:rPr>
      </w:pPr>
      <w:r>
        <w:rPr>
          <w:rFonts w:hint="eastAsia" w:ascii="Arial" w:hAnsi="Arial" w:cs="Arial"/>
          <w:sz w:val="24"/>
          <w:szCs w:val="24"/>
          <w:lang w:eastAsia="zh-CN"/>
        </w:rPr>
        <w:t>（2）协助招标方处理日常运维中发生的问题，定期对招标方运维人员进行技术培训，提高运维能力，保证系统不间断运行；</w:t>
      </w:r>
    </w:p>
    <w:p>
      <w:pPr>
        <w:pStyle w:val="53"/>
        <w:spacing w:before="0" w:after="0"/>
        <w:ind w:firstLineChars="0"/>
        <w:rPr>
          <w:rFonts w:ascii="Arial" w:hAnsi="Arial" w:cs="Arial"/>
          <w:sz w:val="24"/>
          <w:szCs w:val="24"/>
          <w:lang w:eastAsia="zh-CN"/>
        </w:rPr>
      </w:pPr>
      <w:r>
        <w:rPr>
          <w:rFonts w:hint="eastAsia" w:ascii="Arial" w:hAnsi="Arial" w:cs="Arial"/>
          <w:sz w:val="24"/>
          <w:szCs w:val="24"/>
          <w:lang w:eastAsia="zh-CN"/>
        </w:rPr>
        <w:t>（3）原厂高级技术工程师提供相对应的基础集成服务或上述高级现场服务。</w:t>
      </w:r>
    </w:p>
    <w:p>
      <w:pPr>
        <w:pStyle w:val="53"/>
        <w:numPr>
          <w:ilvl w:val="0"/>
          <w:numId w:val="18"/>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合同产品在质保期内，如非人为原因而出现的产品功能、性能、安全等方面质量问题，维修三次后仍然无法满足技术指标要求，则无条件更换同品牌、同类型的最新版本产品或作退货处理。</w:t>
      </w:r>
    </w:p>
    <w:p>
      <w:pPr>
        <w:pStyle w:val="53"/>
        <w:numPr>
          <w:ilvl w:val="0"/>
          <w:numId w:val="18"/>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各合同产品有相应的技术资料、使用说明资料和维护维修资料。</w:t>
      </w:r>
    </w:p>
    <w:p>
      <w:pPr>
        <w:pStyle w:val="53"/>
        <w:numPr>
          <w:ilvl w:val="0"/>
          <w:numId w:val="18"/>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在质保期内免费纠正或替换任何与合同规定功能有偏差的软硬件设备。用来替换的设备的功能和性能等方面，需高于或等于原设备。对于以上设备替换，投标方承担所有费用。相关设备资料免费提供给招标方。</w:t>
      </w:r>
    </w:p>
    <w:p>
      <w:pPr>
        <w:pStyle w:val="53"/>
        <w:numPr>
          <w:ilvl w:val="0"/>
          <w:numId w:val="18"/>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在系统频繁出现故障、或遇重大节假日等特殊情况，需要提高系统维护等级的情况下，应招标方要求，应提供技术人员提供现场技术支持，及时处理各类故障。</w:t>
      </w:r>
    </w:p>
    <w:p>
      <w:pPr>
        <w:pStyle w:val="53"/>
        <w:numPr>
          <w:ilvl w:val="0"/>
          <w:numId w:val="18"/>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一旦发现系统运行不稳定，而与合同产品有关，免费提供合乎原厂商规定的合同产品的更新或版本升级，或对系统进行维修、维护，直至问题得到解决。</w:t>
      </w:r>
    </w:p>
    <w:p>
      <w:pPr>
        <w:pStyle w:val="53"/>
        <w:numPr>
          <w:ilvl w:val="0"/>
          <w:numId w:val="18"/>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当招标方的机房环境发生变化时，为保证系统的正常运行，投标方提供相关服务。若需购买新设备，投标方提前向招标方做出说明和建议。</w:t>
      </w:r>
    </w:p>
    <w:p>
      <w:pPr>
        <w:pStyle w:val="53"/>
        <w:numPr>
          <w:ilvl w:val="0"/>
          <w:numId w:val="18"/>
        </w:numPr>
        <w:spacing w:before="0" w:after="0"/>
        <w:ind w:left="0" w:firstLine="567" w:firstLineChars="0"/>
        <w:rPr>
          <w:rFonts w:ascii="Arial" w:hAnsi="Arial" w:cs="Arial"/>
          <w:sz w:val="24"/>
          <w:szCs w:val="24"/>
          <w:lang w:eastAsia="zh-CN"/>
        </w:rPr>
      </w:pPr>
      <w:r>
        <w:rPr>
          <w:rFonts w:ascii="Arial" w:hAnsi="Arial" w:cs="Arial"/>
          <w:sz w:val="24"/>
          <w:szCs w:val="24"/>
          <w:lang w:eastAsia="zh-CN"/>
        </w:rPr>
        <w:t>系统发生搬迁时，</w:t>
      </w:r>
      <w:r>
        <w:rPr>
          <w:rFonts w:hint="eastAsia" w:ascii="Arial" w:hAnsi="Arial" w:cs="Arial"/>
          <w:sz w:val="24"/>
          <w:szCs w:val="24"/>
          <w:lang w:eastAsia="zh-CN"/>
        </w:rPr>
        <w:t>投标方需</w:t>
      </w:r>
      <w:r>
        <w:rPr>
          <w:rFonts w:ascii="Arial" w:hAnsi="Arial" w:cs="Arial"/>
          <w:sz w:val="24"/>
          <w:szCs w:val="24"/>
          <w:lang w:eastAsia="zh-CN"/>
        </w:rPr>
        <w:t>派遣专业技术人员现场支持，免费提供合理、可行的搬迁技术方案给</w:t>
      </w:r>
      <w:r>
        <w:rPr>
          <w:rFonts w:hint="eastAsia" w:ascii="Arial" w:hAnsi="Arial" w:cs="Arial"/>
          <w:sz w:val="24"/>
          <w:szCs w:val="24"/>
          <w:lang w:eastAsia="zh-CN"/>
        </w:rPr>
        <w:t>招标方</w:t>
      </w:r>
      <w:r>
        <w:rPr>
          <w:rFonts w:ascii="Arial" w:hAnsi="Arial" w:cs="Arial"/>
          <w:sz w:val="24"/>
          <w:szCs w:val="24"/>
          <w:lang w:eastAsia="zh-CN"/>
        </w:rPr>
        <w:t>并保证搬迁后系统的正常运行</w:t>
      </w:r>
      <w:r>
        <w:rPr>
          <w:rFonts w:hint="eastAsia" w:ascii="Arial" w:hAnsi="Arial" w:cs="Arial"/>
          <w:sz w:val="24"/>
          <w:szCs w:val="24"/>
          <w:lang w:eastAsia="zh-CN"/>
        </w:rPr>
        <w:t>。</w:t>
      </w:r>
    </w:p>
    <w:p>
      <w:pPr>
        <w:pStyle w:val="53"/>
        <w:numPr>
          <w:ilvl w:val="0"/>
          <w:numId w:val="18"/>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投标方定期（按月）提交软件各种问题处理指导手册，用于指导招标方提升该软件的自主维护能力。</w:t>
      </w:r>
    </w:p>
    <w:p>
      <w:pPr>
        <w:pStyle w:val="53"/>
        <w:numPr>
          <w:ilvl w:val="0"/>
          <w:numId w:val="18"/>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投标方认真、详细填写技术支持和服务报价，并随投标文件提交。原厂标准服务</w:t>
      </w:r>
      <w:r>
        <w:rPr>
          <w:rFonts w:hint="eastAsia" w:ascii="Arial" w:hAnsi="Arial" w:cs="Arial"/>
          <w:sz w:val="24"/>
          <w:lang w:eastAsia="zh-CN"/>
        </w:rPr>
        <w:t>和</w:t>
      </w:r>
      <w:r>
        <w:rPr>
          <w:rFonts w:hint="eastAsia" w:ascii="Arial" w:hAnsi="Arial" w:cs="Arial"/>
          <w:sz w:val="24"/>
          <w:szCs w:val="24"/>
          <w:lang w:eastAsia="zh-CN"/>
        </w:rPr>
        <w:t>基本集成服务费计入投标总价，</w:t>
      </w:r>
      <w:r>
        <w:rPr>
          <w:rFonts w:hint="eastAsia" w:ascii="Arial" w:hAnsi="Arial" w:cs="Arial"/>
          <w:sz w:val="24"/>
        </w:rPr>
        <w:t>高级现场服务</w:t>
      </w:r>
      <w:r>
        <w:rPr>
          <w:rFonts w:hint="eastAsia" w:ascii="Arial" w:hAnsi="Arial" w:cs="Arial"/>
          <w:sz w:val="24"/>
          <w:lang w:eastAsia="zh-CN"/>
        </w:rPr>
        <w:t>的</w:t>
      </w:r>
      <w:r>
        <w:rPr>
          <w:rFonts w:hint="eastAsia" w:ascii="Arial" w:hAnsi="Arial" w:cs="Arial"/>
          <w:sz w:val="24"/>
          <w:szCs w:val="24"/>
          <w:lang w:eastAsia="zh-CN"/>
        </w:rPr>
        <w:t>服务费不计入投标总价。</w:t>
      </w:r>
    </w:p>
    <w:p>
      <w:pPr>
        <w:pStyle w:val="53"/>
        <w:numPr>
          <w:ilvl w:val="0"/>
          <w:numId w:val="18"/>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招标方在日常运维过程中发现的可能跟本次采购产品有关的一切技术问题，投标方需按照招标方的时限要求，提供详细的技术分析和问题解答报告，报告中需包含能解释清楚具体问题的产品技术原理分析、源代码分析、业务逻辑分析、功能和性能测试分析、仿真测试分析等等，直至能完全解答招标方的问题。</w:t>
      </w:r>
    </w:p>
    <w:p>
      <w:pPr>
        <w:pStyle w:val="53"/>
        <w:numPr>
          <w:ilvl w:val="0"/>
          <w:numId w:val="18"/>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招标方在日常运维过程中遇到的可能跟本次采购产品相关的各类疑难故障或异常，投标方需按照招标方的要求，安排技术专家协助招标方一起开展故障异常原因详细分析、搭建仿真测试环境并开展测试验证、提供产品底层技术原理和源代码详细分析等等，直至能分析出故障异常原因，并给出相应的优化措施和建议，同时提供相应的故障应急处置方案和建议。</w:t>
      </w:r>
    </w:p>
    <w:p>
      <w:pPr>
        <w:pStyle w:val="3"/>
      </w:pPr>
      <w:bookmarkStart w:id="339" w:name="_Toc11733"/>
      <w:bookmarkStart w:id="340" w:name="_Toc28919"/>
      <w:bookmarkStart w:id="341" w:name="_Toc405389346"/>
      <w:bookmarkStart w:id="342" w:name="_Toc21613"/>
      <w:bookmarkStart w:id="343" w:name="_Toc32333"/>
      <w:bookmarkStart w:id="344" w:name="_Toc35246454"/>
      <w:bookmarkStart w:id="345" w:name="_Toc13430"/>
      <w:bookmarkStart w:id="346" w:name="_Toc279069213"/>
      <w:bookmarkStart w:id="347" w:name="_Toc28808"/>
      <w:bookmarkStart w:id="348" w:name="_Toc31741"/>
      <w:bookmarkStart w:id="349" w:name="_Toc27492"/>
      <w:r>
        <w:rPr>
          <w:rFonts w:hint="eastAsia"/>
        </w:rPr>
        <w:t>质保期后技术支持和服务</w:t>
      </w:r>
      <w:bookmarkEnd w:id="339"/>
      <w:bookmarkEnd w:id="340"/>
      <w:bookmarkEnd w:id="341"/>
      <w:bookmarkEnd w:id="342"/>
      <w:bookmarkEnd w:id="343"/>
      <w:bookmarkEnd w:id="344"/>
      <w:bookmarkEnd w:id="345"/>
      <w:bookmarkEnd w:id="346"/>
      <w:bookmarkEnd w:id="347"/>
      <w:bookmarkEnd w:id="348"/>
      <w:bookmarkEnd w:id="349"/>
    </w:p>
    <w:p>
      <w:pPr>
        <w:pStyle w:val="53"/>
        <w:numPr>
          <w:ilvl w:val="0"/>
          <w:numId w:val="19"/>
        </w:numPr>
        <w:ind w:left="0" w:firstLine="567" w:firstLineChars="0"/>
        <w:rPr>
          <w:rFonts w:ascii="Arial" w:hAnsi="Arial" w:cs="Arial"/>
          <w:sz w:val="24"/>
          <w:szCs w:val="24"/>
          <w:lang w:eastAsia="zh-CN"/>
        </w:rPr>
      </w:pPr>
      <w:r>
        <w:rPr>
          <w:rFonts w:hint="eastAsia" w:ascii="Arial" w:hAnsi="Arial" w:cs="Arial"/>
          <w:sz w:val="24"/>
          <w:szCs w:val="24"/>
          <w:lang w:eastAsia="zh-CN"/>
        </w:rPr>
        <w:t>在任何时候，合同产品原厂商均不能免除因产品本身的缺陷所产生的责任。</w:t>
      </w:r>
    </w:p>
    <w:p>
      <w:pPr>
        <w:pStyle w:val="53"/>
        <w:numPr>
          <w:ilvl w:val="0"/>
          <w:numId w:val="19"/>
        </w:numPr>
        <w:ind w:left="0" w:firstLine="567" w:firstLineChars="0"/>
        <w:rPr>
          <w:rFonts w:ascii="Arial" w:hAnsi="Arial" w:cs="Arial"/>
          <w:sz w:val="24"/>
          <w:szCs w:val="24"/>
          <w:lang w:eastAsia="zh-CN"/>
        </w:rPr>
      </w:pPr>
      <w:r>
        <w:rPr>
          <w:rFonts w:hint="eastAsia" w:ascii="Arial" w:hAnsi="Arial" w:cs="Arial"/>
          <w:sz w:val="24"/>
          <w:szCs w:val="24"/>
          <w:lang w:eastAsia="zh-CN"/>
        </w:rPr>
        <w:t>质保期结束后，投标方为招标合同产品延续性的功能扩充、系统升级、安全漏洞修复等继续提供至少1年的技术支持，形式为本土化的7*24小时线上及电话支持服务，邮件服务，WEB网站的服务请求提交。若出现合同产品相关重大故障或严重故障，需提供2小时内到场的现场支持。</w:t>
      </w:r>
    </w:p>
    <w:p>
      <w:pPr>
        <w:pStyle w:val="53"/>
        <w:numPr>
          <w:ilvl w:val="0"/>
          <w:numId w:val="19"/>
        </w:numPr>
        <w:ind w:left="0" w:firstLine="567" w:firstLineChars="0"/>
        <w:rPr>
          <w:rFonts w:ascii="Arial" w:hAnsi="Arial" w:cs="Arial"/>
          <w:sz w:val="24"/>
          <w:szCs w:val="24"/>
          <w:lang w:eastAsia="zh-CN"/>
        </w:rPr>
      </w:pPr>
      <w:r>
        <w:rPr>
          <w:rFonts w:hint="eastAsia" w:ascii="Arial" w:hAnsi="Arial" w:cs="Arial"/>
          <w:sz w:val="24"/>
          <w:szCs w:val="24"/>
          <w:lang w:eastAsia="zh-CN"/>
        </w:rPr>
        <w:t>质保期结束后，针对上述第1，2条中所述功能扩充、系统升级、安全漏洞修复以外的非产品缺陷引发的技术服务内容，投标方投标时需向招标方说明服务清单并明确收费标准并随投标文件一起提交。质保期后技术支持和服务报价不计入投标总价。</w:t>
      </w:r>
    </w:p>
    <w:p>
      <w:pPr>
        <w:pStyle w:val="53"/>
        <w:numPr>
          <w:ilvl w:val="0"/>
          <w:numId w:val="19"/>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投标方定期（每季度）提交软件各种问题处理指导手册最新版本，用于指导招标方提升该软件的自主维护能力。</w:t>
      </w:r>
    </w:p>
    <w:p>
      <w:pPr>
        <w:pStyle w:val="53"/>
        <w:numPr>
          <w:ilvl w:val="0"/>
          <w:numId w:val="19"/>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招标方在质保结束后1年内的日常运维过程中发现的可能跟本次采购产品有关的一切技术问题，投标方需按照招标方的时限要求，提供详细的技术分析和问题解答报告，报告中需包含能解释清楚具体问题的产品技术原理分析、源代码分析、业务逻辑分析、功能和性能测试分析、仿真测试分析等等，直至能完全解答招标方的问题。</w:t>
      </w:r>
    </w:p>
    <w:p>
      <w:pPr>
        <w:pStyle w:val="53"/>
        <w:numPr>
          <w:ilvl w:val="0"/>
          <w:numId w:val="19"/>
        </w:numPr>
        <w:spacing w:before="0" w:after="0"/>
        <w:ind w:left="0" w:firstLine="567" w:firstLineChars="0"/>
        <w:rPr>
          <w:rFonts w:ascii="Arial" w:hAnsi="Arial" w:cs="Arial"/>
          <w:sz w:val="24"/>
          <w:szCs w:val="24"/>
          <w:lang w:eastAsia="zh-CN"/>
        </w:rPr>
      </w:pPr>
      <w:r>
        <w:rPr>
          <w:rFonts w:hint="eastAsia" w:ascii="Arial" w:hAnsi="Arial" w:cs="Arial"/>
          <w:sz w:val="24"/>
          <w:szCs w:val="24"/>
          <w:lang w:eastAsia="zh-CN"/>
        </w:rPr>
        <w:t>招标方在质保结束后1年内的日常运维过程中遇到的可能跟本次采购产品相关的各类疑难故障或异常，投标方需按照招标方的要求，安排技术专家协助招标方一起开展故障异常原因详细分析、搭建仿真测试环境并开展测试验证、提供产品底层技术原理和源代码详细分析等等，直至能分析出故障异常原因，并给出相应的优化措施和建议，同时提供相应的故障应急处置方案和建议。</w:t>
      </w:r>
    </w:p>
    <w:bookmarkEnd w:id="336"/>
    <w:bookmarkEnd w:id="337"/>
    <w:bookmarkEnd w:id="338"/>
    <w:p>
      <w:pPr>
        <w:spacing w:line="360" w:lineRule="auto"/>
        <w:rPr>
          <w:rFonts w:ascii="宋体" w:hAnsi="宋体"/>
          <w:sz w:val="24"/>
        </w:rPr>
      </w:pPr>
    </w:p>
    <w:sectPr>
      <w:headerReference r:id="rId6" w:type="default"/>
      <w:footerReference r:id="rId7" w:type="default"/>
      <w:pgSz w:w="11906" w:h="16838"/>
      <w:pgMar w:top="1134" w:right="1134" w:bottom="1134" w:left="1134"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70</w:t>
    </w:r>
    <w:r>
      <w:rPr>
        <w:szCs w:val="21"/>
      </w:rPr>
      <w:fldChar w:fldCharType="end"/>
    </w:r>
    <w:r>
      <w:rPr>
        <w:rFonts w:hint="eastAsia"/>
        <w:szCs w:val="21"/>
      </w:rPr>
      <w:t xml:space="preserve"> 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rPr>
        <w:rStyle w:val="36"/>
      </w:rPr>
      <w:fldChar w:fldCharType="begin"/>
    </w:r>
    <w:r>
      <w:rPr>
        <w:rStyle w:val="36"/>
      </w:rPr>
      <w:instrText xml:space="preserve"> PAGE </w:instrText>
    </w:r>
    <w:r>
      <w:rPr>
        <w:rStyle w:val="36"/>
      </w:rPr>
      <w:fldChar w:fldCharType="separate"/>
    </w:r>
    <w:r>
      <w:rPr>
        <w:rStyle w:val="36"/>
      </w:rPr>
      <w:t>9</w:t>
    </w:r>
    <w:r>
      <w:rPr>
        <w:rStyle w:val="3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right"/>
    </w:pPr>
    <w:r>
      <w:rPr>
        <w:rFonts w:hint="eastAsia"/>
      </w:rPr>
      <w:t>2025年南方电网公司信息类设备（中间件）框架采购项目技术规范书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right"/>
    </w:pPr>
    <w:r>
      <w:rPr>
        <w:rFonts w:hint="eastAsia"/>
      </w:rPr>
      <w:t>202</w:t>
    </w:r>
    <w:r>
      <w:rPr>
        <w:rFonts w:hint="eastAsia"/>
        <w:lang w:val="en-US" w:eastAsia="zh-CN"/>
      </w:rPr>
      <w:t>6</w:t>
    </w:r>
    <w:r>
      <w:rPr>
        <w:rFonts w:hint="eastAsia"/>
      </w:rPr>
      <w:t>年南方电网公司信息类设备（中间件）框架采购项目技术规范书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185C70"/>
    <w:multiLevelType w:val="multilevel"/>
    <w:tmpl w:val="B2185C70"/>
    <w:lvl w:ilvl="0" w:tentative="0">
      <w:start w:val="1"/>
      <w:numFmt w:val="chineseCounting"/>
      <w:pStyle w:val="2"/>
      <w:suff w:val="nothing"/>
      <w:lvlText w:val="%1 、"/>
      <w:lvlJc w:val="left"/>
      <w:pPr>
        <w:tabs>
          <w:tab w:val="left" w:pos="0"/>
        </w:tabs>
        <w:ind w:left="432" w:hanging="432"/>
      </w:pPr>
      <w:rPr>
        <w:rFonts w:hint="eastAsia"/>
      </w:rPr>
    </w:lvl>
    <w:lvl w:ilvl="1" w:tentative="0">
      <w:start w:val="1"/>
      <w:numFmt w:val="decimal"/>
      <w:pStyle w:val="3"/>
      <w:isLgl/>
      <w:lvlText w:val="%1.%2."/>
      <w:lvlJc w:val="left"/>
      <w:pPr>
        <w:ind w:left="575" w:hanging="575"/>
      </w:pPr>
      <w:rPr>
        <w:rFonts w:hint="eastAsia"/>
      </w:rPr>
    </w:lvl>
    <w:lvl w:ilvl="2" w:tentative="0">
      <w:start w:val="1"/>
      <w:numFmt w:val="decimal"/>
      <w:pStyle w:val="4"/>
      <w:isLgl/>
      <w:lvlText w:val="%1.%2.%3."/>
      <w:lvlJc w:val="left"/>
      <w:pPr>
        <w:ind w:left="720" w:hanging="720"/>
      </w:pPr>
      <w:rPr>
        <w:rFonts w:hint="eastAsia"/>
      </w:rPr>
    </w:lvl>
    <w:lvl w:ilvl="3" w:tentative="0">
      <w:start w:val="1"/>
      <w:numFmt w:val="decimal"/>
      <w:pStyle w:val="5"/>
      <w:isLgl/>
      <w:lvlText w:val="%1.%2.%3.%4."/>
      <w:lvlJc w:val="left"/>
      <w:pPr>
        <w:ind w:left="864" w:hanging="864"/>
      </w:pPr>
      <w:rPr>
        <w:rFonts w:hint="eastAsia"/>
      </w:rPr>
    </w:lvl>
    <w:lvl w:ilvl="4" w:tentative="0">
      <w:start w:val="1"/>
      <w:numFmt w:val="decimal"/>
      <w:pStyle w:val="6"/>
      <w:isLgl/>
      <w:lvlText w:val="%1.%2.%3.%4.%5."/>
      <w:lvlJc w:val="left"/>
      <w:pPr>
        <w:ind w:left="1008" w:hanging="1008"/>
      </w:pPr>
      <w:rPr>
        <w:rFonts w:hint="eastAsia"/>
      </w:rPr>
    </w:lvl>
    <w:lvl w:ilvl="5" w:tentative="0">
      <w:start w:val="1"/>
      <w:numFmt w:val="decimal"/>
      <w:pStyle w:val="8"/>
      <w:isLgl/>
      <w:lvlText w:val="%1.%2.%3.%4.%5.%6."/>
      <w:lvlJc w:val="left"/>
      <w:pPr>
        <w:ind w:left="1151" w:hanging="1151"/>
      </w:pPr>
      <w:rPr>
        <w:rFonts w:hint="eastAsia"/>
      </w:rPr>
    </w:lvl>
    <w:lvl w:ilvl="6" w:tentative="0">
      <w:start w:val="1"/>
      <w:numFmt w:val="decimal"/>
      <w:pStyle w:val="9"/>
      <w:isLgl/>
      <w:lvlText w:val="%1.%2.%3.%4.%5.%6.%7."/>
      <w:lvlJc w:val="left"/>
      <w:pPr>
        <w:ind w:left="1296" w:hanging="1296"/>
      </w:pPr>
      <w:rPr>
        <w:rFonts w:hint="eastAsia"/>
      </w:rPr>
    </w:lvl>
    <w:lvl w:ilvl="7" w:tentative="0">
      <w:start w:val="1"/>
      <w:numFmt w:val="decimal"/>
      <w:pStyle w:val="10"/>
      <w:isLgl/>
      <w:lvlText w:val="%1.%2.%3.%4.%5.%6.%7.%8."/>
      <w:lvlJc w:val="left"/>
      <w:pPr>
        <w:ind w:left="1440" w:hanging="1440"/>
      </w:pPr>
      <w:rPr>
        <w:rFonts w:hint="eastAsia"/>
      </w:rPr>
    </w:lvl>
    <w:lvl w:ilvl="8" w:tentative="0">
      <w:start w:val="1"/>
      <w:numFmt w:val="decimal"/>
      <w:pStyle w:val="11"/>
      <w:isLgl/>
      <w:lvlText w:val="%1.%2.%3.%4.%5.%6.%7.%8.%9."/>
      <w:lvlJc w:val="left"/>
      <w:pPr>
        <w:ind w:left="1583" w:hanging="1583"/>
      </w:pPr>
      <w:rPr>
        <w:rFonts w:hint="eastAsia"/>
      </w:rPr>
    </w:lvl>
  </w:abstractNum>
  <w:abstractNum w:abstractNumId="1">
    <w:nsid w:val="C68C1188"/>
    <w:multiLevelType w:val="singleLevel"/>
    <w:tmpl w:val="C68C1188"/>
    <w:lvl w:ilvl="0" w:tentative="0">
      <w:start w:val="1"/>
      <w:numFmt w:val="decimal"/>
      <w:suff w:val="space"/>
      <w:lvlText w:val="%1."/>
      <w:lvlJc w:val="left"/>
    </w:lvl>
  </w:abstractNum>
  <w:abstractNum w:abstractNumId="2">
    <w:nsid w:val="06A50994"/>
    <w:multiLevelType w:val="multilevel"/>
    <w:tmpl w:val="06A50994"/>
    <w:lvl w:ilvl="0" w:tentative="0">
      <w:start w:val="1"/>
      <w:numFmt w:val="decimal"/>
      <w:lvlText w:val="%1)"/>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0AF4AF7"/>
    <w:multiLevelType w:val="multilevel"/>
    <w:tmpl w:val="10AF4AF7"/>
    <w:lvl w:ilvl="0" w:tentative="0">
      <w:start w:val="1"/>
      <w:numFmt w:val="decimal"/>
      <w:lvlText w:val="%1."/>
      <w:lvlJc w:val="left"/>
      <w:pPr>
        <w:ind w:left="2547"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F73429E"/>
    <w:multiLevelType w:val="multilevel"/>
    <w:tmpl w:val="1F73429E"/>
    <w:lvl w:ilvl="0" w:tentative="0">
      <w:start w:val="1"/>
      <w:numFmt w:val="decimal"/>
      <w:lvlText w:val="%1."/>
      <w:lvlJc w:val="left"/>
      <w:pPr>
        <w:ind w:left="420" w:hanging="420"/>
      </w:pPr>
      <w:rPr>
        <w:rFonts w:hint="eastAsia"/>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2AAC5580"/>
    <w:multiLevelType w:val="multilevel"/>
    <w:tmpl w:val="2AAC5580"/>
    <w:lvl w:ilvl="0" w:tentative="0">
      <w:start w:val="1"/>
      <w:numFmt w:val="decimal"/>
      <w:lvlText w:val="%1."/>
      <w:lvlJc w:val="left"/>
      <w:pPr>
        <w:ind w:left="845" w:hanging="420"/>
      </w:pPr>
      <w:rPr>
        <w:rFonts w:hint="eastAsia"/>
      </w:r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6">
    <w:nsid w:val="38584793"/>
    <w:multiLevelType w:val="multilevel"/>
    <w:tmpl w:val="3858479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3BAA2163"/>
    <w:multiLevelType w:val="multilevel"/>
    <w:tmpl w:val="3BAA2163"/>
    <w:lvl w:ilvl="0" w:tentative="0">
      <w:start w:val="1"/>
      <w:numFmt w:val="decimal"/>
      <w:lvlText w:val="%1."/>
      <w:lvlJc w:val="left"/>
      <w:pPr>
        <w:ind w:left="987" w:hanging="420"/>
      </w:pPr>
      <w:rPr>
        <w:rFonts w:hint="eastAsia"/>
      </w:r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8">
    <w:nsid w:val="455C23D1"/>
    <w:multiLevelType w:val="multilevel"/>
    <w:tmpl w:val="455C23D1"/>
    <w:lvl w:ilvl="0" w:tentative="0">
      <w:start w:val="1"/>
      <w:numFmt w:val="decimal"/>
      <w:lvlText w:val="%1)"/>
      <w:lvlJc w:val="left"/>
      <w:pPr>
        <w:ind w:left="987"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455F1016"/>
    <w:multiLevelType w:val="multilevel"/>
    <w:tmpl w:val="455F1016"/>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0">
    <w:nsid w:val="53DE2801"/>
    <w:multiLevelType w:val="multilevel"/>
    <w:tmpl w:val="53DE280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D4200F5"/>
    <w:multiLevelType w:val="multilevel"/>
    <w:tmpl w:val="5D4200F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EC85A34"/>
    <w:multiLevelType w:val="multilevel"/>
    <w:tmpl w:val="5EC85A34"/>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5F366175"/>
    <w:multiLevelType w:val="multilevel"/>
    <w:tmpl w:val="5F36617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61827DEC"/>
    <w:multiLevelType w:val="multilevel"/>
    <w:tmpl w:val="61827DEC"/>
    <w:lvl w:ilvl="0" w:tentative="0">
      <w:start w:val="1"/>
      <w:numFmt w:val="ideographDigital"/>
      <w:lvlText w:val="第%1章"/>
      <w:lvlJc w:val="left"/>
      <w:pPr>
        <w:tabs>
          <w:tab w:val="left" w:pos="3281"/>
        </w:tabs>
        <w:ind w:left="1481" w:firstLine="0"/>
      </w:pPr>
      <w:rPr>
        <w:rFonts w:hint="eastAsia"/>
      </w:rPr>
    </w:lvl>
    <w:lvl w:ilvl="1" w:tentative="0">
      <w:start w:val="1"/>
      <w:numFmt w:val="decimal"/>
      <w:isLgl/>
      <w:lvlText w:val="%1.%2"/>
      <w:lvlJc w:val="left"/>
      <w:pPr>
        <w:tabs>
          <w:tab w:val="left" w:pos="1066"/>
        </w:tabs>
        <w:ind w:left="346" w:firstLine="0"/>
      </w:pPr>
      <w:rPr>
        <w:rFonts w:hint="eastAsia"/>
      </w:rPr>
    </w:lvl>
    <w:lvl w:ilvl="2" w:tentative="0">
      <w:start w:val="1"/>
      <w:numFmt w:val="decimal"/>
      <w:pStyle w:val="51"/>
      <w:isLgl/>
      <w:lvlText w:val="%1.%2.%3"/>
      <w:lvlJc w:val="left"/>
      <w:pPr>
        <w:tabs>
          <w:tab w:val="left" w:pos="1648"/>
        </w:tabs>
        <w:ind w:left="1000" w:hanging="432"/>
      </w:pPr>
      <w:rPr>
        <w:rFonts w:hint="eastAsia"/>
        <w:b/>
      </w:rPr>
    </w:lvl>
    <w:lvl w:ilvl="3" w:tentative="0">
      <w:start w:val="1"/>
      <w:numFmt w:val="decimal"/>
      <w:lvlText w:val="%1.%2.%3.%4"/>
      <w:lvlJc w:val="left"/>
      <w:pPr>
        <w:tabs>
          <w:tab w:val="left" w:pos="2506"/>
        </w:tabs>
        <w:ind w:left="1210" w:hanging="144"/>
      </w:pPr>
      <w:rPr>
        <w:rFonts w:hint="eastAsia"/>
      </w:rPr>
    </w:lvl>
    <w:lvl w:ilvl="4" w:tentative="0">
      <w:start w:val="1"/>
      <w:numFmt w:val="decimal"/>
      <w:lvlText w:val="%5)"/>
      <w:lvlJc w:val="left"/>
      <w:pPr>
        <w:tabs>
          <w:tab w:val="left" w:pos="1354"/>
        </w:tabs>
        <w:ind w:left="1354" w:hanging="432"/>
      </w:pPr>
      <w:rPr>
        <w:rFonts w:hint="eastAsia"/>
      </w:rPr>
    </w:lvl>
    <w:lvl w:ilvl="5" w:tentative="0">
      <w:start w:val="1"/>
      <w:numFmt w:val="lowerLetter"/>
      <w:lvlText w:val="%6)"/>
      <w:lvlJc w:val="left"/>
      <w:pPr>
        <w:tabs>
          <w:tab w:val="left" w:pos="1498"/>
        </w:tabs>
        <w:ind w:left="1498" w:hanging="432"/>
      </w:pPr>
      <w:rPr>
        <w:rFonts w:hint="eastAsia"/>
      </w:rPr>
    </w:lvl>
    <w:lvl w:ilvl="6" w:tentative="0">
      <w:start w:val="1"/>
      <w:numFmt w:val="lowerRoman"/>
      <w:lvlText w:val="%7)"/>
      <w:lvlJc w:val="right"/>
      <w:pPr>
        <w:tabs>
          <w:tab w:val="left" w:pos="1642"/>
        </w:tabs>
        <w:ind w:left="1642" w:hanging="288"/>
      </w:pPr>
      <w:rPr>
        <w:rFonts w:hint="eastAsia"/>
      </w:rPr>
    </w:lvl>
    <w:lvl w:ilvl="7" w:tentative="0">
      <w:start w:val="1"/>
      <w:numFmt w:val="lowerLetter"/>
      <w:lvlText w:val="%8."/>
      <w:lvlJc w:val="left"/>
      <w:pPr>
        <w:tabs>
          <w:tab w:val="left" w:pos="1786"/>
        </w:tabs>
        <w:ind w:left="1786" w:hanging="432"/>
      </w:pPr>
      <w:rPr>
        <w:rFonts w:hint="eastAsia"/>
      </w:rPr>
    </w:lvl>
    <w:lvl w:ilvl="8" w:tentative="0">
      <w:start w:val="1"/>
      <w:numFmt w:val="lowerRoman"/>
      <w:lvlText w:val="%9."/>
      <w:lvlJc w:val="right"/>
      <w:pPr>
        <w:tabs>
          <w:tab w:val="left" w:pos="1930"/>
        </w:tabs>
        <w:ind w:left="1930" w:hanging="144"/>
      </w:pPr>
      <w:rPr>
        <w:rFonts w:hint="eastAsia"/>
      </w:rPr>
    </w:lvl>
  </w:abstractNum>
  <w:abstractNum w:abstractNumId="15">
    <w:nsid w:val="6B13752B"/>
    <w:multiLevelType w:val="multilevel"/>
    <w:tmpl w:val="6B1375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6E3D6073"/>
    <w:multiLevelType w:val="multilevel"/>
    <w:tmpl w:val="6E3D6073"/>
    <w:lvl w:ilvl="0" w:tentative="0">
      <w:start w:val="1"/>
      <w:numFmt w:val="decimal"/>
      <w:lvlText w:val="%1."/>
      <w:lvlJc w:val="left"/>
      <w:pPr>
        <w:ind w:left="420" w:hanging="420"/>
      </w:pPr>
      <w:rPr>
        <w:rFonts w:hint="default"/>
        <w:highlight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79410397"/>
    <w:multiLevelType w:val="multilevel"/>
    <w:tmpl w:val="79410397"/>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8">
    <w:nsid w:val="79614A28"/>
    <w:multiLevelType w:val="multilevel"/>
    <w:tmpl w:val="79614A28"/>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4"/>
  </w:num>
  <w:num w:numId="3">
    <w:abstractNumId w:val="17"/>
  </w:num>
  <w:num w:numId="4">
    <w:abstractNumId w:val="4"/>
  </w:num>
  <w:num w:numId="5">
    <w:abstractNumId w:val="13"/>
  </w:num>
  <w:num w:numId="6">
    <w:abstractNumId w:val="8"/>
  </w:num>
  <w:num w:numId="7">
    <w:abstractNumId w:val="10"/>
  </w:num>
  <w:num w:numId="8">
    <w:abstractNumId w:val="11"/>
  </w:num>
  <w:num w:numId="9">
    <w:abstractNumId w:val="15"/>
  </w:num>
  <w:num w:numId="10">
    <w:abstractNumId w:val="9"/>
  </w:num>
  <w:num w:numId="11">
    <w:abstractNumId w:val="16"/>
  </w:num>
  <w:num w:numId="12">
    <w:abstractNumId w:val="2"/>
  </w:num>
  <w:num w:numId="13">
    <w:abstractNumId w:val="1"/>
  </w:num>
  <w:num w:numId="14">
    <w:abstractNumId w:val="7"/>
  </w:num>
  <w:num w:numId="15">
    <w:abstractNumId w:val="6"/>
  </w:num>
  <w:num w:numId="16">
    <w:abstractNumId w:val="18"/>
  </w:num>
  <w:num w:numId="17">
    <w:abstractNumId w:val="12"/>
  </w:num>
  <w:num w:numId="18">
    <w:abstractNumId w:val="3"/>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applyBreakingRules/>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QxNTg5OWJhODYzZWQ3N2Q1OTBiYjFlNzUwM2UzM2UifQ=="/>
  </w:docVars>
  <w:rsids>
    <w:rsidRoot w:val="00BD6896"/>
    <w:rsid w:val="00000633"/>
    <w:rsid w:val="0000180F"/>
    <w:rsid w:val="00001E3A"/>
    <w:rsid w:val="000058D3"/>
    <w:rsid w:val="00006D85"/>
    <w:rsid w:val="000118FC"/>
    <w:rsid w:val="00012052"/>
    <w:rsid w:val="00014786"/>
    <w:rsid w:val="00016E1E"/>
    <w:rsid w:val="00022709"/>
    <w:rsid w:val="00023244"/>
    <w:rsid w:val="000241B9"/>
    <w:rsid w:val="00025216"/>
    <w:rsid w:val="00025A0D"/>
    <w:rsid w:val="00026B89"/>
    <w:rsid w:val="000270D7"/>
    <w:rsid w:val="00027716"/>
    <w:rsid w:val="000367B8"/>
    <w:rsid w:val="00041443"/>
    <w:rsid w:val="0004391E"/>
    <w:rsid w:val="00043EE8"/>
    <w:rsid w:val="00043FFD"/>
    <w:rsid w:val="000479AB"/>
    <w:rsid w:val="00053D56"/>
    <w:rsid w:val="000601E6"/>
    <w:rsid w:val="000624F9"/>
    <w:rsid w:val="00063681"/>
    <w:rsid w:val="00072115"/>
    <w:rsid w:val="000775CD"/>
    <w:rsid w:val="000854C1"/>
    <w:rsid w:val="00092157"/>
    <w:rsid w:val="000A1EAC"/>
    <w:rsid w:val="000B0680"/>
    <w:rsid w:val="000B1679"/>
    <w:rsid w:val="000B31D7"/>
    <w:rsid w:val="000C6AE2"/>
    <w:rsid w:val="000D08C5"/>
    <w:rsid w:val="000D5F6B"/>
    <w:rsid w:val="000D760A"/>
    <w:rsid w:val="000F6B9C"/>
    <w:rsid w:val="00106512"/>
    <w:rsid w:val="0010679A"/>
    <w:rsid w:val="00107B97"/>
    <w:rsid w:val="00111822"/>
    <w:rsid w:val="0012005F"/>
    <w:rsid w:val="00133CC9"/>
    <w:rsid w:val="001364F0"/>
    <w:rsid w:val="0013707C"/>
    <w:rsid w:val="00141434"/>
    <w:rsid w:val="001500EF"/>
    <w:rsid w:val="00155709"/>
    <w:rsid w:val="00173EBA"/>
    <w:rsid w:val="00176394"/>
    <w:rsid w:val="00177F35"/>
    <w:rsid w:val="001807C0"/>
    <w:rsid w:val="00183E88"/>
    <w:rsid w:val="001845BC"/>
    <w:rsid w:val="00185D39"/>
    <w:rsid w:val="00187C5B"/>
    <w:rsid w:val="00190E3A"/>
    <w:rsid w:val="001910D8"/>
    <w:rsid w:val="00192289"/>
    <w:rsid w:val="00194086"/>
    <w:rsid w:val="001965AF"/>
    <w:rsid w:val="00197E61"/>
    <w:rsid w:val="001A3478"/>
    <w:rsid w:val="001A55C7"/>
    <w:rsid w:val="001A5AC4"/>
    <w:rsid w:val="001A70D3"/>
    <w:rsid w:val="001B2998"/>
    <w:rsid w:val="001B4FF3"/>
    <w:rsid w:val="001C4E38"/>
    <w:rsid w:val="001D7654"/>
    <w:rsid w:val="001E467C"/>
    <w:rsid w:val="001E5104"/>
    <w:rsid w:val="001E6BAA"/>
    <w:rsid w:val="001F117D"/>
    <w:rsid w:val="001F2BF4"/>
    <w:rsid w:val="00201EA3"/>
    <w:rsid w:val="00204826"/>
    <w:rsid w:val="002053FC"/>
    <w:rsid w:val="00205E10"/>
    <w:rsid w:val="00206994"/>
    <w:rsid w:val="00207A6E"/>
    <w:rsid w:val="00222ADB"/>
    <w:rsid w:val="00230AD5"/>
    <w:rsid w:val="00230C92"/>
    <w:rsid w:val="002415EB"/>
    <w:rsid w:val="00243374"/>
    <w:rsid w:val="0024657E"/>
    <w:rsid w:val="00256F06"/>
    <w:rsid w:val="0026638B"/>
    <w:rsid w:val="00271B39"/>
    <w:rsid w:val="00273AAD"/>
    <w:rsid w:val="00274B69"/>
    <w:rsid w:val="00276F40"/>
    <w:rsid w:val="00277E52"/>
    <w:rsid w:val="0028401C"/>
    <w:rsid w:val="00284070"/>
    <w:rsid w:val="00287C8A"/>
    <w:rsid w:val="002900C0"/>
    <w:rsid w:val="002906C6"/>
    <w:rsid w:val="002935DD"/>
    <w:rsid w:val="0029410A"/>
    <w:rsid w:val="00295C55"/>
    <w:rsid w:val="002A7DA6"/>
    <w:rsid w:val="002B3064"/>
    <w:rsid w:val="002B3F5B"/>
    <w:rsid w:val="002C0202"/>
    <w:rsid w:val="002C2C7C"/>
    <w:rsid w:val="002C581E"/>
    <w:rsid w:val="002C7857"/>
    <w:rsid w:val="002D1D0D"/>
    <w:rsid w:val="002D5ADD"/>
    <w:rsid w:val="002D64CF"/>
    <w:rsid w:val="002D70BC"/>
    <w:rsid w:val="002E2493"/>
    <w:rsid w:val="002E7884"/>
    <w:rsid w:val="002F123C"/>
    <w:rsid w:val="002F422E"/>
    <w:rsid w:val="002F5955"/>
    <w:rsid w:val="003026F3"/>
    <w:rsid w:val="00302E94"/>
    <w:rsid w:val="00310D2A"/>
    <w:rsid w:val="00312B7C"/>
    <w:rsid w:val="0031498A"/>
    <w:rsid w:val="0031533A"/>
    <w:rsid w:val="00317288"/>
    <w:rsid w:val="00330122"/>
    <w:rsid w:val="00332F87"/>
    <w:rsid w:val="00335B40"/>
    <w:rsid w:val="00335DB4"/>
    <w:rsid w:val="00345E5C"/>
    <w:rsid w:val="003500E7"/>
    <w:rsid w:val="00350942"/>
    <w:rsid w:val="003516D5"/>
    <w:rsid w:val="003535BE"/>
    <w:rsid w:val="00354E00"/>
    <w:rsid w:val="003555BB"/>
    <w:rsid w:val="0036077E"/>
    <w:rsid w:val="003626A2"/>
    <w:rsid w:val="00365D8B"/>
    <w:rsid w:val="0036704A"/>
    <w:rsid w:val="00367328"/>
    <w:rsid w:val="0038768D"/>
    <w:rsid w:val="003B0EC5"/>
    <w:rsid w:val="003B6B1E"/>
    <w:rsid w:val="003C3EF0"/>
    <w:rsid w:val="003C5F27"/>
    <w:rsid w:val="003C764D"/>
    <w:rsid w:val="003D0404"/>
    <w:rsid w:val="003D054D"/>
    <w:rsid w:val="003D4533"/>
    <w:rsid w:val="003E338D"/>
    <w:rsid w:val="003E4606"/>
    <w:rsid w:val="003F064E"/>
    <w:rsid w:val="003F15F6"/>
    <w:rsid w:val="003F5052"/>
    <w:rsid w:val="00400722"/>
    <w:rsid w:val="004104C4"/>
    <w:rsid w:val="00413683"/>
    <w:rsid w:val="00417F1E"/>
    <w:rsid w:val="00422C6A"/>
    <w:rsid w:val="0042396B"/>
    <w:rsid w:val="00423D52"/>
    <w:rsid w:val="00436597"/>
    <w:rsid w:val="004505AA"/>
    <w:rsid w:val="00450BD8"/>
    <w:rsid w:val="00450E19"/>
    <w:rsid w:val="00451DCE"/>
    <w:rsid w:val="00452133"/>
    <w:rsid w:val="0045593C"/>
    <w:rsid w:val="004561D5"/>
    <w:rsid w:val="00467302"/>
    <w:rsid w:val="004679E6"/>
    <w:rsid w:val="0047208D"/>
    <w:rsid w:val="00472884"/>
    <w:rsid w:val="00477437"/>
    <w:rsid w:val="004818D7"/>
    <w:rsid w:val="00485563"/>
    <w:rsid w:val="0048698C"/>
    <w:rsid w:val="00487275"/>
    <w:rsid w:val="00492A8D"/>
    <w:rsid w:val="0049389D"/>
    <w:rsid w:val="00493E14"/>
    <w:rsid w:val="00495D96"/>
    <w:rsid w:val="004A0F0B"/>
    <w:rsid w:val="004A3477"/>
    <w:rsid w:val="004A4C53"/>
    <w:rsid w:val="004B40A6"/>
    <w:rsid w:val="004B651A"/>
    <w:rsid w:val="004C5B34"/>
    <w:rsid w:val="004C5C4E"/>
    <w:rsid w:val="004C73AC"/>
    <w:rsid w:val="004D2F5F"/>
    <w:rsid w:val="004D33FD"/>
    <w:rsid w:val="004D40A3"/>
    <w:rsid w:val="004D52F7"/>
    <w:rsid w:val="004D6AE3"/>
    <w:rsid w:val="004E23C8"/>
    <w:rsid w:val="004E2D07"/>
    <w:rsid w:val="004E5829"/>
    <w:rsid w:val="004F0BDB"/>
    <w:rsid w:val="005008FE"/>
    <w:rsid w:val="005029A3"/>
    <w:rsid w:val="0050448C"/>
    <w:rsid w:val="00506BC1"/>
    <w:rsid w:val="00512045"/>
    <w:rsid w:val="0051311C"/>
    <w:rsid w:val="005156FD"/>
    <w:rsid w:val="005309B0"/>
    <w:rsid w:val="00550322"/>
    <w:rsid w:val="00551A3A"/>
    <w:rsid w:val="00553AA2"/>
    <w:rsid w:val="0055521F"/>
    <w:rsid w:val="00560108"/>
    <w:rsid w:val="005665EB"/>
    <w:rsid w:val="00566658"/>
    <w:rsid w:val="00581433"/>
    <w:rsid w:val="0058362E"/>
    <w:rsid w:val="00583B5B"/>
    <w:rsid w:val="00591081"/>
    <w:rsid w:val="005956FD"/>
    <w:rsid w:val="005A4B2F"/>
    <w:rsid w:val="005A52E0"/>
    <w:rsid w:val="005B37C4"/>
    <w:rsid w:val="005B6368"/>
    <w:rsid w:val="005C294F"/>
    <w:rsid w:val="005C422B"/>
    <w:rsid w:val="005C7433"/>
    <w:rsid w:val="005D4120"/>
    <w:rsid w:val="005D585B"/>
    <w:rsid w:val="005E25C0"/>
    <w:rsid w:val="005E36E2"/>
    <w:rsid w:val="005E65C0"/>
    <w:rsid w:val="005F1D01"/>
    <w:rsid w:val="005F75B4"/>
    <w:rsid w:val="00601D7E"/>
    <w:rsid w:val="006023BA"/>
    <w:rsid w:val="006057CB"/>
    <w:rsid w:val="006101EB"/>
    <w:rsid w:val="006139B6"/>
    <w:rsid w:val="006142FE"/>
    <w:rsid w:val="006144EA"/>
    <w:rsid w:val="00615B55"/>
    <w:rsid w:val="00616033"/>
    <w:rsid w:val="006225D5"/>
    <w:rsid w:val="00630C00"/>
    <w:rsid w:val="0063186C"/>
    <w:rsid w:val="00631C35"/>
    <w:rsid w:val="006450E4"/>
    <w:rsid w:val="00645190"/>
    <w:rsid w:val="00646E9C"/>
    <w:rsid w:val="00654EF3"/>
    <w:rsid w:val="00661436"/>
    <w:rsid w:val="00663CFB"/>
    <w:rsid w:val="00665EC6"/>
    <w:rsid w:val="006662D9"/>
    <w:rsid w:val="0067023D"/>
    <w:rsid w:val="00670949"/>
    <w:rsid w:val="00673462"/>
    <w:rsid w:val="0068645A"/>
    <w:rsid w:val="00687EC4"/>
    <w:rsid w:val="00693B6B"/>
    <w:rsid w:val="006943CE"/>
    <w:rsid w:val="00694DCB"/>
    <w:rsid w:val="006A0138"/>
    <w:rsid w:val="006A7C4D"/>
    <w:rsid w:val="006B11EA"/>
    <w:rsid w:val="006C192D"/>
    <w:rsid w:val="006D4BA2"/>
    <w:rsid w:val="006D6602"/>
    <w:rsid w:val="006E08F7"/>
    <w:rsid w:val="006E6BF8"/>
    <w:rsid w:val="006E7EA9"/>
    <w:rsid w:val="006F357B"/>
    <w:rsid w:val="006F36F7"/>
    <w:rsid w:val="00702AE6"/>
    <w:rsid w:val="00705E71"/>
    <w:rsid w:val="007133A6"/>
    <w:rsid w:val="007230E4"/>
    <w:rsid w:val="00726BFB"/>
    <w:rsid w:val="00726FA6"/>
    <w:rsid w:val="0073093E"/>
    <w:rsid w:val="00733F80"/>
    <w:rsid w:val="00735DF2"/>
    <w:rsid w:val="007427AD"/>
    <w:rsid w:val="0074403A"/>
    <w:rsid w:val="00745672"/>
    <w:rsid w:val="00747717"/>
    <w:rsid w:val="007549EE"/>
    <w:rsid w:val="00755CF1"/>
    <w:rsid w:val="00757618"/>
    <w:rsid w:val="00765A99"/>
    <w:rsid w:val="0076669F"/>
    <w:rsid w:val="00767A67"/>
    <w:rsid w:val="0077002C"/>
    <w:rsid w:val="00770730"/>
    <w:rsid w:val="007754D4"/>
    <w:rsid w:val="00776F1C"/>
    <w:rsid w:val="00780AFC"/>
    <w:rsid w:val="00786E7B"/>
    <w:rsid w:val="00791366"/>
    <w:rsid w:val="00791E3E"/>
    <w:rsid w:val="0079207E"/>
    <w:rsid w:val="007A0B7A"/>
    <w:rsid w:val="007A34C4"/>
    <w:rsid w:val="007A5D24"/>
    <w:rsid w:val="007B073D"/>
    <w:rsid w:val="007B08A2"/>
    <w:rsid w:val="007B348C"/>
    <w:rsid w:val="007B363E"/>
    <w:rsid w:val="007B72F1"/>
    <w:rsid w:val="007C0B32"/>
    <w:rsid w:val="007D0BF1"/>
    <w:rsid w:val="007E6522"/>
    <w:rsid w:val="007F42EF"/>
    <w:rsid w:val="0080188E"/>
    <w:rsid w:val="0080507E"/>
    <w:rsid w:val="00806FC9"/>
    <w:rsid w:val="00810738"/>
    <w:rsid w:val="00813785"/>
    <w:rsid w:val="008141B9"/>
    <w:rsid w:val="00816765"/>
    <w:rsid w:val="00817A99"/>
    <w:rsid w:val="008249BB"/>
    <w:rsid w:val="00831AEC"/>
    <w:rsid w:val="00846062"/>
    <w:rsid w:val="00847119"/>
    <w:rsid w:val="00861C75"/>
    <w:rsid w:val="008655CE"/>
    <w:rsid w:val="00870080"/>
    <w:rsid w:val="00870937"/>
    <w:rsid w:val="00873E1F"/>
    <w:rsid w:val="00874EE6"/>
    <w:rsid w:val="00875192"/>
    <w:rsid w:val="00877950"/>
    <w:rsid w:val="00887080"/>
    <w:rsid w:val="0089281E"/>
    <w:rsid w:val="00895EBB"/>
    <w:rsid w:val="008A3538"/>
    <w:rsid w:val="008A79AF"/>
    <w:rsid w:val="008B0E44"/>
    <w:rsid w:val="008D286E"/>
    <w:rsid w:val="008D59B7"/>
    <w:rsid w:val="008D731F"/>
    <w:rsid w:val="008D74DD"/>
    <w:rsid w:val="008D7633"/>
    <w:rsid w:val="008D79BA"/>
    <w:rsid w:val="008E2D5A"/>
    <w:rsid w:val="008E4DBC"/>
    <w:rsid w:val="008E7898"/>
    <w:rsid w:val="008F13CE"/>
    <w:rsid w:val="008F2EE7"/>
    <w:rsid w:val="008F2EEA"/>
    <w:rsid w:val="008F3454"/>
    <w:rsid w:val="008F3F76"/>
    <w:rsid w:val="008F59AF"/>
    <w:rsid w:val="00904458"/>
    <w:rsid w:val="009104D5"/>
    <w:rsid w:val="00914DA6"/>
    <w:rsid w:val="00916414"/>
    <w:rsid w:val="009177A2"/>
    <w:rsid w:val="00917D89"/>
    <w:rsid w:val="00921935"/>
    <w:rsid w:val="00922678"/>
    <w:rsid w:val="00933321"/>
    <w:rsid w:val="0093353D"/>
    <w:rsid w:val="0093460C"/>
    <w:rsid w:val="00934B72"/>
    <w:rsid w:val="00941F58"/>
    <w:rsid w:val="00944C74"/>
    <w:rsid w:val="0094650F"/>
    <w:rsid w:val="00947939"/>
    <w:rsid w:val="009503A9"/>
    <w:rsid w:val="00951A88"/>
    <w:rsid w:val="00952953"/>
    <w:rsid w:val="009577FD"/>
    <w:rsid w:val="00963171"/>
    <w:rsid w:val="0096475E"/>
    <w:rsid w:val="00966F8C"/>
    <w:rsid w:val="00967DD5"/>
    <w:rsid w:val="009706ED"/>
    <w:rsid w:val="00971C2F"/>
    <w:rsid w:val="009800C7"/>
    <w:rsid w:val="00980F7F"/>
    <w:rsid w:val="00982394"/>
    <w:rsid w:val="00984BD7"/>
    <w:rsid w:val="00993CC7"/>
    <w:rsid w:val="00994E02"/>
    <w:rsid w:val="009A266F"/>
    <w:rsid w:val="009A3C85"/>
    <w:rsid w:val="009B2EAD"/>
    <w:rsid w:val="009B590E"/>
    <w:rsid w:val="009B63AF"/>
    <w:rsid w:val="009C4456"/>
    <w:rsid w:val="009C7588"/>
    <w:rsid w:val="009D2868"/>
    <w:rsid w:val="009D440B"/>
    <w:rsid w:val="009E3870"/>
    <w:rsid w:val="009E4D80"/>
    <w:rsid w:val="009F1393"/>
    <w:rsid w:val="009F1F46"/>
    <w:rsid w:val="009F5503"/>
    <w:rsid w:val="00A00CBB"/>
    <w:rsid w:val="00A04AC1"/>
    <w:rsid w:val="00A06E77"/>
    <w:rsid w:val="00A12CD9"/>
    <w:rsid w:val="00A14040"/>
    <w:rsid w:val="00A1751B"/>
    <w:rsid w:val="00A20AD3"/>
    <w:rsid w:val="00A23742"/>
    <w:rsid w:val="00A244E2"/>
    <w:rsid w:val="00A315B3"/>
    <w:rsid w:val="00A3160E"/>
    <w:rsid w:val="00A32094"/>
    <w:rsid w:val="00A36C0F"/>
    <w:rsid w:val="00A45D16"/>
    <w:rsid w:val="00A4677B"/>
    <w:rsid w:val="00A46ADD"/>
    <w:rsid w:val="00A50C92"/>
    <w:rsid w:val="00A51684"/>
    <w:rsid w:val="00A61431"/>
    <w:rsid w:val="00A66D04"/>
    <w:rsid w:val="00A8275F"/>
    <w:rsid w:val="00A82F07"/>
    <w:rsid w:val="00A90BA0"/>
    <w:rsid w:val="00A967AF"/>
    <w:rsid w:val="00AA073D"/>
    <w:rsid w:val="00AA6D3C"/>
    <w:rsid w:val="00AA6D56"/>
    <w:rsid w:val="00AB09A8"/>
    <w:rsid w:val="00AC0278"/>
    <w:rsid w:val="00AC0EC0"/>
    <w:rsid w:val="00AC4A24"/>
    <w:rsid w:val="00AC7C19"/>
    <w:rsid w:val="00AD74A0"/>
    <w:rsid w:val="00AF5738"/>
    <w:rsid w:val="00B039FD"/>
    <w:rsid w:val="00B07303"/>
    <w:rsid w:val="00B145AB"/>
    <w:rsid w:val="00B159C8"/>
    <w:rsid w:val="00B24B0B"/>
    <w:rsid w:val="00B25A10"/>
    <w:rsid w:val="00B366F2"/>
    <w:rsid w:val="00B4006A"/>
    <w:rsid w:val="00B55D27"/>
    <w:rsid w:val="00B566F4"/>
    <w:rsid w:val="00B56DB6"/>
    <w:rsid w:val="00B61D09"/>
    <w:rsid w:val="00B62931"/>
    <w:rsid w:val="00B6638D"/>
    <w:rsid w:val="00B749E7"/>
    <w:rsid w:val="00B80449"/>
    <w:rsid w:val="00B87513"/>
    <w:rsid w:val="00B92134"/>
    <w:rsid w:val="00B93D93"/>
    <w:rsid w:val="00B949F3"/>
    <w:rsid w:val="00BA03DD"/>
    <w:rsid w:val="00BA0A23"/>
    <w:rsid w:val="00BA2D99"/>
    <w:rsid w:val="00BA3224"/>
    <w:rsid w:val="00BA4159"/>
    <w:rsid w:val="00BA5604"/>
    <w:rsid w:val="00BB02BE"/>
    <w:rsid w:val="00BB0CA5"/>
    <w:rsid w:val="00BB4D8C"/>
    <w:rsid w:val="00BB7DF9"/>
    <w:rsid w:val="00BD0B79"/>
    <w:rsid w:val="00BD12C7"/>
    <w:rsid w:val="00BD4BE3"/>
    <w:rsid w:val="00BD6896"/>
    <w:rsid w:val="00BE7ECA"/>
    <w:rsid w:val="00BF3F73"/>
    <w:rsid w:val="00BF4F57"/>
    <w:rsid w:val="00BF60B7"/>
    <w:rsid w:val="00BF60FA"/>
    <w:rsid w:val="00C0071F"/>
    <w:rsid w:val="00C10D56"/>
    <w:rsid w:val="00C11E6A"/>
    <w:rsid w:val="00C1248A"/>
    <w:rsid w:val="00C128EC"/>
    <w:rsid w:val="00C15E00"/>
    <w:rsid w:val="00C16805"/>
    <w:rsid w:val="00C2324B"/>
    <w:rsid w:val="00C236CF"/>
    <w:rsid w:val="00C2420E"/>
    <w:rsid w:val="00C25BEE"/>
    <w:rsid w:val="00C34954"/>
    <w:rsid w:val="00C460F8"/>
    <w:rsid w:val="00C5158A"/>
    <w:rsid w:val="00C524F5"/>
    <w:rsid w:val="00C55478"/>
    <w:rsid w:val="00C5628A"/>
    <w:rsid w:val="00C57284"/>
    <w:rsid w:val="00C61FB2"/>
    <w:rsid w:val="00C66410"/>
    <w:rsid w:val="00C704E2"/>
    <w:rsid w:val="00C70974"/>
    <w:rsid w:val="00C75157"/>
    <w:rsid w:val="00C7568B"/>
    <w:rsid w:val="00C82AF8"/>
    <w:rsid w:val="00C858BF"/>
    <w:rsid w:val="00C870AF"/>
    <w:rsid w:val="00C9648C"/>
    <w:rsid w:val="00C96981"/>
    <w:rsid w:val="00C96FB2"/>
    <w:rsid w:val="00CA0431"/>
    <w:rsid w:val="00CA58DA"/>
    <w:rsid w:val="00CB551C"/>
    <w:rsid w:val="00CB56D6"/>
    <w:rsid w:val="00CB5F0C"/>
    <w:rsid w:val="00CB7777"/>
    <w:rsid w:val="00CC20FB"/>
    <w:rsid w:val="00CC3447"/>
    <w:rsid w:val="00CC49FF"/>
    <w:rsid w:val="00CD26F6"/>
    <w:rsid w:val="00CD2EC9"/>
    <w:rsid w:val="00CD3DB2"/>
    <w:rsid w:val="00CE0E37"/>
    <w:rsid w:val="00CE1EB2"/>
    <w:rsid w:val="00CE3404"/>
    <w:rsid w:val="00CE37DB"/>
    <w:rsid w:val="00CE6121"/>
    <w:rsid w:val="00CF1AF1"/>
    <w:rsid w:val="00CF1B5C"/>
    <w:rsid w:val="00CF24A2"/>
    <w:rsid w:val="00CF6F9B"/>
    <w:rsid w:val="00D03384"/>
    <w:rsid w:val="00D05373"/>
    <w:rsid w:val="00D072E4"/>
    <w:rsid w:val="00D106D9"/>
    <w:rsid w:val="00D10F32"/>
    <w:rsid w:val="00D12098"/>
    <w:rsid w:val="00D1348E"/>
    <w:rsid w:val="00D14B6E"/>
    <w:rsid w:val="00D1591E"/>
    <w:rsid w:val="00D1635C"/>
    <w:rsid w:val="00D22AC7"/>
    <w:rsid w:val="00D25FA1"/>
    <w:rsid w:val="00D27869"/>
    <w:rsid w:val="00D313BA"/>
    <w:rsid w:val="00D35C82"/>
    <w:rsid w:val="00D36C84"/>
    <w:rsid w:val="00D37BAD"/>
    <w:rsid w:val="00D40343"/>
    <w:rsid w:val="00D43982"/>
    <w:rsid w:val="00D44706"/>
    <w:rsid w:val="00D46D4F"/>
    <w:rsid w:val="00D47455"/>
    <w:rsid w:val="00D51B28"/>
    <w:rsid w:val="00D532F1"/>
    <w:rsid w:val="00D54FA8"/>
    <w:rsid w:val="00D604D6"/>
    <w:rsid w:val="00D61EAA"/>
    <w:rsid w:val="00D65A32"/>
    <w:rsid w:val="00D660D0"/>
    <w:rsid w:val="00D749AE"/>
    <w:rsid w:val="00D765A8"/>
    <w:rsid w:val="00D8093F"/>
    <w:rsid w:val="00D870DD"/>
    <w:rsid w:val="00D871F0"/>
    <w:rsid w:val="00D87F96"/>
    <w:rsid w:val="00D907AD"/>
    <w:rsid w:val="00D93914"/>
    <w:rsid w:val="00D96CE6"/>
    <w:rsid w:val="00DA48D8"/>
    <w:rsid w:val="00DB0830"/>
    <w:rsid w:val="00DB2808"/>
    <w:rsid w:val="00DB38F0"/>
    <w:rsid w:val="00DC010D"/>
    <w:rsid w:val="00DC6027"/>
    <w:rsid w:val="00DD5B5F"/>
    <w:rsid w:val="00DD628A"/>
    <w:rsid w:val="00DD676A"/>
    <w:rsid w:val="00DE0157"/>
    <w:rsid w:val="00DF066C"/>
    <w:rsid w:val="00E03BAA"/>
    <w:rsid w:val="00E05DE3"/>
    <w:rsid w:val="00E07222"/>
    <w:rsid w:val="00E11591"/>
    <w:rsid w:val="00E13166"/>
    <w:rsid w:val="00E134A4"/>
    <w:rsid w:val="00E24E6C"/>
    <w:rsid w:val="00E3314A"/>
    <w:rsid w:val="00E34D18"/>
    <w:rsid w:val="00E3522B"/>
    <w:rsid w:val="00E35DDB"/>
    <w:rsid w:val="00E42482"/>
    <w:rsid w:val="00E5045C"/>
    <w:rsid w:val="00E543DD"/>
    <w:rsid w:val="00E570CA"/>
    <w:rsid w:val="00E60ABF"/>
    <w:rsid w:val="00E700A5"/>
    <w:rsid w:val="00E708AA"/>
    <w:rsid w:val="00E73F86"/>
    <w:rsid w:val="00E742FC"/>
    <w:rsid w:val="00E80125"/>
    <w:rsid w:val="00E83D10"/>
    <w:rsid w:val="00E8509F"/>
    <w:rsid w:val="00E851A9"/>
    <w:rsid w:val="00E93565"/>
    <w:rsid w:val="00E958BC"/>
    <w:rsid w:val="00EA5467"/>
    <w:rsid w:val="00EA5F1D"/>
    <w:rsid w:val="00EB1F05"/>
    <w:rsid w:val="00EB25C1"/>
    <w:rsid w:val="00EB2D33"/>
    <w:rsid w:val="00EB2D82"/>
    <w:rsid w:val="00EB41A9"/>
    <w:rsid w:val="00EC178F"/>
    <w:rsid w:val="00ED0154"/>
    <w:rsid w:val="00ED0E54"/>
    <w:rsid w:val="00ED350B"/>
    <w:rsid w:val="00ED43B3"/>
    <w:rsid w:val="00ED510A"/>
    <w:rsid w:val="00ED7CF3"/>
    <w:rsid w:val="00EE10EF"/>
    <w:rsid w:val="00EE16A1"/>
    <w:rsid w:val="00EE314C"/>
    <w:rsid w:val="00EE3B11"/>
    <w:rsid w:val="00EE5758"/>
    <w:rsid w:val="00EE59BD"/>
    <w:rsid w:val="00EE7611"/>
    <w:rsid w:val="00EF18A8"/>
    <w:rsid w:val="00EF35DF"/>
    <w:rsid w:val="00EF3875"/>
    <w:rsid w:val="00EF3B4F"/>
    <w:rsid w:val="00F010DC"/>
    <w:rsid w:val="00F033B7"/>
    <w:rsid w:val="00F03D7F"/>
    <w:rsid w:val="00F15192"/>
    <w:rsid w:val="00F24902"/>
    <w:rsid w:val="00F24959"/>
    <w:rsid w:val="00F25761"/>
    <w:rsid w:val="00F3426D"/>
    <w:rsid w:val="00F351FF"/>
    <w:rsid w:val="00F42624"/>
    <w:rsid w:val="00F43BF3"/>
    <w:rsid w:val="00F5195D"/>
    <w:rsid w:val="00F52A87"/>
    <w:rsid w:val="00F543A1"/>
    <w:rsid w:val="00F73633"/>
    <w:rsid w:val="00F73AA0"/>
    <w:rsid w:val="00F74C1C"/>
    <w:rsid w:val="00F81708"/>
    <w:rsid w:val="00F9490B"/>
    <w:rsid w:val="00FB1DBE"/>
    <w:rsid w:val="00FB223D"/>
    <w:rsid w:val="00FB27C4"/>
    <w:rsid w:val="00FC5C84"/>
    <w:rsid w:val="00FD1143"/>
    <w:rsid w:val="00FD4F9E"/>
    <w:rsid w:val="00FE0B0A"/>
    <w:rsid w:val="00FE238A"/>
    <w:rsid w:val="00FE24F6"/>
    <w:rsid w:val="00FE3940"/>
    <w:rsid w:val="00FE4975"/>
    <w:rsid w:val="00FE7F7A"/>
    <w:rsid w:val="00FF1919"/>
    <w:rsid w:val="01EB692D"/>
    <w:rsid w:val="02421F30"/>
    <w:rsid w:val="02481BBA"/>
    <w:rsid w:val="02B70918"/>
    <w:rsid w:val="02D50DC8"/>
    <w:rsid w:val="0304133D"/>
    <w:rsid w:val="035F2313"/>
    <w:rsid w:val="03BD558E"/>
    <w:rsid w:val="040E4592"/>
    <w:rsid w:val="049F343C"/>
    <w:rsid w:val="05597A8E"/>
    <w:rsid w:val="05946D18"/>
    <w:rsid w:val="070D05B6"/>
    <w:rsid w:val="072A44EC"/>
    <w:rsid w:val="07754928"/>
    <w:rsid w:val="07C75183"/>
    <w:rsid w:val="07F43A9E"/>
    <w:rsid w:val="08B374B6"/>
    <w:rsid w:val="08DD4532"/>
    <w:rsid w:val="08FF32E6"/>
    <w:rsid w:val="0989613F"/>
    <w:rsid w:val="09A57A79"/>
    <w:rsid w:val="09F45FD8"/>
    <w:rsid w:val="0A380128"/>
    <w:rsid w:val="0A766D81"/>
    <w:rsid w:val="0A982E07"/>
    <w:rsid w:val="0AA86B3B"/>
    <w:rsid w:val="0AC06079"/>
    <w:rsid w:val="0AC313FE"/>
    <w:rsid w:val="0BBD1C57"/>
    <w:rsid w:val="0BCE4606"/>
    <w:rsid w:val="0BF52F01"/>
    <w:rsid w:val="0C985340"/>
    <w:rsid w:val="0CBB102F"/>
    <w:rsid w:val="0CC0584F"/>
    <w:rsid w:val="0D5B2211"/>
    <w:rsid w:val="0E1E061D"/>
    <w:rsid w:val="107C48E6"/>
    <w:rsid w:val="109B4BF6"/>
    <w:rsid w:val="1131683D"/>
    <w:rsid w:val="1172202F"/>
    <w:rsid w:val="11D232D5"/>
    <w:rsid w:val="12535865"/>
    <w:rsid w:val="12767977"/>
    <w:rsid w:val="128D521B"/>
    <w:rsid w:val="12AB0A4B"/>
    <w:rsid w:val="12D9361E"/>
    <w:rsid w:val="135D4BEE"/>
    <w:rsid w:val="14142EE5"/>
    <w:rsid w:val="14C34F24"/>
    <w:rsid w:val="14CF46FF"/>
    <w:rsid w:val="14EF5D19"/>
    <w:rsid w:val="15253F96"/>
    <w:rsid w:val="15CC296A"/>
    <w:rsid w:val="15E24076"/>
    <w:rsid w:val="16064466"/>
    <w:rsid w:val="161B0493"/>
    <w:rsid w:val="162368FF"/>
    <w:rsid w:val="16D73C94"/>
    <w:rsid w:val="16FE2244"/>
    <w:rsid w:val="174E716C"/>
    <w:rsid w:val="17A07434"/>
    <w:rsid w:val="17AC0265"/>
    <w:rsid w:val="18047D2E"/>
    <w:rsid w:val="180732F5"/>
    <w:rsid w:val="18355BC4"/>
    <w:rsid w:val="18816B90"/>
    <w:rsid w:val="18CA48C3"/>
    <w:rsid w:val="196E275E"/>
    <w:rsid w:val="19755131"/>
    <w:rsid w:val="19E41BC5"/>
    <w:rsid w:val="1A0A0EFF"/>
    <w:rsid w:val="1A361CF4"/>
    <w:rsid w:val="1AB66CBD"/>
    <w:rsid w:val="1ADC0AEE"/>
    <w:rsid w:val="1AE300CE"/>
    <w:rsid w:val="1B527002"/>
    <w:rsid w:val="1B5622E9"/>
    <w:rsid w:val="1CA34633"/>
    <w:rsid w:val="1CAE64BA"/>
    <w:rsid w:val="1CB735C0"/>
    <w:rsid w:val="1CDB6B83"/>
    <w:rsid w:val="1D4F3380"/>
    <w:rsid w:val="1E1F09F2"/>
    <w:rsid w:val="1E7A6B8C"/>
    <w:rsid w:val="1EB63404"/>
    <w:rsid w:val="1F264A2D"/>
    <w:rsid w:val="1F8A3411"/>
    <w:rsid w:val="1FDF6D6C"/>
    <w:rsid w:val="203F72E7"/>
    <w:rsid w:val="2063779B"/>
    <w:rsid w:val="20C0149D"/>
    <w:rsid w:val="215A09BE"/>
    <w:rsid w:val="21B17E1E"/>
    <w:rsid w:val="21EF55AB"/>
    <w:rsid w:val="21F61E90"/>
    <w:rsid w:val="22201F41"/>
    <w:rsid w:val="22372FA2"/>
    <w:rsid w:val="22BD1205"/>
    <w:rsid w:val="23BA1BE8"/>
    <w:rsid w:val="241B0D9D"/>
    <w:rsid w:val="24DE5462"/>
    <w:rsid w:val="24EC4023"/>
    <w:rsid w:val="25714529"/>
    <w:rsid w:val="25A466AC"/>
    <w:rsid w:val="25CE197B"/>
    <w:rsid w:val="26490E89"/>
    <w:rsid w:val="265C1C06"/>
    <w:rsid w:val="265F1667"/>
    <w:rsid w:val="26F731DA"/>
    <w:rsid w:val="27570C94"/>
    <w:rsid w:val="27800C32"/>
    <w:rsid w:val="278422F1"/>
    <w:rsid w:val="28226EB7"/>
    <w:rsid w:val="28734952"/>
    <w:rsid w:val="28B44E58"/>
    <w:rsid w:val="28BE3454"/>
    <w:rsid w:val="29253EF7"/>
    <w:rsid w:val="294F5552"/>
    <w:rsid w:val="29543D0A"/>
    <w:rsid w:val="2A6E1037"/>
    <w:rsid w:val="2B5841C1"/>
    <w:rsid w:val="2BB563D7"/>
    <w:rsid w:val="2BD3004D"/>
    <w:rsid w:val="2BD61607"/>
    <w:rsid w:val="2C617BBA"/>
    <w:rsid w:val="2D7C3A6A"/>
    <w:rsid w:val="2DA33247"/>
    <w:rsid w:val="2DA90D03"/>
    <w:rsid w:val="2E2A72A1"/>
    <w:rsid w:val="2E70452F"/>
    <w:rsid w:val="2E9B6172"/>
    <w:rsid w:val="2F3B3032"/>
    <w:rsid w:val="305F1B4D"/>
    <w:rsid w:val="318B019C"/>
    <w:rsid w:val="31D76B5E"/>
    <w:rsid w:val="31EB06D9"/>
    <w:rsid w:val="321B4FE3"/>
    <w:rsid w:val="322359BF"/>
    <w:rsid w:val="329D695D"/>
    <w:rsid w:val="32F747FD"/>
    <w:rsid w:val="335C05C6"/>
    <w:rsid w:val="3364747B"/>
    <w:rsid w:val="340048CA"/>
    <w:rsid w:val="346A2472"/>
    <w:rsid w:val="34AD6167"/>
    <w:rsid w:val="34B00BC9"/>
    <w:rsid w:val="36AE7F8E"/>
    <w:rsid w:val="36C34A09"/>
    <w:rsid w:val="37CA01F4"/>
    <w:rsid w:val="38E86458"/>
    <w:rsid w:val="391F631E"/>
    <w:rsid w:val="39355A8E"/>
    <w:rsid w:val="393578EF"/>
    <w:rsid w:val="39AE31FE"/>
    <w:rsid w:val="3A7B7BEF"/>
    <w:rsid w:val="3AFD14AC"/>
    <w:rsid w:val="3B201ED9"/>
    <w:rsid w:val="3B506718"/>
    <w:rsid w:val="3B5B744E"/>
    <w:rsid w:val="3B8978F9"/>
    <w:rsid w:val="3BD61360"/>
    <w:rsid w:val="3C3022CE"/>
    <w:rsid w:val="3C3420E0"/>
    <w:rsid w:val="3CB13731"/>
    <w:rsid w:val="3D7D780B"/>
    <w:rsid w:val="3DC72AE0"/>
    <w:rsid w:val="3E122463"/>
    <w:rsid w:val="3F125FDD"/>
    <w:rsid w:val="3F7FE365"/>
    <w:rsid w:val="3F8213B4"/>
    <w:rsid w:val="3FCF3AF8"/>
    <w:rsid w:val="4061546E"/>
    <w:rsid w:val="40877825"/>
    <w:rsid w:val="40EF2CD6"/>
    <w:rsid w:val="412B3CE0"/>
    <w:rsid w:val="412D5350"/>
    <w:rsid w:val="414508EB"/>
    <w:rsid w:val="421B5119"/>
    <w:rsid w:val="43027484"/>
    <w:rsid w:val="430420E0"/>
    <w:rsid w:val="43A538C3"/>
    <w:rsid w:val="4404683C"/>
    <w:rsid w:val="462759B8"/>
    <w:rsid w:val="470313DD"/>
    <w:rsid w:val="47070B66"/>
    <w:rsid w:val="475DEE12"/>
    <w:rsid w:val="47653656"/>
    <w:rsid w:val="49107A31"/>
    <w:rsid w:val="491237A9"/>
    <w:rsid w:val="497E0E3E"/>
    <w:rsid w:val="499132A2"/>
    <w:rsid w:val="49BA14B8"/>
    <w:rsid w:val="49BD03E9"/>
    <w:rsid w:val="49F509D5"/>
    <w:rsid w:val="4A02381D"/>
    <w:rsid w:val="4A0550BC"/>
    <w:rsid w:val="4A08087B"/>
    <w:rsid w:val="4A547DF1"/>
    <w:rsid w:val="4AFD2237"/>
    <w:rsid w:val="4B447E66"/>
    <w:rsid w:val="4BAE61DE"/>
    <w:rsid w:val="4BBF0694"/>
    <w:rsid w:val="4C893ADF"/>
    <w:rsid w:val="4C8D179C"/>
    <w:rsid w:val="4C986DBE"/>
    <w:rsid w:val="4CE27936"/>
    <w:rsid w:val="4CF8134C"/>
    <w:rsid w:val="4D1B4BF6"/>
    <w:rsid w:val="4D3B65E2"/>
    <w:rsid w:val="4DCA14E6"/>
    <w:rsid w:val="4DF46741"/>
    <w:rsid w:val="4E375A60"/>
    <w:rsid w:val="4E8406DF"/>
    <w:rsid w:val="4EC2357B"/>
    <w:rsid w:val="4F8151E4"/>
    <w:rsid w:val="4F976690"/>
    <w:rsid w:val="50570C0D"/>
    <w:rsid w:val="51220301"/>
    <w:rsid w:val="518460E1"/>
    <w:rsid w:val="51B80C66"/>
    <w:rsid w:val="51EBB919"/>
    <w:rsid w:val="51F24178"/>
    <w:rsid w:val="521F6F37"/>
    <w:rsid w:val="52581E0A"/>
    <w:rsid w:val="52B07B8F"/>
    <w:rsid w:val="53361F8B"/>
    <w:rsid w:val="53542C10"/>
    <w:rsid w:val="53884C19"/>
    <w:rsid w:val="53AB0A82"/>
    <w:rsid w:val="53D4725C"/>
    <w:rsid w:val="549B6E84"/>
    <w:rsid w:val="550164DD"/>
    <w:rsid w:val="554A6079"/>
    <w:rsid w:val="56582A17"/>
    <w:rsid w:val="571C2784"/>
    <w:rsid w:val="57321437"/>
    <w:rsid w:val="57BB14B0"/>
    <w:rsid w:val="58283A44"/>
    <w:rsid w:val="58AF5740"/>
    <w:rsid w:val="58E82486"/>
    <w:rsid w:val="591F323F"/>
    <w:rsid w:val="597A00AF"/>
    <w:rsid w:val="59CF43DA"/>
    <w:rsid w:val="59D4262E"/>
    <w:rsid w:val="59DB2A48"/>
    <w:rsid w:val="5A3B2434"/>
    <w:rsid w:val="5A5359CF"/>
    <w:rsid w:val="5AA47FD9"/>
    <w:rsid w:val="5AD20FEA"/>
    <w:rsid w:val="5AFD017B"/>
    <w:rsid w:val="5B876A40"/>
    <w:rsid w:val="5C1A7F9B"/>
    <w:rsid w:val="5CD65674"/>
    <w:rsid w:val="5D941783"/>
    <w:rsid w:val="5E6301AB"/>
    <w:rsid w:val="5FD7CDAA"/>
    <w:rsid w:val="60583D40"/>
    <w:rsid w:val="60822B6A"/>
    <w:rsid w:val="6088092C"/>
    <w:rsid w:val="60A0723A"/>
    <w:rsid w:val="60DB1C99"/>
    <w:rsid w:val="61337605"/>
    <w:rsid w:val="619C1A0A"/>
    <w:rsid w:val="619F3A0B"/>
    <w:rsid w:val="621A5A10"/>
    <w:rsid w:val="62652AA7"/>
    <w:rsid w:val="629F5BE9"/>
    <w:rsid w:val="62A61603"/>
    <w:rsid w:val="62AC7D9D"/>
    <w:rsid w:val="630C7063"/>
    <w:rsid w:val="635B76A3"/>
    <w:rsid w:val="64340620"/>
    <w:rsid w:val="64DB1AE9"/>
    <w:rsid w:val="650F7CFA"/>
    <w:rsid w:val="65CD2ADA"/>
    <w:rsid w:val="66B45A48"/>
    <w:rsid w:val="66F21210"/>
    <w:rsid w:val="673F5EBD"/>
    <w:rsid w:val="67BA1411"/>
    <w:rsid w:val="691E5254"/>
    <w:rsid w:val="6944668F"/>
    <w:rsid w:val="69944F9A"/>
    <w:rsid w:val="6ACD08C4"/>
    <w:rsid w:val="6B7B4D86"/>
    <w:rsid w:val="6C5437FF"/>
    <w:rsid w:val="6D194857"/>
    <w:rsid w:val="6D7972B6"/>
    <w:rsid w:val="6E0D41E3"/>
    <w:rsid w:val="6E3D4575"/>
    <w:rsid w:val="6E554C00"/>
    <w:rsid w:val="6EA30A41"/>
    <w:rsid w:val="6FA979F2"/>
    <w:rsid w:val="6FB646F0"/>
    <w:rsid w:val="6FD04CBB"/>
    <w:rsid w:val="707D6EAA"/>
    <w:rsid w:val="709D579F"/>
    <w:rsid w:val="71847E56"/>
    <w:rsid w:val="72637594"/>
    <w:rsid w:val="728E1843"/>
    <w:rsid w:val="72B56DCF"/>
    <w:rsid w:val="72BC4399"/>
    <w:rsid w:val="73463ECB"/>
    <w:rsid w:val="737441C4"/>
    <w:rsid w:val="73762D4A"/>
    <w:rsid w:val="739F6935"/>
    <w:rsid w:val="749E4DE3"/>
    <w:rsid w:val="75846F2D"/>
    <w:rsid w:val="75E63744"/>
    <w:rsid w:val="767D131E"/>
    <w:rsid w:val="76AE4262"/>
    <w:rsid w:val="76C535C1"/>
    <w:rsid w:val="7722525B"/>
    <w:rsid w:val="774118AE"/>
    <w:rsid w:val="77D06C22"/>
    <w:rsid w:val="78167BB4"/>
    <w:rsid w:val="78A628A2"/>
    <w:rsid w:val="79196E3A"/>
    <w:rsid w:val="79F006ED"/>
    <w:rsid w:val="7A633959"/>
    <w:rsid w:val="7AC027B5"/>
    <w:rsid w:val="7B130B37"/>
    <w:rsid w:val="7B1E6822"/>
    <w:rsid w:val="7B21328F"/>
    <w:rsid w:val="7B937ECA"/>
    <w:rsid w:val="7BE71869"/>
    <w:rsid w:val="7C266648"/>
    <w:rsid w:val="7C3268E9"/>
    <w:rsid w:val="7CC13C48"/>
    <w:rsid w:val="7DAA36DC"/>
    <w:rsid w:val="7DF051C9"/>
    <w:rsid w:val="7E9E2E0E"/>
    <w:rsid w:val="7EBD625D"/>
    <w:rsid w:val="7FB977D3"/>
    <w:rsid w:val="7FE717EF"/>
    <w:rsid w:val="9ADD5B20"/>
    <w:rsid w:val="9FDF6AD4"/>
    <w:rsid w:val="BEE5CFD1"/>
    <w:rsid w:val="D7BFA5B4"/>
    <w:rsid w:val="D7E89ED8"/>
    <w:rsid w:val="DF75DD18"/>
    <w:rsid w:val="DFBF9BE1"/>
    <w:rsid w:val="E37DC90A"/>
    <w:rsid w:val="EF2ECBAF"/>
    <w:rsid w:val="EF71F47B"/>
    <w:rsid w:val="F60DDDE8"/>
    <w:rsid w:val="F7A1AF68"/>
    <w:rsid w:val="F9BED7FB"/>
    <w:rsid w:val="FBFF091F"/>
    <w:rsid w:val="FEBFD5A7"/>
    <w:rsid w:val="FF2D8B23"/>
    <w:rsid w:val="FF5FD8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0"/>
    <w:qFormat/>
    <w:uiPriority w:val="0"/>
    <w:pPr>
      <w:keepNext/>
      <w:keepLines/>
      <w:numPr>
        <w:ilvl w:val="0"/>
        <w:numId w:val="1"/>
      </w:numPr>
      <w:adjustRightInd w:val="0"/>
      <w:spacing w:before="340" w:after="330" w:line="360" w:lineRule="auto"/>
      <w:outlineLvl w:val="0"/>
    </w:pPr>
    <w:rPr>
      <w:rFonts w:ascii="宋体" w:hAnsi="宋体"/>
      <w:b/>
      <w:bCs/>
      <w:kern w:val="44"/>
      <w:sz w:val="24"/>
      <w:szCs w:val="44"/>
    </w:rPr>
  </w:style>
  <w:style w:type="paragraph" w:styleId="3">
    <w:name w:val="heading 2"/>
    <w:basedOn w:val="1"/>
    <w:next w:val="1"/>
    <w:qFormat/>
    <w:uiPriority w:val="0"/>
    <w:pPr>
      <w:keepNext/>
      <w:keepLines/>
      <w:numPr>
        <w:ilvl w:val="1"/>
        <w:numId w:val="1"/>
      </w:numPr>
      <w:autoSpaceDE w:val="0"/>
      <w:autoSpaceDN w:val="0"/>
      <w:adjustRightInd w:val="0"/>
      <w:spacing w:line="360" w:lineRule="auto"/>
      <w:ind w:left="573" w:hanging="573"/>
      <w:outlineLvl w:val="1"/>
    </w:pPr>
    <w:rPr>
      <w:rFonts w:ascii="黑体" w:hAnsi="黑体"/>
      <w:kern w:val="44"/>
      <w:sz w:val="24"/>
      <w:lang w:val="zh-CN"/>
    </w:rPr>
  </w:style>
  <w:style w:type="paragraph" w:styleId="4">
    <w:name w:val="heading 3"/>
    <w:basedOn w:val="1"/>
    <w:next w:val="1"/>
    <w:qFormat/>
    <w:uiPriority w:val="0"/>
    <w:pPr>
      <w:keepLines/>
      <w:numPr>
        <w:ilvl w:val="2"/>
        <w:numId w:val="1"/>
      </w:numPr>
      <w:autoSpaceDE w:val="0"/>
      <w:autoSpaceDN w:val="0"/>
      <w:adjustRightInd w:val="0"/>
      <w:spacing w:line="360" w:lineRule="auto"/>
      <w:jc w:val="left"/>
      <w:outlineLvl w:val="2"/>
    </w:pPr>
    <w:rPr>
      <w:rFonts w:ascii="宋体" w:hAnsi="宋体"/>
      <w:kern w:val="0"/>
      <w:sz w:val="24"/>
      <w:lang w:val="zh-CN"/>
    </w:rPr>
  </w:style>
  <w:style w:type="paragraph" w:styleId="5">
    <w:name w:val="heading 4"/>
    <w:basedOn w:val="1"/>
    <w:next w:val="1"/>
    <w:link w:val="41"/>
    <w:qFormat/>
    <w:uiPriority w:val="0"/>
    <w:pPr>
      <w:keepNext/>
      <w:numPr>
        <w:ilvl w:val="3"/>
        <w:numId w:val="1"/>
      </w:numPr>
      <w:tabs>
        <w:tab w:val="left" w:pos="1303"/>
      </w:tabs>
      <w:autoSpaceDE w:val="0"/>
      <w:autoSpaceDN w:val="0"/>
      <w:adjustRightInd w:val="0"/>
      <w:spacing w:line="360" w:lineRule="auto"/>
      <w:ind w:left="862" w:hanging="862"/>
      <w:jc w:val="left"/>
      <w:outlineLvl w:val="3"/>
    </w:pPr>
    <w:rPr>
      <w:rFonts w:ascii="宋体" w:hAnsi="宋体"/>
      <w:color w:val="000000"/>
      <w:sz w:val="24"/>
      <w:lang w:val="zh-CN"/>
    </w:rPr>
  </w:style>
  <w:style w:type="paragraph" w:styleId="6">
    <w:name w:val="heading 5"/>
    <w:basedOn w:val="1"/>
    <w:next w:val="7"/>
    <w:qFormat/>
    <w:uiPriority w:val="0"/>
    <w:pPr>
      <w:keepNext/>
      <w:keepLines/>
      <w:numPr>
        <w:ilvl w:val="4"/>
        <w:numId w:val="1"/>
      </w:numPr>
      <w:spacing w:before="280" w:after="290" w:line="376" w:lineRule="auto"/>
      <w:outlineLvl w:val="4"/>
    </w:pPr>
    <w:rPr>
      <w:b/>
      <w:sz w:val="28"/>
      <w:szCs w:val="20"/>
    </w:rPr>
  </w:style>
  <w:style w:type="paragraph" w:styleId="8">
    <w:name w:val="heading 6"/>
    <w:basedOn w:val="1"/>
    <w:next w:val="7"/>
    <w:qFormat/>
    <w:uiPriority w:val="0"/>
    <w:pPr>
      <w:keepNext/>
      <w:keepLines/>
      <w:numPr>
        <w:ilvl w:val="5"/>
        <w:numId w:val="1"/>
      </w:numPr>
      <w:spacing w:before="240" w:after="64" w:line="320" w:lineRule="auto"/>
      <w:outlineLvl w:val="5"/>
    </w:pPr>
    <w:rPr>
      <w:rFonts w:ascii="Arial" w:hAnsi="Arial" w:eastAsia="黑体"/>
      <w:b/>
      <w:sz w:val="24"/>
      <w:szCs w:val="20"/>
    </w:rPr>
  </w:style>
  <w:style w:type="paragraph" w:styleId="9">
    <w:name w:val="heading 7"/>
    <w:basedOn w:val="1"/>
    <w:next w:val="7"/>
    <w:qFormat/>
    <w:uiPriority w:val="0"/>
    <w:pPr>
      <w:keepNext/>
      <w:keepLines/>
      <w:numPr>
        <w:ilvl w:val="6"/>
        <w:numId w:val="1"/>
      </w:numPr>
      <w:spacing w:before="240" w:after="64" w:line="320" w:lineRule="auto"/>
      <w:outlineLvl w:val="6"/>
    </w:pPr>
    <w:rPr>
      <w:b/>
      <w:sz w:val="24"/>
      <w:szCs w:val="20"/>
    </w:rPr>
  </w:style>
  <w:style w:type="paragraph" w:styleId="10">
    <w:name w:val="heading 8"/>
    <w:basedOn w:val="1"/>
    <w:next w:val="7"/>
    <w:qFormat/>
    <w:uiPriority w:val="0"/>
    <w:pPr>
      <w:keepNext/>
      <w:keepLines/>
      <w:numPr>
        <w:ilvl w:val="7"/>
        <w:numId w:val="1"/>
      </w:numPr>
      <w:spacing w:before="240" w:after="64" w:line="320" w:lineRule="auto"/>
      <w:outlineLvl w:val="7"/>
    </w:pPr>
    <w:rPr>
      <w:rFonts w:ascii="Arial" w:hAnsi="Arial" w:eastAsia="黑体"/>
      <w:sz w:val="24"/>
      <w:szCs w:val="20"/>
    </w:rPr>
  </w:style>
  <w:style w:type="paragraph" w:styleId="11">
    <w:name w:val="heading 9"/>
    <w:basedOn w:val="1"/>
    <w:next w:val="7"/>
    <w:qFormat/>
    <w:uiPriority w:val="0"/>
    <w:pPr>
      <w:keepNext/>
      <w:keepLines/>
      <w:numPr>
        <w:ilvl w:val="8"/>
        <w:numId w:val="1"/>
      </w:numPr>
      <w:spacing w:before="240" w:after="64" w:line="320" w:lineRule="auto"/>
      <w:outlineLvl w:val="8"/>
    </w:pPr>
    <w:rPr>
      <w:rFonts w:ascii="Arial" w:hAnsi="Arial" w:eastAsia="黑体"/>
      <w:szCs w:val="20"/>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spacing w:line="360" w:lineRule="auto"/>
      <w:ind w:firstLine="200" w:firstLineChars="200"/>
    </w:pPr>
    <w:rPr>
      <w:rFonts w:ascii="Arial" w:hAnsi="Arial"/>
    </w:rPr>
  </w:style>
  <w:style w:type="paragraph" w:styleId="12">
    <w:name w:val="toc 7"/>
    <w:basedOn w:val="1"/>
    <w:next w:val="1"/>
    <w:semiHidden/>
    <w:qFormat/>
    <w:uiPriority w:val="0"/>
    <w:pPr>
      <w:ind w:left="2520" w:leftChars="1200"/>
    </w:pPr>
  </w:style>
  <w:style w:type="paragraph" w:styleId="13">
    <w:name w:val="Document Map"/>
    <w:basedOn w:val="1"/>
    <w:semiHidden/>
    <w:qFormat/>
    <w:uiPriority w:val="0"/>
    <w:pPr>
      <w:shd w:val="clear" w:color="auto" w:fill="000080"/>
    </w:pPr>
  </w:style>
  <w:style w:type="paragraph" w:styleId="14">
    <w:name w:val="annotation text"/>
    <w:basedOn w:val="1"/>
    <w:semiHidden/>
    <w:qFormat/>
    <w:uiPriority w:val="0"/>
    <w:pPr>
      <w:jc w:val="left"/>
    </w:pPr>
  </w:style>
  <w:style w:type="paragraph" w:styleId="15">
    <w:name w:val="Body Text"/>
    <w:basedOn w:val="1"/>
    <w:qFormat/>
    <w:uiPriority w:val="0"/>
    <w:pPr>
      <w:autoSpaceDE w:val="0"/>
      <w:autoSpaceDN w:val="0"/>
      <w:adjustRightInd w:val="0"/>
      <w:spacing w:after="120"/>
      <w:jc w:val="left"/>
    </w:pPr>
    <w:rPr>
      <w:kern w:val="0"/>
      <w:sz w:val="20"/>
    </w:rPr>
  </w:style>
  <w:style w:type="paragraph" w:styleId="16">
    <w:name w:val="Body Text Indent"/>
    <w:basedOn w:val="1"/>
    <w:qFormat/>
    <w:uiPriority w:val="0"/>
    <w:pPr>
      <w:widowControl/>
      <w:spacing w:before="240" w:after="120" w:line="288" w:lineRule="auto"/>
      <w:ind w:left="420" w:leftChars="200" w:firstLine="454"/>
      <w:jc w:val="left"/>
    </w:pPr>
    <w:rPr>
      <w:kern w:val="0"/>
    </w:rPr>
  </w:style>
  <w:style w:type="paragraph" w:styleId="17">
    <w:name w:val="toc 5"/>
    <w:basedOn w:val="1"/>
    <w:next w:val="1"/>
    <w:semiHidden/>
    <w:qFormat/>
    <w:uiPriority w:val="0"/>
    <w:pPr>
      <w:ind w:left="1680" w:leftChars="800"/>
    </w:pPr>
  </w:style>
  <w:style w:type="paragraph" w:styleId="18">
    <w:name w:val="toc 3"/>
    <w:basedOn w:val="1"/>
    <w:next w:val="1"/>
    <w:qFormat/>
    <w:uiPriority w:val="39"/>
    <w:pPr>
      <w:tabs>
        <w:tab w:val="right" w:leader="dot" w:pos="9962"/>
      </w:tabs>
      <w:ind w:left="840" w:leftChars="400"/>
    </w:pPr>
    <w:rPr>
      <w:rFonts w:ascii="宋体" w:hAnsi="宋体"/>
      <w:b/>
      <w:bCs/>
    </w:rPr>
  </w:style>
  <w:style w:type="paragraph" w:styleId="19">
    <w:name w:val="toc 8"/>
    <w:basedOn w:val="1"/>
    <w:next w:val="1"/>
    <w:semiHidden/>
    <w:qFormat/>
    <w:uiPriority w:val="0"/>
    <w:pPr>
      <w:ind w:left="2940" w:leftChars="1400"/>
    </w:pPr>
  </w:style>
  <w:style w:type="paragraph" w:styleId="20">
    <w:name w:val="Body Text Indent 2"/>
    <w:basedOn w:val="1"/>
    <w:qFormat/>
    <w:uiPriority w:val="0"/>
    <w:pPr>
      <w:spacing w:line="360" w:lineRule="auto"/>
      <w:ind w:firstLine="420"/>
    </w:pPr>
    <w:rPr>
      <w:rFonts w:hAnsi="Arial"/>
      <w:sz w:val="24"/>
    </w:rPr>
  </w:style>
  <w:style w:type="paragraph" w:styleId="21">
    <w:name w:val="Balloon Text"/>
    <w:basedOn w:val="1"/>
    <w:semiHidden/>
    <w:qFormat/>
    <w:uiPriority w:val="0"/>
    <w:rPr>
      <w:sz w:val="18"/>
      <w:szCs w:val="18"/>
    </w:rPr>
  </w:style>
  <w:style w:type="paragraph" w:styleId="22">
    <w:name w:val="footer"/>
    <w:basedOn w:val="1"/>
    <w:qFormat/>
    <w:uiPriority w:val="0"/>
    <w:pPr>
      <w:tabs>
        <w:tab w:val="center" w:pos="4153"/>
        <w:tab w:val="right" w:pos="8306"/>
      </w:tabs>
      <w:autoSpaceDE w:val="0"/>
      <w:autoSpaceDN w:val="0"/>
      <w:adjustRightInd w:val="0"/>
      <w:snapToGrid w:val="0"/>
      <w:jc w:val="left"/>
    </w:pPr>
    <w:rPr>
      <w:kern w:val="0"/>
      <w:sz w:val="18"/>
      <w:szCs w:val="18"/>
    </w:rPr>
  </w:style>
  <w:style w:type="paragraph" w:styleId="23">
    <w:name w:val="header"/>
    <w:basedOn w:val="1"/>
    <w:qFormat/>
    <w:uiPriority w:val="0"/>
    <w:pPr>
      <w:pBdr>
        <w:bottom w:val="single" w:color="auto" w:sz="6" w:space="1"/>
      </w:pBdr>
      <w:tabs>
        <w:tab w:val="center" w:pos="4153"/>
        <w:tab w:val="right" w:pos="8306"/>
      </w:tabs>
      <w:autoSpaceDE w:val="0"/>
      <w:autoSpaceDN w:val="0"/>
      <w:adjustRightInd w:val="0"/>
      <w:snapToGrid w:val="0"/>
      <w:jc w:val="center"/>
    </w:pPr>
    <w:rPr>
      <w:kern w:val="0"/>
      <w:sz w:val="18"/>
      <w:szCs w:val="18"/>
    </w:rPr>
  </w:style>
  <w:style w:type="paragraph" w:styleId="24">
    <w:name w:val="toc 1"/>
    <w:basedOn w:val="1"/>
    <w:next w:val="25"/>
    <w:semiHidden/>
    <w:qFormat/>
    <w:uiPriority w:val="0"/>
    <w:pPr>
      <w:tabs>
        <w:tab w:val="right" w:leader="dot" w:pos="8960"/>
      </w:tabs>
      <w:spacing w:line="412" w:lineRule="atLeast"/>
    </w:pPr>
    <w:rPr>
      <w:rFonts w:ascii="新宋体" w:hAnsi="新宋体" w:eastAsia="新宋体"/>
      <w:color w:val="000000"/>
      <w:sz w:val="28"/>
      <w:shd w:val="pct10" w:color="auto" w:fill="FFFFFF"/>
    </w:rPr>
  </w:style>
  <w:style w:type="paragraph" w:styleId="25">
    <w:name w:val="Body Text First Indent"/>
    <w:basedOn w:val="15"/>
    <w:qFormat/>
    <w:uiPriority w:val="0"/>
    <w:pPr>
      <w:ind w:firstLine="420" w:firstLineChars="100"/>
    </w:pPr>
  </w:style>
  <w:style w:type="paragraph" w:styleId="26">
    <w:name w:val="toc 4"/>
    <w:basedOn w:val="1"/>
    <w:next w:val="1"/>
    <w:semiHidden/>
    <w:qFormat/>
    <w:uiPriority w:val="0"/>
    <w:pPr>
      <w:ind w:left="1260" w:leftChars="600"/>
    </w:pPr>
  </w:style>
  <w:style w:type="paragraph" w:styleId="27">
    <w:name w:val="toc 6"/>
    <w:basedOn w:val="1"/>
    <w:next w:val="1"/>
    <w:semiHidden/>
    <w:qFormat/>
    <w:uiPriority w:val="0"/>
    <w:pPr>
      <w:ind w:left="2100" w:leftChars="1000"/>
    </w:pPr>
  </w:style>
  <w:style w:type="paragraph" w:styleId="28">
    <w:name w:val="toc 2"/>
    <w:basedOn w:val="1"/>
    <w:next w:val="1"/>
    <w:qFormat/>
    <w:uiPriority w:val="39"/>
    <w:pPr>
      <w:autoSpaceDE w:val="0"/>
      <w:autoSpaceDN w:val="0"/>
      <w:adjustRightInd w:val="0"/>
      <w:ind w:left="200"/>
    </w:pPr>
    <w:rPr>
      <w:rFonts w:ascii="新宋体" w:hAnsi="新宋体" w:eastAsia="新宋体"/>
      <w:smallCaps/>
      <w:color w:val="000000"/>
      <w:kern w:val="0"/>
      <w:sz w:val="28"/>
      <w:szCs w:val="20"/>
      <w:shd w:val="pct10" w:color="auto" w:fill="FFFFFF"/>
    </w:rPr>
  </w:style>
  <w:style w:type="paragraph" w:styleId="29">
    <w:name w:val="toc 9"/>
    <w:basedOn w:val="1"/>
    <w:next w:val="1"/>
    <w:semiHidden/>
    <w:qFormat/>
    <w:uiPriority w:val="0"/>
    <w:pPr>
      <w:ind w:left="3360" w:leftChars="1600"/>
    </w:pPr>
  </w:style>
  <w:style w:type="paragraph" w:styleId="30">
    <w:name w:val="Body Text 2"/>
    <w:basedOn w:val="1"/>
    <w:qFormat/>
    <w:uiPriority w:val="0"/>
    <w:pPr>
      <w:spacing w:after="120" w:line="480" w:lineRule="auto"/>
    </w:pPr>
  </w:style>
  <w:style w:type="paragraph" w:styleId="31">
    <w:name w:val="annotation subject"/>
    <w:basedOn w:val="14"/>
    <w:next w:val="14"/>
    <w:semiHidden/>
    <w:qFormat/>
    <w:uiPriority w:val="0"/>
    <w:rPr>
      <w:b/>
      <w:bCs/>
    </w:r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0"/>
    <w:rPr>
      <w:b/>
    </w:rPr>
  </w:style>
  <w:style w:type="character" w:styleId="36">
    <w:name w:val="page number"/>
    <w:qFormat/>
    <w:uiPriority w:val="0"/>
  </w:style>
  <w:style w:type="character" w:styleId="37">
    <w:name w:val="Emphasis"/>
    <w:qFormat/>
    <w:uiPriority w:val="0"/>
    <w:rPr>
      <w:i/>
    </w:rPr>
  </w:style>
  <w:style w:type="character" w:styleId="38">
    <w:name w:val="Hyperlink"/>
    <w:qFormat/>
    <w:uiPriority w:val="99"/>
    <w:rPr>
      <w:color w:val="0000FF"/>
      <w:u w:val="single"/>
    </w:rPr>
  </w:style>
  <w:style w:type="character" w:styleId="39">
    <w:name w:val="annotation reference"/>
    <w:semiHidden/>
    <w:qFormat/>
    <w:uiPriority w:val="0"/>
    <w:rPr>
      <w:sz w:val="21"/>
      <w:szCs w:val="21"/>
    </w:rPr>
  </w:style>
  <w:style w:type="character" w:customStyle="1" w:styleId="40">
    <w:name w:val="标题 1 字符"/>
    <w:link w:val="2"/>
    <w:qFormat/>
    <w:uiPriority w:val="0"/>
    <w:rPr>
      <w:rFonts w:ascii="宋体" w:hAnsi="宋体" w:eastAsia="宋体"/>
      <w:b/>
      <w:bCs/>
      <w:kern w:val="44"/>
      <w:sz w:val="24"/>
      <w:szCs w:val="44"/>
    </w:rPr>
  </w:style>
  <w:style w:type="character" w:customStyle="1" w:styleId="41">
    <w:name w:val="标题 4 字符"/>
    <w:link w:val="5"/>
    <w:qFormat/>
    <w:uiPriority w:val="0"/>
    <w:rPr>
      <w:rFonts w:ascii="宋体" w:hAnsi="宋体" w:eastAsia="宋体"/>
      <w:color w:val="000000"/>
      <w:sz w:val="24"/>
      <w:lang w:val="zh-CN"/>
    </w:rPr>
  </w:style>
  <w:style w:type="character" w:customStyle="1" w:styleId="42">
    <w:name w:val="textfont1"/>
    <w:qFormat/>
    <w:uiPriority w:val="0"/>
    <w:rPr>
      <w:sz w:val="22"/>
      <w:szCs w:val="22"/>
    </w:rPr>
  </w:style>
  <w:style w:type="character" w:customStyle="1" w:styleId="43">
    <w:name w:val="标题 3 Char"/>
    <w:qFormat/>
    <w:uiPriority w:val="0"/>
    <w:rPr>
      <w:rFonts w:ascii="黑体" w:hAnsi="Arial" w:eastAsia="黑体"/>
      <w:bCs/>
      <w:kern w:val="2"/>
    </w:rPr>
  </w:style>
  <w:style w:type="paragraph" w:customStyle="1" w:styleId="44">
    <w:name w:val="TitlePage_Header"/>
    <w:basedOn w:val="1"/>
    <w:qFormat/>
    <w:uiPriority w:val="0"/>
    <w:pPr>
      <w:widowControl/>
      <w:spacing w:before="240" w:after="240"/>
      <w:ind w:left="3240"/>
      <w:jc w:val="left"/>
    </w:pPr>
    <w:rPr>
      <w:rFonts w:ascii="Arial" w:hAnsi="Arial"/>
      <w:b/>
      <w:kern w:val="0"/>
      <w:sz w:val="32"/>
      <w:szCs w:val="20"/>
      <w:lang w:val="en-GB" w:eastAsia="en-US"/>
    </w:rPr>
  </w:style>
  <w:style w:type="paragraph" w:customStyle="1" w:styleId="45">
    <w:name w:val="A"/>
    <w:basedOn w:val="1"/>
    <w:qFormat/>
    <w:uiPriority w:val="0"/>
    <w:pPr>
      <w:adjustRightInd w:val="0"/>
      <w:spacing w:line="480" w:lineRule="atLeast"/>
      <w:jc w:val="center"/>
      <w:textAlignment w:val="baseline"/>
    </w:pPr>
    <w:rPr>
      <w:rFonts w:ascii="宋体"/>
      <w:kern w:val="0"/>
      <w:sz w:val="32"/>
      <w:szCs w:val="20"/>
    </w:rPr>
  </w:style>
  <w:style w:type="paragraph" w:customStyle="1" w:styleId="46">
    <w:name w:val="NCS 正文"/>
    <w:basedOn w:val="1"/>
    <w:qFormat/>
    <w:uiPriority w:val="0"/>
    <w:pPr>
      <w:widowControl/>
      <w:spacing w:after="50" w:afterLines="50" w:line="360" w:lineRule="auto"/>
      <w:ind w:firstLine="200" w:firstLineChars="200"/>
      <w:jc w:val="left"/>
    </w:pPr>
    <w:rPr>
      <w:kern w:val="0"/>
      <w:sz w:val="24"/>
    </w:rPr>
  </w:style>
  <w:style w:type="paragraph" w:customStyle="1" w:styleId="47">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48">
    <w:name w:val="样式 样式 首行缩进:  2 字符 段前: 4.85 磅 段后: 4.85 磅 行距: 单倍行距 + 小四 首行缩进:  2 ... Char Char"/>
    <w:basedOn w:val="1"/>
    <w:qFormat/>
    <w:uiPriority w:val="0"/>
    <w:pPr>
      <w:spacing w:line="360" w:lineRule="auto"/>
      <w:ind w:firstLine="480" w:firstLineChars="200"/>
    </w:pPr>
    <w:rPr>
      <w:rFonts w:ascii="Arial" w:hAnsi="Arial"/>
      <w:sz w:val="24"/>
    </w:rPr>
  </w:style>
  <w:style w:type="paragraph" w:customStyle="1" w:styleId="49">
    <w:name w:val="小标题"/>
    <w:basedOn w:val="1"/>
    <w:qFormat/>
    <w:uiPriority w:val="0"/>
    <w:pPr>
      <w:tabs>
        <w:tab w:val="left" w:pos="0"/>
      </w:tabs>
    </w:pPr>
    <w:rPr>
      <w:b/>
      <w:sz w:val="28"/>
    </w:rPr>
  </w:style>
  <w:style w:type="paragraph" w:customStyle="1" w:styleId="50">
    <w:name w:val="项目符号 加粗 一级 Char"/>
    <w:basedOn w:val="1"/>
    <w:qFormat/>
    <w:uiPriority w:val="0"/>
    <w:pPr>
      <w:tabs>
        <w:tab w:val="left" w:pos="900"/>
      </w:tabs>
      <w:spacing w:before="120" w:after="120" w:line="400" w:lineRule="exact"/>
      <w:ind w:left="900" w:hanging="420"/>
    </w:pPr>
    <w:rPr>
      <w:rFonts w:ascii="宋体" w:hAnsi="宋体"/>
      <w:b/>
      <w:bCs/>
      <w:sz w:val="24"/>
    </w:rPr>
  </w:style>
  <w:style w:type="paragraph" w:customStyle="1" w:styleId="51">
    <w:name w:val="样式 标题 3(A-3)h3Heading 3 - oldLevel 3 HeadH3level_3PIM 3s..."/>
    <w:basedOn w:val="4"/>
    <w:qFormat/>
    <w:uiPriority w:val="0"/>
    <w:pPr>
      <w:widowControl/>
      <w:numPr>
        <w:numId w:val="2"/>
      </w:numPr>
      <w:tabs>
        <w:tab w:val="left" w:pos="1648"/>
        <w:tab w:val="left" w:pos="3281"/>
      </w:tabs>
      <w:autoSpaceDE/>
      <w:autoSpaceDN/>
      <w:snapToGrid w:val="0"/>
      <w:spacing w:before="120" w:beforeLines="50" w:after="120" w:afterLines="50"/>
      <w:jc w:val="both"/>
    </w:pPr>
    <w:rPr>
      <w:rFonts w:ascii="Times New Roman" w:cs="宋体"/>
      <w:b/>
      <w:bCs/>
      <w:sz w:val="28"/>
      <w:szCs w:val="20"/>
      <w:lang w:val="en-US"/>
    </w:rPr>
  </w:style>
  <w:style w:type="paragraph" w:customStyle="1" w:styleId="52">
    <w:name w:val="Char Char Char Char Char Char"/>
    <w:basedOn w:val="1"/>
    <w:qFormat/>
    <w:uiPriority w:val="0"/>
    <w:rPr>
      <w:rFonts w:ascii="Tahoma" w:hAnsi="Tahoma"/>
      <w:sz w:val="24"/>
      <w:szCs w:val="20"/>
    </w:rPr>
  </w:style>
  <w:style w:type="paragraph" w:styleId="53">
    <w:name w:val="List Paragraph"/>
    <w:basedOn w:val="1"/>
    <w:qFormat/>
    <w:uiPriority w:val="34"/>
    <w:pPr>
      <w:adjustRightInd w:val="0"/>
      <w:snapToGrid w:val="0"/>
      <w:spacing w:before="120" w:after="120" w:line="360" w:lineRule="auto"/>
      <w:ind w:left="578" w:firstLine="420" w:firstLineChars="200"/>
    </w:pPr>
    <w:rPr>
      <w:szCs w:val="20"/>
      <w:lang w:eastAsia="zh-TW"/>
    </w:rPr>
  </w:style>
  <w:style w:type="character" w:customStyle="1" w:styleId="54">
    <w:name w:val="font11"/>
    <w:qFormat/>
    <w:uiPriority w:val="0"/>
    <w:rPr>
      <w:rFonts w:hint="eastAsia" w:ascii="宋体" w:hAnsi="宋体" w:eastAsia="宋体" w:cs="宋体"/>
      <w:color w:val="000000"/>
      <w:sz w:val="24"/>
      <w:szCs w:val="24"/>
      <w:u w:val="none"/>
    </w:rPr>
  </w:style>
  <w:style w:type="paragraph" w:customStyle="1" w:styleId="55">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56">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10501</Words>
  <Characters>12699</Characters>
  <Lines>136</Lines>
  <Paragraphs>38</Paragraphs>
  <TotalTime>4</TotalTime>
  <ScaleCrop>false</ScaleCrop>
  <LinksUpToDate>false</LinksUpToDate>
  <CharactersWithSpaces>12990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2020-03-19T18:13:00Z</dcterms:created>
  <dc:creator>admin</dc:creator>
  <cp:lastModifiedBy>林克全</cp:lastModifiedBy>
  <cp:lastPrinted>2009-03-22T18:08:00Z</cp:lastPrinted>
  <dcterms:modified xsi:type="dcterms:W3CDTF">2026-06-27T08:19:36Z</dcterms:modified>
  <dc:title>       </dc:title>
  <cp:revision>381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vt:lpwstr>
  </property>
  <property fmtid="{D5CDD505-2E9C-101B-9397-08002B2CF9AE}" pid="3" name="KSOProductBuildVer">
    <vt:lpwstr>2052-11.8.2.9022</vt:lpwstr>
  </property>
  <property fmtid="{D5CDD505-2E9C-101B-9397-08002B2CF9AE}" pid="4" name="ICV">
    <vt:lpwstr>C373691D109E733551D1136A1BA091A6_43</vt:lpwstr>
  </property>
  <property fmtid="{D5CDD505-2E9C-101B-9397-08002B2CF9AE}" pid="5" name="KSOTemplateDocerSaveRecord">
    <vt:lpwstr>eyJoZGlkIjoiNGJjMDdhNDA0N2QwMzMyZDcwMDg4YTk0ZTk3ZDRiYTgiLCJ1c2VySWQiOiI3MDU4OTYwMjEifQ==</vt:lpwstr>
  </property>
</Properties>
</file>