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F2B95">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14:paraId="2A27A15C">
      <w:pPr>
        <w:adjustRightInd w:val="0"/>
        <w:snapToGrid w:val="0"/>
        <w:rPr>
          <w:sz w:val="28"/>
          <w:szCs w:val="36"/>
        </w:rPr>
      </w:pPr>
    </w:p>
    <w:p w14:paraId="4D662308">
      <w:pPr>
        <w:adjustRightInd w:val="0"/>
        <w:snapToGrid w:val="0"/>
        <w:rPr>
          <w:sz w:val="28"/>
          <w:szCs w:val="36"/>
        </w:rPr>
      </w:pPr>
    </w:p>
    <w:p w14:paraId="625AD73A">
      <w:pPr>
        <w:adjustRightInd w:val="0"/>
        <w:snapToGrid w:val="0"/>
        <w:rPr>
          <w:sz w:val="28"/>
          <w:szCs w:val="36"/>
        </w:rPr>
      </w:pPr>
    </w:p>
    <w:p w14:paraId="51FFA66F">
      <w:pPr>
        <w:adjustRightInd w:val="0"/>
        <w:snapToGrid w:val="0"/>
        <w:rPr>
          <w:sz w:val="28"/>
          <w:szCs w:val="36"/>
        </w:rPr>
      </w:pPr>
    </w:p>
    <w:p w14:paraId="57A0CC69">
      <w:pPr>
        <w:adjustRightInd w:val="0"/>
        <w:snapToGrid w:val="0"/>
        <w:rPr>
          <w:sz w:val="28"/>
          <w:szCs w:val="36"/>
        </w:rPr>
      </w:pPr>
    </w:p>
    <w:p w14:paraId="4ECEBB0D">
      <w:pPr>
        <w:adjustRightInd w:val="0"/>
        <w:snapToGrid w:val="0"/>
        <w:rPr>
          <w:sz w:val="28"/>
          <w:szCs w:val="36"/>
        </w:rPr>
      </w:pPr>
    </w:p>
    <w:p w14:paraId="6BEAB291">
      <w:pPr>
        <w:adjustRightInd w:val="0"/>
        <w:snapToGrid w:val="0"/>
        <w:rPr>
          <w:sz w:val="28"/>
          <w:szCs w:val="36"/>
        </w:rPr>
      </w:pPr>
    </w:p>
    <w:p w14:paraId="752F2653">
      <w:pPr>
        <w:adjustRightInd w:val="0"/>
        <w:snapToGrid w:val="0"/>
        <w:jc w:val="center"/>
        <w:rPr>
          <w:rFonts w:hint="eastAsia" w:eastAsia="黑体"/>
          <w:b/>
          <w:sz w:val="52"/>
        </w:rPr>
      </w:pPr>
      <w:r>
        <w:rPr>
          <w:rFonts w:hint="eastAsia" w:eastAsia="黑体"/>
          <w:b/>
          <w:sz w:val="52"/>
        </w:rPr>
        <w:t>直流系统高阻绝缘下降检测技术研究与应用</w:t>
      </w:r>
    </w:p>
    <w:p w14:paraId="25D16481">
      <w:pPr>
        <w:adjustRightInd w:val="0"/>
        <w:snapToGrid w:val="0"/>
        <w:jc w:val="center"/>
        <w:rPr>
          <w:rFonts w:eastAsia="黑体"/>
          <w:b/>
          <w:sz w:val="52"/>
        </w:rPr>
      </w:pPr>
      <w:r>
        <w:rPr>
          <w:rFonts w:eastAsia="黑体"/>
          <w:b/>
          <w:sz w:val="52"/>
        </w:rPr>
        <w:t>技术规范书</w:t>
      </w:r>
    </w:p>
    <w:p w14:paraId="6D097E34">
      <w:pPr>
        <w:adjustRightInd w:val="0"/>
        <w:snapToGrid w:val="0"/>
        <w:rPr>
          <w:sz w:val="28"/>
          <w:szCs w:val="36"/>
        </w:rPr>
      </w:pPr>
    </w:p>
    <w:p w14:paraId="24228B6F">
      <w:pPr>
        <w:pStyle w:val="2"/>
      </w:pPr>
    </w:p>
    <w:p w14:paraId="622D7099">
      <w:pPr>
        <w:adjustRightInd w:val="0"/>
        <w:snapToGrid w:val="0"/>
        <w:rPr>
          <w:sz w:val="28"/>
          <w:szCs w:val="36"/>
        </w:rPr>
      </w:pPr>
    </w:p>
    <w:p w14:paraId="5031AAA0">
      <w:pPr>
        <w:pStyle w:val="2"/>
        <w:rPr>
          <w:sz w:val="28"/>
          <w:szCs w:val="36"/>
        </w:rPr>
      </w:pPr>
    </w:p>
    <w:p w14:paraId="44932D83">
      <w:pPr>
        <w:pStyle w:val="2"/>
        <w:rPr>
          <w:sz w:val="28"/>
          <w:szCs w:val="36"/>
        </w:rPr>
      </w:pPr>
    </w:p>
    <w:p w14:paraId="125B6D53">
      <w:pPr>
        <w:pStyle w:val="2"/>
        <w:rPr>
          <w:sz w:val="28"/>
          <w:szCs w:val="36"/>
        </w:rPr>
      </w:pPr>
    </w:p>
    <w:p w14:paraId="78B573E3">
      <w:pPr>
        <w:adjustRightInd w:val="0"/>
        <w:snapToGrid w:val="0"/>
        <w:rPr>
          <w:sz w:val="28"/>
          <w:szCs w:val="36"/>
        </w:rPr>
      </w:pPr>
    </w:p>
    <w:p w14:paraId="642BB1E4">
      <w:pPr>
        <w:adjustRightInd w:val="0"/>
        <w:snapToGrid w:val="0"/>
        <w:rPr>
          <w:sz w:val="28"/>
          <w:szCs w:val="36"/>
        </w:rPr>
      </w:pPr>
    </w:p>
    <w:p w14:paraId="7B545D5A">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14:paraId="6E8E4A9E">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7月</w:t>
      </w:r>
    </w:p>
    <w:p w14:paraId="63D1723A">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14:paraId="75180B63">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14:paraId="3679B985">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w:t>
      </w:r>
      <w:r>
        <w:rPr>
          <w:sz w:val="24"/>
        </w:rPr>
        <w:t>中国南方电网超高压输电公司</w:t>
      </w:r>
      <w:r>
        <w:rPr>
          <w:rFonts w:hint="eastAsia"/>
          <w:sz w:val="24"/>
          <w:lang w:val="en-US" w:eastAsia="zh-CN"/>
        </w:rPr>
        <w:t>南宁</w:t>
      </w:r>
      <w:r>
        <w:rPr>
          <w:sz w:val="24"/>
        </w:rPr>
        <w:t>局</w:t>
      </w:r>
      <w:r>
        <w:rPr>
          <w:rFonts w:hint="eastAsia" w:asciiTheme="minorEastAsia" w:hAnsiTheme="minorEastAsia" w:eastAsiaTheme="minorEastAsia" w:cstheme="minorEastAsia"/>
          <w:sz w:val="24"/>
        </w:rPr>
        <w:t>《直流系统高阻绝缘下降检测技术研究与应用》</w:t>
      </w:r>
      <w:r>
        <w:rPr>
          <w:rFonts w:hint="eastAsia" w:asciiTheme="minorEastAsia" w:hAnsiTheme="minorEastAsia" w:eastAsiaTheme="minorEastAsia" w:cstheme="minorEastAsia"/>
          <w:sz w:val="24"/>
          <w:lang w:val="en-US" w:eastAsia="zh-CN"/>
        </w:rPr>
        <w:t>职工</w:t>
      </w:r>
      <w:r>
        <w:rPr>
          <w:rFonts w:hint="eastAsia" w:asciiTheme="minorEastAsia" w:hAnsiTheme="minorEastAsia" w:eastAsiaTheme="minorEastAsia" w:cstheme="minorEastAsia"/>
          <w:sz w:val="24"/>
        </w:rPr>
        <w:t>创新项目，提出了一种高灵敏度的监测技术，通过精准提取与分析直流系统中的微弱漏电流信号，实现绝缘状态的实时评估与劣化趋势的早期预警。投标方应针对自身特点，根据本技术规范书所描述的具体要求，提供完整的解决方案。</w:t>
      </w:r>
    </w:p>
    <w:p w14:paraId="5B3D58C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本技术规范书提出的是最低限度的技术要求，并未对一切技术细节做出规定，投标方应提供符合本规范书的项目成果。</w:t>
      </w:r>
    </w:p>
    <w:p w14:paraId="33FE692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6D3CDFD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在根据本技术规范书签订协议之后，招标方有权提出因标准或规程规范发生变化而产生的一些补充，具体项目由招标方、投标方双方共同商定。</w:t>
      </w:r>
    </w:p>
    <w:p w14:paraId="38562D8F">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 本技术规范书所使用的标准如与投标方所执行的标准发生矛盾时，按较高标准执行，本技术规范书未全部引用应用标准，凡是本技术规范书牵涉的各项内容均按最新标准实施。</w:t>
      </w:r>
    </w:p>
    <w:p w14:paraId="5D1E9818">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 xml:space="preserve"> 本技术规范书未尽事宜，由招标方与投标方双方协商确定。</w:t>
      </w:r>
    </w:p>
    <w:p w14:paraId="79BDC60E">
      <w:pPr>
        <w:snapToGrid w:val="0"/>
        <w:spacing w:before="120"/>
        <w:rPr>
          <w:rFonts w:ascii="黑体" w:hAnsi="黑体" w:eastAsia="黑体" w:cs="黑体"/>
          <w:b/>
          <w:bCs/>
          <w:sz w:val="28"/>
          <w:szCs w:val="36"/>
        </w:rPr>
      </w:pPr>
      <w:bookmarkStart w:id="0" w:name="_Toc26376"/>
      <w:bookmarkStart w:id="1" w:name="_Toc155114607"/>
      <w:bookmarkStart w:id="2" w:name="_Toc241911995"/>
      <w:r>
        <w:rPr>
          <w:rFonts w:hint="eastAsia" w:ascii="黑体" w:hAnsi="黑体" w:eastAsia="黑体" w:cs="黑体"/>
          <w:b/>
          <w:bCs/>
          <w:sz w:val="28"/>
          <w:szCs w:val="36"/>
        </w:rPr>
        <w:t xml:space="preserve">2 </w:t>
      </w:r>
      <w:bookmarkEnd w:id="0"/>
      <w:bookmarkStart w:id="3" w:name="_Toc441483964"/>
      <w:bookmarkStart w:id="4" w:name="_Toc531004210"/>
      <w:bookmarkStart w:id="5" w:name="_Toc531004264"/>
      <w:r>
        <w:rPr>
          <w:rFonts w:hint="eastAsia" w:ascii="黑体" w:hAnsi="黑体" w:eastAsia="黑体" w:cs="黑体"/>
          <w:b/>
          <w:bCs/>
          <w:sz w:val="28"/>
          <w:szCs w:val="36"/>
        </w:rPr>
        <w:t>项目有关内容</w:t>
      </w:r>
      <w:bookmarkEnd w:id="3"/>
      <w:bookmarkEnd w:id="4"/>
      <w:bookmarkEnd w:id="5"/>
    </w:p>
    <w:p w14:paraId="5D9AFC14">
      <w:pPr>
        <w:rPr>
          <w:rFonts w:hint="eastAsia" w:asciiTheme="minorEastAsia" w:hAnsiTheme="minorEastAsia" w:eastAsiaTheme="minorEastAsia" w:cstheme="minorEastAsia"/>
          <w:sz w:val="24"/>
        </w:rPr>
      </w:pPr>
      <w:bookmarkStart w:id="6" w:name="_Toc312827019"/>
      <w:bookmarkStart w:id="7" w:name="_Toc309593188"/>
      <w:bookmarkStart w:id="8" w:name="_Toc309593259"/>
      <w:bookmarkStart w:id="9" w:name="_Toc309805583"/>
      <w:r>
        <w:rPr>
          <w:rFonts w:hint="eastAsia" w:asciiTheme="minorEastAsia" w:hAnsiTheme="minorEastAsia" w:eastAsiaTheme="minorEastAsia" w:cstheme="minorEastAsia"/>
          <w:sz w:val="24"/>
          <w:lang w:val="en-US" w:eastAsia="zh-CN"/>
        </w:rPr>
        <w:t>2.1</w:t>
      </w:r>
      <w:r>
        <w:rPr>
          <w:rFonts w:hint="eastAsia" w:asciiTheme="minorEastAsia" w:hAnsiTheme="minorEastAsia" w:eastAsiaTheme="minorEastAsia" w:cstheme="minorEastAsia"/>
          <w:sz w:val="24"/>
        </w:rPr>
        <w:t>项目名称</w:t>
      </w:r>
      <w:bookmarkEnd w:id="6"/>
      <w:bookmarkEnd w:id="7"/>
      <w:bookmarkEnd w:id="8"/>
      <w:bookmarkEnd w:id="9"/>
    </w:p>
    <w:p w14:paraId="7027E817">
      <w:pPr>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直流系统高阻绝缘下降检测技术研究与应用</w:t>
      </w:r>
    </w:p>
    <w:p w14:paraId="0063F22A">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内容</w:t>
      </w:r>
    </w:p>
    <w:bookmarkEnd w:id="1"/>
    <w:bookmarkEnd w:id="2"/>
    <w:p w14:paraId="13165604">
      <w:pPr>
        <w:ind w:firstLine="480" w:firstLineChars="200"/>
        <w:rPr>
          <w:rFonts w:hint="eastAsia" w:asciiTheme="minorEastAsia" w:hAnsiTheme="minorEastAsia" w:eastAsiaTheme="minorEastAsia" w:cstheme="minorEastAsia"/>
          <w:sz w:val="24"/>
          <w:lang w:eastAsia="zh-CN"/>
        </w:rPr>
      </w:pPr>
      <w:bookmarkStart w:id="10" w:name="_Toc20556"/>
      <w:bookmarkStart w:id="11" w:name="_Toc384340980"/>
      <w:bookmarkStart w:id="12" w:name="_Toc39753342"/>
      <w:bookmarkStart w:id="13" w:name="_Toc22304900"/>
      <w:bookmarkStart w:id="14" w:name="_Toc39753999"/>
      <w:r>
        <w:rPr>
          <w:rFonts w:hint="eastAsia" w:asciiTheme="minorEastAsia" w:hAnsiTheme="minorEastAsia" w:eastAsiaTheme="minorEastAsia" w:cstheme="minorEastAsia"/>
          <w:sz w:val="24"/>
          <w:lang w:eastAsia="zh-CN"/>
        </w:rPr>
        <w:t>直流系统绝缘性能的缓慢劣化是威胁电力系统安全运行的潜在隐患。传统监测方法对早期、微弱的绝缘缺陷响应不足，难以实现故障预警。针对上述问题，本项目旨在开发一种高灵敏度的监测技术，实现绝缘状态的实时评估与劣化趋势的早期预警。</w:t>
      </w:r>
    </w:p>
    <w:p w14:paraId="04EB4B02">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本次方案通过精准提取与分析直流系统中的微弱漏电流信号，跟踪测试微弱漏电流信号排查绝缘故障，主要研究内容如下：</w:t>
      </w:r>
    </w:p>
    <w:p w14:paraId="4F82A28F">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（1）微弱漏电流信号的高精度感知与提取技术研究：研究在强电磁干扰背景下，实现nA级微弱漏电流信号的稳定、隔离采集与增强方法。</w:t>
      </w:r>
    </w:p>
    <w:p w14:paraId="7021BD3E">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（2）绝缘状态特征量智能诊断技术研究：构建漏电流信号与绝缘电阻、分布电容等状态参数间的映射模型，利用算法实现绝缘状态的精准诊断与定位。</w:t>
      </w:r>
    </w:p>
    <w:p w14:paraId="1C0438E5">
      <w:pPr>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（3）多重叠加增益信号追踪漏电流查找绝缘下降技术研究：研制通过多重叠加增益信号方法，放大微弱漏电流信号，实现可视化，便于追踪绝缘故障位置。</w:t>
      </w:r>
    </w:p>
    <w:p w14:paraId="44074F20">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通过该系列核心技术研究，实现检测、追踪高阻绝缘所产生的微弱漏电流信号，解决高阻绝缘下降早期的预警以及提供排查手段，保障电力安全生产。</w:t>
      </w:r>
    </w:p>
    <w:p w14:paraId="6773497A">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3 </w:t>
      </w:r>
      <w:bookmarkEnd w:id="10"/>
      <w:bookmarkEnd w:id="11"/>
      <w:bookmarkEnd w:id="12"/>
      <w:bookmarkEnd w:id="13"/>
      <w:bookmarkEnd w:id="14"/>
      <w:r>
        <w:rPr>
          <w:rFonts w:hint="eastAsia" w:ascii="黑体" w:hAnsi="黑体" w:eastAsia="黑体" w:cs="黑体"/>
          <w:b/>
          <w:bCs/>
          <w:sz w:val="28"/>
          <w:szCs w:val="36"/>
        </w:rPr>
        <w:t>总体要求</w:t>
      </w:r>
    </w:p>
    <w:p w14:paraId="4CD6B8C4">
      <w:pPr>
        <w:adjustRightInd w:val="0"/>
        <w:snapToGrid w:val="0"/>
        <w:rPr>
          <w:rFonts w:asciiTheme="minorEastAsia" w:hAnsiTheme="minorEastAsia" w:eastAsiaTheme="minorEastAsia" w:cstheme="minorEastAsia"/>
          <w:sz w:val="24"/>
        </w:rPr>
      </w:pPr>
      <w:bookmarkStart w:id="15" w:name="_Toc457979127"/>
      <w:bookmarkStart w:id="16" w:name="_Toc455543289"/>
      <w:bookmarkStart w:id="17" w:name="_Toc241912000"/>
      <w:bookmarkStart w:id="18" w:name="_Toc455373921"/>
      <w:bookmarkStart w:id="19" w:name="_Toc448828694"/>
      <w:bookmarkStart w:id="20" w:name="_Toc457986926"/>
      <w:bookmarkStart w:id="21" w:name="_Toc155114612"/>
      <w:bookmarkStart w:id="22" w:name="_Toc114253693"/>
      <w:bookmarkStart w:id="23" w:name="_Toc146182538"/>
      <w:bookmarkStart w:id="24" w:name="_Toc482581219"/>
      <w:bookmarkStart w:id="25" w:name="_Toc459534976"/>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14:paraId="647B232C">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14:paraId="1F943CFA">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 1203003-2013 《变电站直流电源系统技术规范》</w:t>
      </w:r>
    </w:p>
    <w:p w14:paraId="720547B2">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 1206007 《电力设备检修试验规程》</w:t>
      </w:r>
    </w:p>
    <w:p w14:paraId="4F9C6FB3">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 10011 《220kV～500kV 变电站电气技术导则》</w:t>
      </w:r>
    </w:p>
    <w:p w14:paraId="3F75FF91">
      <w:pPr>
        <w:pStyle w:val="10"/>
        <w:ind w:left="0"/>
        <w:rPr>
          <w:rFonts w:asciiTheme="minorEastAsia" w:hAnsiTheme="minorEastAsia" w:eastAsiaTheme="minorEastAsia" w:cstheme="minorEastAsia"/>
          <w:kern w:val="2"/>
          <w:sz w:val="24"/>
        </w:rPr>
      </w:pPr>
      <w:r>
        <w:rPr>
          <w:rFonts w:hint="eastAsia" w:asciiTheme="minorEastAsia" w:hAnsiTheme="minorEastAsia" w:eastAsiaTheme="minorEastAsia" w:cstheme="minorEastAsia"/>
          <w:kern w:val="2"/>
          <w:sz w:val="24"/>
        </w:rPr>
        <w:t>南网数字化电源专用规范（数字变电站 / 一体化电源）</w:t>
      </w:r>
    </w:p>
    <w:p w14:paraId="078A1265">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1392-2014 《直流电源系统绝缘监测装置技术条件》</w:t>
      </w:r>
    </w:p>
    <w:p w14:paraId="6CC0E9F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5044-2014 《电力工程直流系统设计技术规程》</w:t>
      </w:r>
    </w:p>
    <w:p w14:paraId="732FC639">
      <w:pPr>
        <w:rPr>
          <w:rFonts w:hint="eastAsia" w:asciiTheme="minorEastAsia" w:hAnsiTheme="minorEastAsia" w:eastAsiaTheme="minorEastAsia" w:cstheme="minorEastAsia"/>
          <w:sz w:val="24"/>
        </w:rPr>
      </w:pPr>
      <w:r>
        <w:rPr>
          <w:rFonts w:ascii="宋体" w:hAnsi="宋体" w:eastAsia="宋体" w:cs="宋体"/>
          <w:sz w:val="24"/>
          <w:szCs w:val="24"/>
        </w:rPr>
        <w:t>GB/T 45119-2024 《电力厂站低压用电系统绝缘监测技术要求》</w:t>
      </w:r>
    </w:p>
    <w:p w14:paraId="4AE9B09E">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GB 50150 《电气装置安装工程电气设备交接试验标准》</w:t>
      </w:r>
    </w:p>
    <w:p w14:paraId="09D92778">
      <w:r>
        <w:rPr>
          <w:rFonts w:hint="eastAsia" w:ascii="Times New Roman" w:hAnsi="Times New Roman"/>
          <w:szCs w:val="21"/>
        </w:rPr>
        <w:t>注：上述标准是招标方</w:t>
      </w:r>
      <w:r>
        <w:rPr>
          <w:rFonts w:hint="eastAsia" w:ascii="Times New Roman" w:hAnsi="Times New Roman"/>
          <w:szCs w:val="21"/>
          <w:lang w:val="en-US" w:eastAsia="zh-CN"/>
        </w:rPr>
        <w:t>基本</w:t>
      </w:r>
      <w:r>
        <w:rPr>
          <w:rFonts w:hint="eastAsia" w:ascii="Times New Roman" w:hAnsi="Times New Roman"/>
          <w:szCs w:val="21"/>
        </w:rPr>
        <w:t>要求。除此标准以外，投标人可以推荐其他标准，但事先必须通过招标方认可，或选择其中较高标准。</w:t>
      </w:r>
    </w:p>
    <w:p w14:paraId="6ACBD1E7">
      <w:pPr>
        <w:snapToGrid w:val="0"/>
        <w:spacing w:before="120"/>
        <w:rPr>
          <w:rFonts w:ascii="黑体" w:hAnsi="黑体" w:eastAsia="黑体" w:cs="黑体"/>
          <w:b/>
          <w:bCs/>
          <w:sz w:val="28"/>
          <w:szCs w:val="36"/>
        </w:rPr>
      </w:pPr>
      <w:bookmarkStart w:id="26" w:name="_Toc22304904"/>
      <w:bookmarkStart w:id="27" w:name="_Toc384340984"/>
      <w:bookmarkStart w:id="28" w:name="_Toc39754002"/>
      <w:bookmarkStart w:id="29" w:name="_Toc39753345"/>
      <w:bookmarkStart w:id="30" w:name="_Toc32408"/>
      <w:bookmarkStart w:id="31" w:name="_Toc282993253"/>
      <w:r>
        <w:rPr>
          <w:rFonts w:hint="eastAsia" w:ascii="黑体" w:hAnsi="黑体" w:eastAsia="黑体" w:cs="黑体"/>
          <w:b/>
          <w:bCs/>
          <w:sz w:val="28"/>
          <w:szCs w:val="36"/>
        </w:rPr>
        <w:t>4 技术要求</w:t>
      </w:r>
      <w:bookmarkEnd w:id="26"/>
      <w:bookmarkEnd w:id="27"/>
      <w:bookmarkEnd w:id="28"/>
      <w:bookmarkEnd w:id="29"/>
      <w:bookmarkEnd w:id="30"/>
      <w:bookmarkEnd w:id="31"/>
    </w:p>
    <w:p w14:paraId="4CC7155C">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14:paraId="0C8B42D7">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14:paraId="558FF278">
      <w:pPr>
        <w:adjustRightInd w:val="0"/>
        <w:snapToGrid w:val="0"/>
        <w:rPr>
          <w:rFonts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14:paraId="4527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14:paraId="0E55C08F">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14:paraId="0AC8F50F">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14:paraId="5A6E0263">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14:paraId="495E63CF">
            <w:pPr>
              <w:spacing w:line="240" w:lineRule="auto"/>
              <w:jc w:val="center"/>
              <w:rPr>
                <w:rFonts w:ascii="宋体" w:hAnsi="宋体" w:cs="宋体"/>
                <w:b/>
                <w:bCs/>
                <w:szCs w:val="21"/>
              </w:rPr>
            </w:pPr>
            <w:r>
              <w:rPr>
                <w:rFonts w:hint="eastAsia" w:ascii="宋体" w:hAnsi="宋体" w:cs="宋体"/>
                <w:b/>
                <w:bCs/>
                <w:szCs w:val="21"/>
              </w:rPr>
              <w:t>时间要求</w:t>
            </w:r>
          </w:p>
        </w:tc>
      </w:tr>
      <w:tr w14:paraId="358C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25C39E5D">
            <w:pPr>
              <w:spacing w:line="240" w:lineRule="auto"/>
              <w:jc w:val="center"/>
              <w:rPr>
                <w:rFonts w:ascii="宋体" w:hAnsi="宋体" w:cs="宋体"/>
                <w:szCs w:val="21"/>
              </w:rPr>
            </w:pPr>
            <w:r>
              <w:rPr>
                <w:rFonts w:hint="eastAsia" w:ascii="宋体" w:hAnsi="宋体" w:cs="宋体"/>
                <w:szCs w:val="21"/>
              </w:rPr>
              <w:t>1</w:t>
            </w:r>
          </w:p>
        </w:tc>
        <w:tc>
          <w:tcPr>
            <w:tcW w:w="2985" w:type="dxa"/>
            <w:shd w:val="clear" w:color="auto" w:fill="auto"/>
            <w:vAlign w:val="center"/>
          </w:tcPr>
          <w:p w14:paraId="5C9F2C67">
            <w:pPr>
              <w:spacing w:line="240" w:lineRule="auto"/>
              <w:jc w:val="center"/>
              <w:rPr>
                <w:rFonts w:ascii="宋体" w:hAnsi="宋体" w:cs="宋体"/>
                <w:szCs w:val="21"/>
              </w:rPr>
            </w:pPr>
            <w:r>
              <w:rPr>
                <w:rFonts w:hint="eastAsia" w:ascii="宋体" w:hAnsi="宋体" w:cs="宋体"/>
                <w:szCs w:val="21"/>
              </w:rPr>
              <w:t>直流系统高阻绝缘下降检测技术研究。</w:t>
            </w:r>
          </w:p>
        </w:tc>
        <w:tc>
          <w:tcPr>
            <w:tcW w:w="2363" w:type="dxa"/>
            <w:shd w:val="clear" w:color="auto" w:fill="auto"/>
            <w:vAlign w:val="center"/>
          </w:tcPr>
          <w:p w14:paraId="6177445B">
            <w:pPr>
              <w:spacing w:line="240" w:lineRule="auto"/>
              <w:jc w:val="center"/>
              <w:rPr>
                <w:rFonts w:ascii="宋体" w:hAnsi="宋体" w:cs="宋体"/>
                <w:szCs w:val="21"/>
              </w:rPr>
            </w:pPr>
            <w:r>
              <w:rPr>
                <w:rFonts w:hint="eastAsia" w:ascii="宋体" w:hAnsi="宋体" w:cs="宋体"/>
                <w:szCs w:val="21"/>
              </w:rPr>
              <w:t>《基于微弱漏电流的直流系统绝缘状态监测与趋势预警技术》报告 1份</w:t>
            </w:r>
          </w:p>
        </w:tc>
        <w:tc>
          <w:tcPr>
            <w:tcW w:w="2357" w:type="dxa"/>
            <w:vAlign w:val="center"/>
          </w:tcPr>
          <w:p w14:paraId="37864833">
            <w:pPr>
              <w:spacing w:line="240" w:lineRule="auto"/>
              <w:jc w:val="center"/>
              <w:rPr>
                <w:rFonts w:ascii="宋体" w:hAnsi="宋体" w:cs="宋体"/>
              </w:rPr>
            </w:pPr>
            <w:r>
              <w:rPr>
                <w:rFonts w:hint="eastAsia" w:asciiTheme="minorEastAsia" w:hAnsiTheme="minorEastAsia" w:cstheme="minorEastAsia"/>
                <w:szCs w:val="21"/>
              </w:rPr>
              <w:t>2026年1</w:t>
            </w:r>
            <w:r>
              <w:rPr>
                <w:rFonts w:asciiTheme="minorEastAsia" w:hAnsiTheme="minorEastAsia" w:cstheme="minorEastAsia"/>
                <w:szCs w:val="21"/>
              </w:rPr>
              <w:t>2</w:t>
            </w:r>
            <w:r>
              <w:rPr>
                <w:rFonts w:hint="eastAsia" w:asciiTheme="minorEastAsia" w:hAnsiTheme="minorEastAsia" w:cstheme="minorEastAsia"/>
                <w:szCs w:val="21"/>
              </w:rPr>
              <w:t>月</w:t>
            </w:r>
          </w:p>
        </w:tc>
      </w:tr>
      <w:tr w14:paraId="43A28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716F6374">
            <w:pPr>
              <w:spacing w:line="240" w:lineRule="auto"/>
              <w:jc w:val="center"/>
              <w:rPr>
                <w:rFonts w:ascii="宋体" w:hAnsi="宋体" w:cs="宋体"/>
                <w:szCs w:val="21"/>
                <w:highlight w:val="none"/>
              </w:rPr>
            </w:pPr>
            <w:r>
              <w:rPr>
                <w:rFonts w:hint="eastAsia" w:ascii="宋体" w:hAnsi="宋体" w:cs="宋体"/>
                <w:szCs w:val="21"/>
                <w:highlight w:val="none"/>
              </w:rPr>
              <w:t>2</w:t>
            </w:r>
          </w:p>
        </w:tc>
        <w:tc>
          <w:tcPr>
            <w:tcW w:w="2985" w:type="dxa"/>
            <w:shd w:val="clear" w:color="auto" w:fill="auto"/>
            <w:vAlign w:val="center"/>
          </w:tcPr>
          <w:p w14:paraId="59474F27">
            <w:pPr>
              <w:spacing w:line="240" w:lineRule="auto"/>
              <w:jc w:val="left"/>
              <w:rPr>
                <w:rFonts w:ascii="宋体" w:hAnsi="宋体" w:cs="宋体"/>
                <w:szCs w:val="21"/>
                <w:highlight w:val="none"/>
              </w:rPr>
            </w:pPr>
            <w:r>
              <w:rPr>
                <w:rFonts w:hint="eastAsia" w:ascii="宋体" w:hAnsi="宋体" w:cs="宋体"/>
                <w:szCs w:val="21"/>
                <w:highlight w:val="none"/>
                <w:lang w:val="en-US" w:eastAsia="zh-CN"/>
              </w:rPr>
              <w:t>配合申请发明专利</w:t>
            </w:r>
            <w:r>
              <w:rPr>
                <w:rFonts w:hint="eastAsia" w:ascii="宋体" w:hAnsi="宋体" w:cs="宋体"/>
                <w:szCs w:val="21"/>
                <w:highlight w:val="none"/>
              </w:rPr>
              <w:t>1项。</w:t>
            </w:r>
          </w:p>
        </w:tc>
        <w:tc>
          <w:tcPr>
            <w:tcW w:w="2363" w:type="dxa"/>
            <w:shd w:val="clear" w:color="auto" w:fill="auto"/>
            <w:vAlign w:val="center"/>
          </w:tcPr>
          <w:p w14:paraId="1FB4684E">
            <w:pPr>
              <w:spacing w:line="240" w:lineRule="auto"/>
              <w:jc w:val="center"/>
              <w:rPr>
                <w:rFonts w:ascii="宋体" w:hAnsi="宋体" w:cs="宋体"/>
                <w:szCs w:val="21"/>
                <w:highlight w:val="none"/>
              </w:rPr>
            </w:pPr>
            <w:r>
              <w:rPr>
                <w:rFonts w:hint="eastAsia" w:ascii="宋体" w:hAnsi="宋体" w:cs="宋体"/>
                <w:szCs w:val="21"/>
                <w:highlight w:val="none"/>
                <w:lang w:val="en-US" w:eastAsia="zh-CN"/>
              </w:rPr>
              <w:t>发明专利</w:t>
            </w:r>
            <w:r>
              <w:rPr>
                <w:rFonts w:hint="eastAsia" w:ascii="宋体" w:hAnsi="宋体" w:cs="宋体"/>
                <w:szCs w:val="21"/>
                <w:highlight w:val="none"/>
              </w:rPr>
              <w:t>1项（受理阶段）</w:t>
            </w:r>
          </w:p>
        </w:tc>
        <w:tc>
          <w:tcPr>
            <w:tcW w:w="2357" w:type="dxa"/>
            <w:vAlign w:val="center"/>
          </w:tcPr>
          <w:p w14:paraId="671249B5">
            <w:pPr>
              <w:spacing w:line="240" w:lineRule="auto"/>
              <w:jc w:val="center"/>
              <w:rPr>
                <w:rFonts w:asciiTheme="minorEastAsia" w:hAnsiTheme="minorEastAsia" w:eastAsiaTheme="minorEastAsia" w:cstheme="minorEastAsia"/>
                <w:szCs w:val="21"/>
                <w:highlight w:val="none"/>
              </w:rPr>
            </w:pPr>
            <w:r>
              <w:rPr>
                <w:rFonts w:hint="eastAsia" w:asciiTheme="minorEastAsia" w:hAnsiTheme="minorEastAsia" w:cstheme="minorEastAsia"/>
                <w:szCs w:val="21"/>
                <w:highlight w:val="none"/>
              </w:rPr>
              <w:t>2026年12月</w:t>
            </w:r>
          </w:p>
        </w:tc>
      </w:tr>
      <w:tr w14:paraId="5899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4D608D8F">
            <w:pPr>
              <w:spacing w:line="240" w:lineRule="auto"/>
              <w:jc w:val="center"/>
              <w:rPr>
                <w:rFonts w:ascii="宋体" w:hAnsi="宋体" w:cs="宋体"/>
                <w:szCs w:val="21"/>
              </w:rPr>
            </w:pPr>
            <w:r>
              <w:rPr>
                <w:rFonts w:hint="eastAsia" w:ascii="宋体" w:hAnsi="宋体" w:cs="宋体"/>
                <w:szCs w:val="21"/>
              </w:rPr>
              <w:t>3</w:t>
            </w:r>
          </w:p>
        </w:tc>
        <w:tc>
          <w:tcPr>
            <w:tcW w:w="2985" w:type="dxa"/>
            <w:shd w:val="clear" w:color="auto" w:fill="auto"/>
            <w:vAlign w:val="center"/>
          </w:tcPr>
          <w:p w14:paraId="0C239792">
            <w:pPr>
              <w:spacing w:line="240" w:lineRule="auto"/>
              <w:jc w:val="left"/>
              <w:rPr>
                <w:rFonts w:ascii="宋体" w:hAnsi="宋体" w:cs="宋体"/>
                <w:szCs w:val="21"/>
              </w:rPr>
            </w:pPr>
            <w:r>
              <w:rPr>
                <w:rFonts w:hint="eastAsia" w:ascii="宋体" w:hAnsi="宋体" w:cs="宋体"/>
                <w:szCs w:val="21"/>
              </w:rPr>
              <w:t>项目验收检查</w:t>
            </w:r>
          </w:p>
        </w:tc>
        <w:tc>
          <w:tcPr>
            <w:tcW w:w="2363" w:type="dxa"/>
            <w:shd w:val="clear" w:color="auto" w:fill="auto"/>
            <w:vAlign w:val="center"/>
          </w:tcPr>
          <w:p w14:paraId="4C7A6FBD">
            <w:pPr>
              <w:spacing w:line="240" w:lineRule="auto"/>
              <w:jc w:val="left"/>
              <w:rPr>
                <w:rFonts w:ascii="宋体" w:hAnsi="宋体" w:cs="宋体"/>
              </w:rPr>
            </w:pPr>
            <w:r>
              <w:rPr>
                <w:rFonts w:hint="eastAsia" w:ascii="宋体" w:hAnsi="宋体" w:cs="宋体"/>
              </w:rPr>
              <w:t>完成项目全部验收内容</w:t>
            </w:r>
          </w:p>
        </w:tc>
        <w:tc>
          <w:tcPr>
            <w:tcW w:w="2357" w:type="dxa"/>
            <w:vAlign w:val="center"/>
          </w:tcPr>
          <w:p w14:paraId="101D8C3E">
            <w:pPr>
              <w:spacing w:line="240" w:lineRule="auto"/>
              <w:jc w:val="center"/>
              <w:rPr>
                <w:rFonts w:asciiTheme="minorEastAsia" w:hAnsiTheme="minorEastAsia" w:eastAsiaTheme="minorEastAsia" w:cstheme="minorEastAsia"/>
                <w:szCs w:val="21"/>
              </w:rPr>
            </w:pPr>
            <w:r>
              <w:rPr>
                <w:rFonts w:hint="eastAsia" w:asciiTheme="minorEastAsia" w:hAnsiTheme="minorEastAsia" w:cstheme="minorEastAsia"/>
                <w:szCs w:val="21"/>
              </w:rPr>
              <w:t>2026年12月</w:t>
            </w:r>
          </w:p>
        </w:tc>
      </w:tr>
    </w:tbl>
    <w:p w14:paraId="1F6179CA">
      <w:pPr>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1</w:t>
      </w:r>
      <w:r>
        <w:rPr>
          <w:rFonts w:hint="eastAsia" w:ascii="宋体" w:hAnsi="宋体" w:cs="宋体"/>
          <w:color w:val="000000"/>
          <w:sz w:val="24"/>
        </w:rPr>
        <w:t xml:space="preserve">.2 </w:t>
      </w:r>
      <w:r>
        <w:rPr>
          <w:rFonts w:hint="eastAsia" w:ascii="宋体" w:hAnsi="宋体" w:cs="宋体"/>
          <w:kern w:val="0"/>
          <w:sz w:val="24"/>
        </w:rPr>
        <w:t>直流系统高阻绝缘下降检测技术研究与应用实施要求</w:t>
      </w:r>
    </w:p>
    <w:p w14:paraId="7989FB91">
      <w:pPr>
        <w:pStyle w:val="10"/>
        <w:spacing w:after="0" w:line="360" w:lineRule="auto"/>
        <w:ind w:left="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.2.1总体要求</w:t>
      </w:r>
    </w:p>
    <w:p w14:paraId="3D84EAED">
      <w:pPr>
        <w:pStyle w:val="10"/>
        <w:spacing w:after="0" w:line="360" w:lineRule="auto"/>
        <w:ind w:left="0"/>
        <w:rPr>
          <w:rFonts w:ascii="宋体" w:hAnsi="宋体" w:cs="宋体"/>
          <w:sz w:val="24"/>
        </w:rPr>
      </w:pPr>
      <w:r>
        <w:rPr>
          <w:rFonts w:hint="eastAsia" w:ascii="宋体" w:hAnsi="宋体" w:cs="宋体"/>
          <w:sz w:val="24"/>
        </w:rPr>
        <w:t>（1）稳定性和可靠性</w:t>
      </w:r>
    </w:p>
    <w:p w14:paraId="2F356CAD">
      <w:pPr>
        <w:pStyle w:val="10"/>
        <w:spacing w:after="0" w:line="360" w:lineRule="auto"/>
        <w:ind w:left="0" w:firstLine="480" w:firstLineChars="200"/>
        <w:rPr>
          <w:rFonts w:ascii="宋体" w:hAnsi="宋体" w:cs="宋体"/>
          <w:sz w:val="24"/>
        </w:rPr>
      </w:pPr>
      <w:r>
        <w:rPr>
          <w:rFonts w:hint="eastAsia" w:ascii="宋体" w:hAnsi="宋体" w:cs="宋体"/>
          <w:sz w:val="24"/>
          <w:lang w:val="en-US" w:eastAsia="zh-CN"/>
        </w:rPr>
        <w:t>技术成果具备可靠检测微弱漏电流，追踪漏电流查找高阻绝缘故障</w:t>
      </w:r>
      <w:r>
        <w:rPr>
          <w:rFonts w:hint="eastAsia" w:ascii="宋体" w:hAnsi="宋体" w:cs="宋体"/>
          <w:sz w:val="24"/>
        </w:rPr>
        <w:t>。</w:t>
      </w:r>
    </w:p>
    <w:p w14:paraId="2F96F5E0">
      <w:pPr>
        <w:pStyle w:val="10"/>
        <w:spacing w:after="0" w:line="360" w:lineRule="auto"/>
        <w:ind w:left="0"/>
        <w:rPr>
          <w:rFonts w:ascii="宋体" w:hAnsi="宋体" w:cs="宋体"/>
          <w:sz w:val="24"/>
        </w:rPr>
      </w:pPr>
      <w:r>
        <w:rPr>
          <w:rFonts w:hint="eastAsia" w:ascii="宋体" w:hAnsi="宋体" w:cs="宋体"/>
          <w:sz w:val="24"/>
        </w:rPr>
        <w:t>（2）易</w:t>
      </w:r>
      <w:r>
        <w:rPr>
          <w:rFonts w:hint="eastAsia" w:ascii="宋体" w:hAnsi="宋体" w:cs="宋体"/>
          <w:sz w:val="24"/>
          <w:lang w:val="en-US" w:eastAsia="zh-CN"/>
        </w:rPr>
        <w:t>实现</w:t>
      </w:r>
      <w:r>
        <w:rPr>
          <w:rFonts w:hint="eastAsia" w:ascii="宋体" w:hAnsi="宋体" w:cs="宋体"/>
          <w:sz w:val="24"/>
        </w:rPr>
        <w:t>性</w:t>
      </w:r>
    </w:p>
    <w:p w14:paraId="4D6361B9">
      <w:pPr>
        <w:pStyle w:val="10"/>
        <w:spacing w:after="0" w:line="360" w:lineRule="auto"/>
        <w:ind w:left="0"/>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研究成果易于产品转化，产品便于应用</w:t>
      </w:r>
      <w:r>
        <w:rPr>
          <w:rFonts w:ascii="宋体" w:hAnsi="宋体" w:cs="宋体"/>
          <w:sz w:val="24"/>
        </w:rPr>
        <w:t>。</w:t>
      </w:r>
    </w:p>
    <w:p w14:paraId="0150365E">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.2.2</w:t>
      </w:r>
      <w:r>
        <w:rPr>
          <w:rFonts w:hint="eastAsia" w:asciiTheme="minorEastAsia" w:hAnsiTheme="minorEastAsia" w:eastAsiaTheme="minorEastAsia" w:cstheme="minorEastAsia"/>
          <w:sz w:val="24"/>
          <w:lang w:val="en-US" w:eastAsia="zh-CN"/>
        </w:rPr>
        <w:t>技术成果</w:t>
      </w:r>
      <w:r>
        <w:rPr>
          <w:rFonts w:hint="eastAsia" w:asciiTheme="minorEastAsia" w:hAnsiTheme="minorEastAsia" w:eastAsiaTheme="minorEastAsia" w:cstheme="minorEastAsia"/>
          <w:sz w:val="24"/>
        </w:rPr>
        <w:t>实施要求</w:t>
      </w:r>
    </w:p>
    <w:p w14:paraId="7D42745C">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w:t>
      </w:r>
      <w:r>
        <w:rPr>
          <w:rFonts w:hint="eastAsia" w:asciiTheme="minorEastAsia" w:hAnsiTheme="minorEastAsia" w:eastAsiaTheme="minorEastAsia" w:cstheme="minorEastAsia"/>
          <w:sz w:val="24"/>
          <w:lang w:val="en-US" w:eastAsia="zh-CN"/>
        </w:rPr>
        <w:t>核心技术报告文本形式呈现</w:t>
      </w:r>
      <w:r>
        <w:rPr>
          <w:rFonts w:asciiTheme="minorEastAsia" w:hAnsiTheme="minorEastAsia" w:eastAsiaTheme="minorEastAsia" w:cstheme="minorEastAsia"/>
          <w:sz w:val="24"/>
        </w:rPr>
        <w:t>。</w:t>
      </w:r>
    </w:p>
    <w:p w14:paraId="7976E0CF">
      <w:pPr>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技术报告内涉及的原理图，需提交原文件和PDF版本文件</w:t>
      </w:r>
      <w:r>
        <w:rPr>
          <w:rFonts w:asciiTheme="minorEastAsia" w:hAnsiTheme="minorEastAsia" w:eastAsiaTheme="minorEastAsia" w:cstheme="minorEastAsia"/>
          <w:sz w:val="24"/>
        </w:rPr>
        <w:t>。</w:t>
      </w:r>
    </w:p>
    <w:p w14:paraId="609B6673">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w:t>
      </w:r>
      <w:r>
        <w:rPr>
          <w:rFonts w:hint="eastAsia" w:asciiTheme="minorEastAsia" w:hAnsiTheme="minorEastAsia" w:eastAsiaTheme="minorEastAsia" w:cstheme="minorEastAsia"/>
          <w:sz w:val="24"/>
          <w:lang w:val="en-US" w:eastAsia="zh-CN"/>
        </w:rPr>
        <w:t>技术报告内涉及的结构图，需提交CAD版本和PDF版本文件</w:t>
      </w:r>
      <w:r>
        <w:rPr>
          <w:rFonts w:hint="eastAsia" w:asciiTheme="minorEastAsia" w:hAnsiTheme="minorEastAsia" w:eastAsiaTheme="minorEastAsia" w:cstheme="minorEastAsia"/>
          <w:sz w:val="24"/>
        </w:rPr>
        <w:t>。</w:t>
      </w:r>
    </w:p>
    <w:p w14:paraId="44B6305B">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w:t>
      </w:r>
      <w:r>
        <w:rPr>
          <w:rFonts w:hint="eastAsia" w:asciiTheme="minorEastAsia" w:hAnsiTheme="minorEastAsia" w:eastAsiaTheme="minorEastAsia" w:cstheme="minorEastAsia"/>
          <w:sz w:val="24"/>
          <w:lang w:val="en-US" w:eastAsia="zh-CN"/>
        </w:rPr>
        <w:t>技术报告阐述的方案物料需国产化</w:t>
      </w:r>
      <w:r>
        <w:rPr>
          <w:rFonts w:hint="eastAsia" w:asciiTheme="minorEastAsia" w:hAnsiTheme="minorEastAsia" w:eastAsiaTheme="minorEastAsia" w:cstheme="minorEastAsia"/>
          <w:sz w:val="24"/>
        </w:rPr>
        <w:t>。</w:t>
      </w:r>
    </w:p>
    <w:p w14:paraId="1C69E016">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w:t>
      </w:r>
      <w:r>
        <w:rPr>
          <w:rFonts w:hint="eastAsia" w:asciiTheme="minorEastAsia" w:hAnsiTheme="minorEastAsia" w:eastAsiaTheme="minorEastAsia" w:cstheme="minorEastAsia"/>
          <w:sz w:val="24"/>
          <w:lang w:val="en-US" w:eastAsia="zh-CN"/>
        </w:rPr>
        <w:t>报告阐述的方案易产品化，无技术壁垒</w:t>
      </w:r>
      <w:r>
        <w:rPr>
          <w:rFonts w:hint="eastAsia" w:asciiTheme="minorEastAsia" w:hAnsiTheme="minorEastAsia" w:eastAsiaTheme="minorEastAsia" w:cstheme="minorEastAsia"/>
          <w:sz w:val="24"/>
        </w:rPr>
        <w:t>。</w:t>
      </w:r>
    </w:p>
    <w:p w14:paraId="24428D08">
      <w:pPr>
        <w:rPr>
          <w:rFonts w:ascii="宋体" w:hAnsi="宋体" w:cs="宋体"/>
          <w:sz w:val="24"/>
        </w:rPr>
      </w:pP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.2.3</w:t>
      </w:r>
      <w:r>
        <w:rPr>
          <w:rFonts w:hint="eastAsia" w:ascii="宋体" w:hAnsi="宋体" w:cs="宋体"/>
          <w:sz w:val="24"/>
        </w:rPr>
        <w:t>实施要求</w:t>
      </w:r>
    </w:p>
    <w:p w14:paraId="28293B8F">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asciiTheme="minorEastAsia" w:hAnsiTheme="minorEastAsia" w:eastAsiaTheme="minorEastAsia" w:cstheme="minorEastAsia"/>
          <w:sz w:val="24"/>
        </w:rPr>
        <w:t>提供完整的系统设计方案、</w:t>
      </w:r>
      <w:r>
        <w:rPr>
          <w:rFonts w:hint="eastAsia" w:asciiTheme="minorEastAsia" w:hAnsiTheme="minorEastAsia" w:eastAsiaTheme="minorEastAsia" w:cstheme="minorEastAsia"/>
          <w:sz w:val="24"/>
        </w:rPr>
        <w:t>系统架构说明，</w:t>
      </w:r>
      <w:r>
        <w:rPr>
          <w:rFonts w:asciiTheme="minorEastAsia" w:hAnsiTheme="minorEastAsia" w:eastAsiaTheme="minorEastAsia" w:cstheme="minorEastAsia"/>
          <w:sz w:val="24"/>
        </w:rPr>
        <w:t>实施方案与计划。</w:t>
      </w:r>
    </w:p>
    <w:p w14:paraId="50DE93A5">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技术研究</w:t>
      </w:r>
      <w:r>
        <w:rPr>
          <w:rFonts w:hint="eastAsia" w:asciiTheme="minorEastAsia" w:hAnsiTheme="minorEastAsia" w:eastAsiaTheme="minorEastAsia" w:cstheme="minorEastAsia"/>
          <w:sz w:val="24"/>
        </w:rPr>
        <w:t>需要在6个月内完成。</w:t>
      </w:r>
    </w:p>
    <w:p w14:paraId="05D311B6">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r>
        <w:rPr>
          <w:rFonts w:asciiTheme="minorEastAsia" w:hAnsiTheme="minorEastAsia" w:eastAsiaTheme="minorEastAsia" w:cstheme="minorEastAsia"/>
          <w:sz w:val="24"/>
        </w:rPr>
        <w:t>投标方需</w:t>
      </w:r>
      <w:r>
        <w:rPr>
          <w:rFonts w:hint="eastAsia" w:asciiTheme="minorEastAsia" w:hAnsiTheme="minorEastAsia" w:eastAsiaTheme="minorEastAsia" w:cstheme="minorEastAsia"/>
          <w:sz w:val="24"/>
          <w:lang w:val="en-US" w:eastAsia="zh-CN"/>
        </w:rPr>
        <w:t>具备资深直流绝缘检测技术研究基础与项目经验</w:t>
      </w:r>
      <w:r>
        <w:rPr>
          <w:rFonts w:asciiTheme="minorEastAsia" w:hAnsiTheme="minorEastAsia" w:eastAsiaTheme="minorEastAsia" w:cstheme="minorEastAsia"/>
          <w:sz w:val="24"/>
        </w:rPr>
        <w:t>。</w:t>
      </w:r>
    </w:p>
    <w:p w14:paraId="0D5B34C2">
      <w:pPr>
        <w:pStyle w:val="1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w:t>
      </w:r>
      <w:r>
        <w:rPr>
          <w:rFonts w:hint="eastAsia" w:ascii="宋体" w:hAnsi="宋体" w:cs="宋体"/>
          <w:sz w:val="24"/>
          <w:lang w:val="en-US" w:eastAsia="zh-CN"/>
        </w:rPr>
        <w:t>4</w:t>
      </w:r>
      <w:r>
        <w:rPr>
          <w:rFonts w:hint="eastAsia" w:ascii="宋体" w:hAnsi="宋体" w:cs="宋体"/>
          <w:sz w:val="24"/>
        </w:rPr>
        <w:t>技术服务要求</w:t>
      </w:r>
    </w:p>
    <w:p w14:paraId="7F03AE72">
      <w:pPr>
        <w:ind w:firstLine="480" w:firstLineChars="200"/>
        <w:rPr>
          <w:rFonts w:ascii="宋体" w:hAnsi="宋体" w:cs="宋体"/>
          <w:sz w:val="24"/>
        </w:rPr>
      </w:pPr>
      <w:r>
        <w:rPr>
          <w:rFonts w:hint="eastAsia" w:ascii="宋体" w:hAnsi="宋体" w:cs="宋体"/>
          <w:sz w:val="24"/>
        </w:rPr>
        <w:t>提供全方位、优质、高效的质量保证体系，以及技术支持和售后服务。投标方应充分考虑技术支持与售后服务，提供详细的售后服务计划，服务内容、服务方式及响应时间。要求如下：</w:t>
      </w:r>
    </w:p>
    <w:p w14:paraId="4B483F8D">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（1）验收合格后提供1年免费</w:t>
      </w:r>
      <w:r>
        <w:rPr>
          <w:rFonts w:hint="eastAsia" w:asciiTheme="minorEastAsia" w:hAnsiTheme="minorEastAsia" w:eastAsiaTheme="minorEastAsia" w:cstheme="minorEastAsia"/>
          <w:sz w:val="24"/>
          <w:lang w:val="en-US" w:eastAsia="zh-CN"/>
        </w:rPr>
        <w:t>答疑技术支持</w:t>
      </w:r>
      <w:r>
        <w:rPr>
          <w:rFonts w:hint="eastAsia" w:asciiTheme="minorEastAsia" w:hAnsiTheme="minorEastAsia" w:eastAsiaTheme="minorEastAsia" w:cstheme="minorEastAsia"/>
          <w:sz w:val="24"/>
        </w:rPr>
        <w:t>。</w:t>
      </w:r>
    </w:p>
    <w:p w14:paraId="2102290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（2）中标方在</w:t>
      </w:r>
      <w:r>
        <w:rPr>
          <w:rFonts w:hint="eastAsia" w:asciiTheme="minorEastAsia" w:hAnsiTheme="minorEastAsia" w:eastAsiaTheme="minorEastAsia" w:cstheme="minorEastAsia"/>
          <w:sz w:val="24"/>
          <w:lang w:val="en-US" w:eastAsia="zh-CN"/>
        </w:rPr>
        <w:t>问题</w:t>
      </w:r>
      <w:r>
        <w:rPr>
          <w:rFonts w:hint="eastAsia" w:asciiTheme="minorEastAsia" w:hAnsiTheme="minorEastAsia" w:eastAsiaTheme="minorEastAsia" w:cstheme="minorEastAsia"/>
          <w:sz w:val="24"/>
        </w:rPr>
        <w:t>发生2小时响应处置。</w:t>
      </w:r>
    </w:p>
    <w:p w14:paraId="6630B6D2">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中标方对招标方提供技术培训和操作指导，中标方负责培训全部费用</w:t>
      </w:r>
      <w:r>
        <w:rPr>
          <w:rFonts w:hint="eastAsia" w:asciiTheme="minorEastAsia" w:hAnsiTheme="minorEastAsia" w:eastAsiaTheme="minorEastAsia" w:cstheme="minorEastAsia"/>
          <w:sz w:val="24"/>
          <w:lang w:eastAsia="zh-CN"/>
        </w:rPr>
        <w:t>。</w:t>
      </w:r>
    </w:p>
    <w:p w14:paraId="39F2779D">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不少于</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个工作日的现场</w:t>
      </w:r>
      <w:r>
        <w:rPr>
          <w:rFonts w:hint="eastAsia" w:asciiTheme="minorEastAsia" w:hAnsiTheme="minorEastAsia" w:eastAsiaTheme="minorEastAsia" w:cstheme="minorEastAsia"/>
          <w:sz w:val="24"/>
          <w:lang w:val="en-US" w:eastAsia="zh-CN"/>
        </w:rPr>
        <w:t>对接</w:t>
      </w:r>
      <w:r>
        <w:rPr>
          <w:rFonts w:hint="eastAsia" w:asciiTheme="minorEastAsia" w:hAnsiTheme="minorEastAsia" w:eastAsiaTheme="minorEastAsia" w:cstheme="minorEastAsia"/>
          <w:sz w:val="24"/>
        </w:rPr>
        <w:t>。中标方负责招标方人员的</w:t>
      </w:r>
      <w:r>
        <w:rPr>
          <w:rFonts w:hint="eastAsia" w:asciiTheme="minorEastAsia" w:hAnsiTheme="minorEastAsia" w:eastAsiaTheme="minorEastAsia" w:cstheme="minorEastAsia"/>
          <w:sz w:val="24"/>
          <w:lang w:val="en-US" w:eastAsia="zh-CN"/>
        </w:rPr>
        <w:t>技术方案理论与实施转化</w:t>
      </w:r>
      <w:r>
        <w:rPr>
          <w:rFonts w:hint="eastAsia" w:asciiTheme="minorEastAsia" w:hAnsiTheme="minorEastAsia" w:eastAsiaTheme="minorEastAsia" w:cstheme="minorEastAsia"/>
          <w:sz w:val="24"/>
        </w:rPr>
        <w:t>培训工作。</w:t>
      </w:r>
    </w:p>
    <w:p w14:paraId="1BC4D54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中标方应免费提供远程技术服务，远程技术服务项目期限不受限于保修期。</w:t>
      </w:r>
    </w:p>
    <w:p w14:paraId="4E7288D2">
      <w:pPr>
        <w:pStyle w:val="1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w:t>
      </w:r>
      <w:r>
        <w:rPr>
          <w:rFonts w:hint="eastAsia" w:ascii="宋体" w:hAnsi="宋体" w:cs="宋体"/>
          <w:sz w:val="24"/>
          <w:lang w:val="en-US" w:eastAsia="zh-CN"/>
        </w:rPr>
        <w:t>5</w:t>
      </w:r>
      <w:r>
        <w:rPr>
          <w:rFonts w:hint="eastAsia" w:ascii="宋体" w:hAnsi="宋体" w:cs="宋体"/>
          <w:sz w:val="24"/>
        </w:rPr>
        <w:t>系统交付项</w:t>
      </w:r>
    </w:p>
    <w:p w14:paraId="1AF7CAC4">
      <w:pPr>
        <w:ind w:firstLine="480" w:firstLineChars="200"/>
        <w:rPr>
          <w:rFonts w:ascii="宋体" w:hAnsi="宋体" w:cs="宋体"/>
          <w:sz w:val="24"/>
        </w:rPr>
      </w:pPr>
      <w:r>
        <w:rPr>
          <w:rFonts w:hint="eastAsia" w:ascii="宋体" w:hAnsi="宋体" w:cs="宋体"/>
          <w:sz w:val="24"/>
        </w:rPr>
        <w:t>投标方应在合同规定时间内，向招标方提供相应资料，包括：</w:t>
      </w:r>
    </w:p>
    <w:p w14:paraId="2F2A78F3">
      <w:pPr>
        <w:rPr>
          <w:rFonts w:hint="eastAsia" w:ascii="宋体" w:hAnsi="宋体" w:eastAsia="宋体" w:cs="宋体"/>
          <w:sz w:val="24"/>
          <w:lang w:eastAsia="zh-CN"/>
        </w:rPr>
      </w:pPr>
      <w:r>
        <w:rPr>
          <w:rFonts w:hint="eastAsia" w:ascii="宋体" w:hAnsi="宋体" w:cs="宋体"/>
          <w:sz w:val="24"/>
        </w:rPr>
        <w:t>（1）</w:t>
      </w:r>
      <w:r>
        <w:rPr>
          <w:rFonts w:hint="eastAsia" w:ascii="宋体" w:hAnsi="宋体" w:cs="宋体"/>
          <w:sz w:val="24"/>
          <w:lang w:val="en-US" w:eastAsia="zh-CN"/>
        </w:rPr>
        <w:t>研究技术报告</w:t>
      </w:r>
      <w:r>
        <w:rPr>
          <w:rFonts w:hint="eastAsia" w:ascii="宋体" w:hAnsi="宋体" w:cs="宋体"/>
          <w:sz w:val="24"/>
          <w:lang w:eastAsia="zh-CN"/>
        </w:rPr>
        <w:t>。</w:t>
      </w:r>
    </w:p>
    <w:p w14:paraId="0B6EE184">
      <w:pPr>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研究过程原理资料</w:t>
      </w:r>
      <w:r>
        <w:rPr>
          <w:rFonts w:hint="eastAsia" w:ascii="宋体" w:hAnsi="宋体" w:cs="宋体"/>
          <w:sz w:val="24"/>
          <w:lang w:eastAsia="zh-CN"/>
        </w:rPr>
        <w:t>。</w:t>
      </w:r>
    </w:p>
    <w:p w14:paraId="37CE3342">
      <w:pPr>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2</w:t>
      </w:r>
      <w:r>
        <w:rPr>
          <w:rFonts w:hint="eastAsia" w:ascii="宋体" w:hAnsi="宋体" w:cs="宋体"/>
          <w:color w:val="000000"/>
          <w:sz w:val="24"/>
        </w:rPr>
        <w:t xml:space="preserve"> 项目组织。投标方需成立项目组</w:t>
      </w:r>
      <w:r>
        <w:rPr>
          <w:rFonts w:hint="eastAsia" w:ascii="宋体" w:hAnsi="宋体"/>
          <w:sz w:val="24"/>
        </w:rPr>
        <w:t>，具备良好的专业背景和经验。在与招标方协商的基础上确定，确保人员稳定。更换项目组成员的替代人选及更换时机需经双方协商认可，并保证工作的连续性和工作质量。</w:t>
      </w:r>
    </w:p>
    <w:bookmarkEnd w:id="15"/>
    <w:bookmarkEnd w:id="16"/>
    <w:bookmarkEnd w:id="17"/>
    <w:bookmarkEnd w:id="18"/>
    <w:bookmarkEnd w:id="19"/>
    <w:bookmarkEnd w:id="20"/>
    <w:bookmarkEnd w:id="21"/>
    <w:bookmarkEnd w:id="22"/>
    <w:bookmarkEnd w:id="23"/>
    <w:bookmarkEnd w:id="24"/>
    <w:bookmarkEnd w:id="25"/>
    <w:p w14:paraId="7C914E8E">
      <w:pPr>
        <w:rPr>
          <w:rFonts w:ascii="宋体" w:hAnsi="宋体" w:cs="宋体"/>
          <w:sz w:val="24"/>
        </w:rPr>
      </w:pPr>
      <w:bookmarkStart w:id="32"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32"/>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33" w:name="_Toc312827040"/>
      <w:bookmarkStart w:id="34" w:name="_Toc309593209"/>
      <w:bookmarkStart w:id="35" w:name="_Toc531004215"/>
      <w:bookmarkStart w:id="36" w:name="_Toc531004269"/>
      <w:bookmarkStart w:id="37" w:name="_Toc309805604"/>
      <w:bookmarkStart w:id="38" w:name="_Toc309593280"/>
      <w:bookmarkStart w:id="39" w:name="_Toc441483969"/>
      <w:bookmarkStart w:id="40" w:name="_Toc18633"/>
    </w:p>
    <w:p w14:paraId="6D7F86C8">
      <w:pPr>
        <w:pStyle w:val="8"/>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设备图纸设计、审核、主要原材料选用、重大技术变更等关键技术环节工作。投标方应在设备研发、制造主要技术节点通知招标方技术团队参与</w:t>
      </w:r>
      <w:r>
        <w:rPr>
          <w:rFonts w:hint="eastAsia" w:hAnsi="宋体"/>
          <w:sz w:val="24"/>
        </w:rPr>
        <w:t>。</w:t>
      </w:r>
    </w:p>
    <w:p w14:paraId="5062A7C2">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14:paraId="73CA961D">
      <w:pPr>
        <w:pStyle w:val="8"/>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14:paraId="3DEDD22B">
      <w:pPr>
        <w:pStyle w:val="8"/>
        <w:rPr>
          <w:rFonts w:hAnsi="宋体"/>
          <w:sz w:val="24"/>
        </w:rPr>
      </w:pPr>
      <w:r>
        <w:rPr>
          <w:rFonts w:hint="eastAsia" w:ascii="Times New Roman" w:hAnsi="Times New Roman"/>
          <w:sz w:val="24"/>
        </w:rPr>
        <w:t>（1）沟通项目所需资料的收集</w:t>
      </w:r>
      <w:r>
        <w:rPr>
          <w:rFonts w:hint="eastAsia" w:hAnsi="宋体"/>
          <w:sz w:val="24"/>
        </w:rPr>
        <w:t>。</w:t>
      </w:r>
    </w:p>
    <w:p w14:paraId="67A48A5E">
      <w:pPr>
        <w:pStyle w:val="8"/>
        <w:rPr>
          <w:rFonts w:hAnsi="宋体"/>
          <w:sz w:val="24"/>
        </w:rPr>
      </w:pPr>
      <w:r>
        <w:rPr>
          <w:rFonts w:hint="eastAsia" w:ascii="Times New Roman" w:hAnsi="Times New Roman"/>
          <w:sz w:val="24"/>
        </w:rPr>
        <w:t>（2）沟通项目进度信息。</w:t>
      </w:r>
    </w:p>
    <w:p w14:paraId="2E5D34AE">
      <w:pPr>
        <w:pStyle w:val="8"/>
        <w:rPr>
          <w:rFonts w:hAnsi="宋体"/>
          <w:sz w:val="24"/>
        </w:rPr>
      </w:pPr>
      <w:r>
        <w:rPr>
          <w:rFonts w:hint="eastAsia" w:ascii="Times New Roman" w:hAnsi="Times New Roman"/>
          <w:sz w:val="24"/>
        </w:rPr>
        <w:t>（3）协商解决项目执行过程中遇到的问题。</w:t>
      </w:r>
    </w:p>
    <w:p w14:paraId="48BACCB4">
      <w:pPr>
        <w:pStyle w:val="8"/>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14:paraId="414BF8E5">
      <w:pPr>
        <w:pStyle w:val="8"/>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14:paraId="1A984B6D">
      <w:pPr>
        <w:pStyle w:val="8"/>
        <w:ind w:firstLine="240"/>
        <w:rPr>
          <w:rFonts w:hAnsi="宋体"/>
          <w:sz w:val="24"/>
        </w:rPr>
      </w:pPr>
      <w:r>
        <w:rPr>
          <w:rFonts w:hAnsi="宋体"/>
          <w:sz w:val="24"/>
        </w:rPr>
        <w:t xml:space="preserve">    </w:t>
      </w:r>
      <w:r>
        <w:rPr>
          <w:rFonts w:hint="eastAsia" w:hAnsi="宋体"/>
          <w:sz w:val="24"/>
        </w:rPr>
        <w:t>招标方</w:t>
      </w:r>
      <w:r>
        <w:rPr>
          <w:rFonts w:hAnsi="宋体"/>
          <w:sz w:val="24"/>
        </w:rPr>
        <w:t>：</w:t>
      </w:r>
    </w:p>
    <w:p w14:paraId="5F924D18">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0AA469EA">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607FE177">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24F9798F">
      <w:pPr>
        <w:pStyle w:val="8"/>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14:paraId="11B928EF">
      <w:pPr>
        <w:pStyle w:val="8"/>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14:paraId="07642554">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27F8CC74">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0EC835D1">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31C544D4">
      <w:pPr>
        <w:pStyle w:val="8"/>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14:paraId="5F0E491E">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14:paraId="3B2BE2DA">
      <w:pPr>
        <w:spacing w:line="360" w:lineRule="auto"/>
        <w:ind w:left="6" w:leftChars="3" w:firstLine="480" w:firstLineChars="200"/>
        <w:rPr>
          <w:sz w:val="24"/>
        </w:rPr>
      </w:pPr>
      <w:r>
        <w:rPr>
          <w:rFonts w:hint="eastAsia"/>
          <w:sz w:val="24"/>
        </w:rPr>
        <w:t>投标方</w:t>
      </w:r>
      <w:r>
        <w:rPr>
          <w:sz w:val="24"/>
        </w:rPr>
        <w:t>技术文件应包括：</w:t>
      </w:r>
    </w:p>
    <w:p w14:paraId="1AEDD50F">
      <w:pPr>
        <w:spacing w:line="360" w:lineRule="auto"/>
        <w:ind w:left="6" w:leftChars="3" w:firstLine="480" w:firstLineChars="200"/>
        <w:rPr>
          <w:sz w:val="24"/>
        </w:rPr>
      </w:pPr>
      <w:r>
        <w:rPr>
          <w:sz w:val="24"/>
        </w:rPr>
        <w:t>（1）</w:t>
      </w:r>
      <w:r>
        <w:rPr>
          <w:rFonts w:ascii="宋体" w:hAnsi="宋体" w:cs="宋体"/>
          <w:sz w:val="24"/>
        </w:rPr>
        <w:t>提供完整的</w:t>
      </w:r>
      <w:r>
        <w:rPr>
          <w:rFonts w:hint="eastAsia" w:ascii="宋体" w:hAnsi="宋体" w:cs="宋体"/>
          <w:sz w:val="24"/>
          <w:lang w:val="en-US" w:eastAsia="zh-CN"/>
        </w:rPr>
        <w:t>研究技术报告、成果转化</w:t>
      </w:r>
      <w:r>
        <w:rPr>
          <w:rFonts w:ascii="宋体" w:hAnsi="宋体" w:cs="宋体"/>
          <w:sz w:val="24"/>
        </w:rPr>
        <w:t>方案、</w:t>
      </w:r>
      <w:r>
        <w:rPr>
          <w:rFonts w:hint="eastAsia" w:ascii="宋体" w:hAnsi="宋体" w:cs="宋体"/>
          <w:sz w:val="24"/>
          <w:lang w:val="en-US" w:eastAsia="zh-CN"/>
        </w:rPr>
        <w:t>过程原理图</w:t>
      </w:r>
      <w:r>
        <w:rPr>
          <w:rFonts w:hint="eastAsia" w:ascii="宋体" w:hAnsi="宋体" w:cs="宋体"/>
          <w:sz w:val="24"/>
          <w:lang w:eastAsia="zh-CN"/>
        </w:rPr>
        <w:t>；</w:t>
      </w:r>
    </w:p>
    <w:p w14:paraId="43B1C038">
      <w:pPr>
        <w:spacing w:line="360" w:lineRule="auto"/>
        <w:ind w:left="6" w:leftChars="3" w:firstLine="480" w:firstLineChars="200"/>
        <w:rPr>
          <w:rFonts w:hint="eastAsia" w:eastAsia="宋体"/>
          <w:sz w:val="24"/>
          <w:lang w:eastAsia="zh-CN"/>
        </w:rPr>
      </w:pPr>
      <w:r>
        <w:rPr>
          <w:sz w:val="24"/>
        </w:rPr>
        <w:t>（2）预期目标和成果，主要技术难点、创新点及解决措施</w:t>
      </w:r>
      <w:r>
        <w:rPr>
          <w:rFonts w:hint="eastAsia"/>
          <w:sz w:val="24"/>
          <w:lang w:eastAsia="zh-CN"/>
        </w:rPr>
        <w:t>。</w:t>
      </w:r>
    </w:p>
    <w:p w14:paraId="644A5040">
      <w:pPr>
        <w:pStyle w:val="4"/>
        <w:numPr>
          <w:ilvl w:val="0"/>
          <w:numId w:val="0"/>
        </w:numPr>
        <w:rPr>
          <w:rFonts w:hint="eastAsia" w:ascii="黑体" w:hAnsi="黑体" w:eastAsia="黑体" w:cs="黑体"/>
          <w:b/>
          <w:bCs/>
          <w:kern w:val="2"/>
          <w:sz w:val="28"/>
          <w:szCs w:val="36"/>
          <w:lang w:val="en-US" w:eastAsia="zh-CN" w:bidi="ar-SA"/>
        </w:rPr>
      </w:pPr>
      <w:bookmarkStart w:id="41" w:name="_Toc312827039"/>
      <w:bookmarkStart w:id="42" w:name="_Toc12135"/>
      <w:bookmarkStart w:id="43" w:name="_Toc12192"/>
      <w:bookmarkStart w:id="44" w:name="_Toc23520"/>
      <w:bookmarkStart w:id="45" w:name="_Toc14774"/>
      <w:bookmarkStart w:id="46" w:name="_Toc26448179"/>
      <w:bookmarkStart w:id="47" w:name="_Toc309593208"/>
      <w:bookmarkStart w:id="48" w:name="_Toc309805603"/>
      <w:bookmarkStart w:id="49" w:name="_Toc309593279"/>
      <w:r>
        <w:rPr>
          <w:rFonts w:hint="eastAsia" w:ascii="黑体" w:hAnsi="黑体" w:eastAsia="黑体" w:cs="黑体"/>
          <w:b/>
          <w:bCs/>
          <w:kern w:val="2"/>
          <w:sz w:val="28"/>
          <w:szCs w:val="36"/>
          <w:lang w:val="en-US" w:eastAsia="zh-CN" w:bidi="ar-SA"/>
        </w:rPr>
        <w:t>6.※工期进度要求</w:t>
      </w:r>
      <w:bookmarkEnd w:id="41"/>
      <w:bookmarkEnd w:id="42"/>
      <w:bookmarkEnd w:id="43"/>
      <w:bookmarkEnd w:id="44"/>
      <w:bookmarkEnd w:id="45"/>
      <w:bookmarkEnd w:id="46"/>
      <w:bookmarkEnd w:id="47"/>
      <w:bookmarkEnd w:id="48"/>
      <w:bookmarkEnd w:id="49"/>
    </w:p>
    <w:p w14:paraId="5BD3C678">
      <w:pPr>
        <w:spacing w:line="360" w:lineRule="auto"/>
        <w:ind w:left="6" w:leftChars="3" w:firstLine="480" w:firstLineChars="200"/>
        <w:rPr>
          <w:sz w:val="24"/>
        </w:rPr>
      </w:pPr>
      <w:r>
        <w:rPr>
          <w:sz w:val="24"/>
        </w:rPr>
        <w:t>本项目应按照下表所示进度安排开展试验工作：</w:t>
      </w:r>
    </w:p>
    <w:tbl>
      <w:tblPr>
        <w:tblStyle w:val="12"/>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4"/>
        <w:gridCol w:w="5358"/>
      </w:tblGrid>
      <w:tr w14:paraId="3A26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08BBD23B">
            <w:pPr>
              <w:jc w:val="center"/>
              <w:rPr>
                <w:b/>
                <w:sz w:val="24"/>
              </w:rPr>
            </w:pPr>
            <w:r>
              <w:rPr>
                <w:b/>
                <w:sz w:val="24"/>
              </w:rPr>
              <w:t>任务名称</w:t>
            </w:r>
          </w:p>
        </w:tc>
        <w:tc>
          <w:tcPr>
            <w:tcW w:w="1734" w:type="dxa"/>
            <w:noWrap w:val="0"/>
            <w:vAlign w:val="center"/>
          </w:tcPr>
          <w:p w14:paraId="516846AB">
            <w:pPr>
              <w:jc w:val="center"/>
              <w:rPr>
                <w:b/>
                <w:sz w:val="24"/>
              </w:rPr>
            </w:pPr>
            <w:r>
              <w:rPr>
                <w:b/>
                <w:sz w:val="24"/>
              </w:rPr>
              <w:t>工作时间</w:t>
            </w:r>
          </w:p>
        </w:tc>
        <w:tc>
          <w:tcPr>
            <w:tcW w:w="5358" w:type="dxa"/>
            <w:noWrap w:val="0"/>
            <w:vAlign w:val="center"/>
          </w:tcPr>
          <w:p w14:paraId="0FB0BFA4">
            <w:pPr>
              <w:tabs>
                <w:tab w:val="left" w:pos="859"/>
              </w:tabs>
              <w:ind w:left="111" w:leftChars="53" w:firstLine="7" w:firstLineChars="3"/>
              <w:jc w:val="center"/>
              <w:rPr>
                <w:b/>
                <w:sz w:val="24"/>
              </w:rPr>
            </w:pPr>
            <w:r>
              <w:rPr>
                <w:b/>
                <w:sz w:val="24"/>
              </w:rPr>
              <w:t>主要内容及交付项</w:t>
            </w:r>
          </w:p>
        </w:tc>
      </w:tr>
      <w:tr w14:paraId="59E1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1" w:hRule="atLeast"/>
          <w:jc w:val="center"/>
        </w:trPr>
        <w:tc>
          <w:tcPr>
            <w:tcW w:w="1737" w:type="dxa"/>
            <w:noWrap w:val="0"/>
            <w:vAlign w:val="center"/>
          </w:tcPr>
          <w:p w14:paraId="71CE3849">
            <w:pPr>
              <w:pStyle w:val="54"/>
              <w:snapToGrid w:val="0"/>
              <w:rPr>
                <w:rFonts w:hint="eastAsia" w:ascii="Times New Roman" w:eastAsia="宋体"/>
                <w:kern w:val="2"/>
                <w:sz w:val="21"/>
                <w:szCs w:val="21"/>
                <w:lang w:eastAsia="zh-CN"/>
              </w:rPr>
            </w:pPr>
            <w:r>
              <w:rPr>
                <w:rFonts w:hint="eastAsia" w:ascii="Times New Roman" w:eastAsia="宋体"/>
                <w:kern w:val="2"/>
                <w:sz w:val="21"/>
                <w:szCs w:val="21"/>
                <w:lang w:eastAsia="zh-CN"/>
              </w:rPr>
              <w:t>需求调研与系统设计</w:t>
            </w:r>
          </w:p>
        </w:tc>
        <w:tc>
          <w:tcPr>
            <w:tcW w:w="1734" w:type="dxa"/>
            <w:noWrap w:val="0"/>
            <w:vAlign w:val="center"/>
          </w:tcPr>
          <w:p w14:paraId="4E19A742">
            <w:pPr>
              <w:adjustRightInd w:val="0"/>
              <w:snapToGrid w:val="0"/>
              <w:spacing w:line="400" w:lineRule="exact"/>
              <w:ind w:right="72"/>
              <w:jc w:val="center"/>
              <w:textAlignment w:val="center"/>
              <w:rPr>
                <w:szCs w:val="21"/>
              </w:rPr>
            </w:pPr>
            <w:r>
              <w:rPr>
                <w:rFonts w:hint="eastAsia"/>
                <w:szCs w:val="21"/>
              </w:rPr>
              <w:t>采购结果确定后</w:t>
            </w:r>
            <w:r>
              <w:rPr>
                <w:rFonts w:hint="eastAsia"/>
                <w:szCs w:val="21"/>
                <w:lang w:val="en-US" w:eastAsia="zh-CN"/>
              </w:rPr>
              <w:t>1</w:t>
            </w:r>
            <w:r>
              <w:rPr>
                <w:rFonts w:hint="eastAsia"/>
                <w:szCs w:val="21"/>
              </w:rPr>
              <w:t>月内</w:t>
            </w:r>
          </w:p>
        </w:tc>
        <w:tc>
          <w:tcPr>
            <w:tcW w:w="5358" w:type="dxa"/>
            <w:noWrap w:val="0"/>
            <w:vAlign w:val="center"/>
          </w:tcPr>
          <w:p w14:paraId="4E51ADAD">
            <w:pPr>
              <w:pStyle w:val="54"/>
              <w:snapToGrid w:val="0"/>
              <w:rPr>
                <w:rFonts w:hint="eastAsia" w:ascii="宋体" w:hAnsi="宋体" w:eastAsia="宋体" w:cs="宋体"/>
                <w:b/>
                <w:kern w:val="2"/>
                <w:sz w:val="21"/>
                <w:szCs w:val="21"/>
              </w:rPr>
            </w:pPr>
            <w:r>
              <w:rPr>
                <w:rFonts w:hint="eastAsia" w:ascii="宋体" w:hAnsi="宋体" w:eastAsia="宋体" w:cs="宋体"/>
                <w:b/>
                <w:kern w:val="2"/>
                <w:sz w:val="21"/>
                <w:szCs w:val="21"/>
              </w:rPr>
              <w:t>主要内容：</w:t>
            </w:r>
          </w:p>
          <w:p w14:paraId="5F85C1B6">
            <w:pPr>
              <w:pStyle w:val="54"/>
              <w:snapToGrid w:val="0"/>
              <w:rPr>
                <w:rFonts w:hint="eastAsia" w:ascii="Times New Roman" w:eastAsia="宋体" w:cs="Times New Roman"/>
                <w:kern w:val="2"/>
                <w:sz w:val="21"/>
                <w:szCs w:val="21"/>
              </w:rPr>
            </w:pPr>
            <w:r>
              <w:rPr>
                <w:rFonts w:hint="eastAsia" w:ascii="Times New Roman" w:eastAsia="宋体" w:cs="Times New Roman"/>
                <w:kern w:val="2"/>
                <w:sz w:val="21"/>
                <w:szCs w:val="21"/>
              </w:rPr>
              <w:t>（1）</w:t>
            </w:r>
            <w:r>
              <w:rPr>
                <w:rFonts w:hint="eastAsia"/>
                <w:szCs w:val="21"/>
              </w:rPr>
              <w:t>收集资料，完成需求分析并开展理论研究</w:t>
            </w:r>
            <w:r>
              <w:rPr>
                <w:rFonts w:hint="eastAsia" w:ascii="Times New Roman" w:eastAsia="宋体" w:cs="Times New Roman"/>
                <w:kern w:val="2"/>
                <w:sz w:val="21"/>
                <w:szCs w:val="21"/>
              </w:rPr>
              <w:t>；</w:t>
            </w:r>
            <w:r>
              <w:rPr>
                <w:rFonts w:hint="eastAsia" w:ascii="Times New Roman" w:eastAsia="宋体" w:cs="Times New Roman"/>
                <w:kern w:val="2"/>
                <w:sz w:val="21"/>
                <w:szCs w:val="21"/>
              </w:rPr>
              <w:br w:type="textWrapping"/>
            </w:r>
            <w:r>
              <w:rPr>
                <w:rFonts w:hint="eastAsia" w:ascii="Times New Roman" w:eastAsia="宋体" w:cs="Times New Roman"/>
                <w:kern w:val="2"/>
                <w:sz w:val="21"/>
                <w:szCs w:val="21"/>
              </w:rPr>
              <w:t>（</w:t>
            </w:r>
            <w:r>
              <w:rPr>
                <w:rFonts w:hint="eastAsia" w:ascii="Times New Roman" w:eastAsia="宋体" w:cs="Times New Roman"/>
                <w:kern w:val="2"/>
                <w:sz w:val="21"/>
                <w:szCs w:val="21"/>
                <w:lang w:val="en-US" w:eastAsia="zh-CN"/>
              </w:rPr>
              <w:t>2</w:t>
            </w:r>
            <w:r>
              <w:rPr>
                <w:rFonts w:hint="eastAsia" w:ascii="Times New Roman" w:eastAsia="宋体" w:cs="Times New Roman"/>
                <w:kern w:val="2"/>
                <w:sz w:val="21"/>
                <w:szCs w:val="21"/>
              </w:rPr>
              <w:t>）组织</w:t>
            </w:r>
            <w:r>
              <w:rPr>
                <w:rFonts w:hint="eastAsia" w:ascii="Times New Roman" w:eastAsia="宋体" w:cs="Times New Roman"/>
                <w:kern w:val="2"/>
                <w:sz w:val="21"/>
                <w:szCs w:val="21"/>
                <w:lang w:val="en-US" w:eastAsia="zh-CN"/>
              </w:rPr>
              <w:t>可行性</w:t>
            </w:r>
            <w:r>
              <w:rPr>
                <w:rFonts w:hint="eastAsia" w:ascii="Times New Roman" w:eastAsia="宋体" w:cs="Times New Roman"/>
                <w:kern w:val="2"/>
                <w:sz w:val="21"/>
                <w:szCs w:val="21"/>
              </w:rPr>
              <w:t>方案评审。</w:t>
            </w:r>
          </w:p>
          <w:p w14:paraId="7CBD870C">
            <w:pPr>
              <w:pStyle w:val="54"/>
              <w:snapToGrid w:val="0"/>
              <w:rPr>
                <w:rFonts w:ascii="Times New Roman" w:eastAsia="宋体"/>
                <w:b/>
                <w:kern w:val="2"/>
                <w:sz w:val="21"/>
                <w:szCs w:val="21"/>
              </w:rPr>
            </w:pPr>
            <w:r>
              <w:rPr>
                <w:rFonts w:hint="eastAsia" w:ascii="宋体" w:hAnsi="宋体" w:eastAsia="宋体" w:cs="宋体"/>
                <w:b/>
                <w:kern w:val="2"/>
                <w:sz w:val="21"/>
                <w:szCs w:val="21"/>
              </w:rPr>
              <w:t>交付项</w:t>
            </w:r>
            <w:r>
              <w:rPr>
                <w:rFonts w:hint="eastAsia" w:ascii="宋体" w:hAnsi="宋体" w:eastAsia="宋体" w:cs="宋体"/>
                <w:kern w:val="2"/>
                <w:sz w:val="21"/>
                <w:szCs w:val="21"/>
              </w:rPr>
              <w:t>：系统</w:t>
            </w:r>
            <w:r>
              <w:rPr>
                <w:rFonts w:hint="eastAsia" w:ascii="宋体" w:hAnsi="宋体" w:eastAsia="宋体" w:cs="宋体"/>
                <w:kern w:val="2"/>
                <w:sz w:val="21"/>
                <w:szCs w:val="21"/>
                <w:lang w:val="en-US" w:eastAsia="zh-CN"/>
              </w:rPr>
              <w:t>可行性</w:t>
            </w:r>
            <w:r>
              <w:rPr>
                <w:rFonts w:hint="eastAsia" w:ascii="宋体" w:hAnsi="宋体" w:eastAsia="宋体" w:cs="宋体"/>
                <w:kern w:val="2"/>
                <w:sz w:val="21"/>
                <w:szCs w:val="21"/>
              </w:rPr>
              <w:t>方案1份。</w:t>
            </w:r>
          </w:p>
        </w:tc>
      </w:tr>
      <w:tr w14:paraId="2C45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1737" w:type="dxa"/>
            <w:noWrap w:val="0"/>
            <w:vAlign w:val="center"/>
          </w:tcPr>
          <w:p w14:paraId="0CF2D0E4">
            <w:pPr>
              <w:pStyle w:val="54"/>
              <w:snapToGrid w:val="0"/>
              <w:rPr>
                <w:rFonts w:hint="default" w:ascii="Times New Roman" w:eastAsia="宋体" w:cs="Times New Roman"/>
                <w:kern w:val="2"/>
                <w:sz w:val="21"/>
                <w:szCs w:val="21"/>
                <w:highlight w:val="none"/>
                <w:lang w:val="en-US" w:eastAsia="zh-CN"/>
              </w:rPr>
            </w:pPr>
            <w:r>
              <w:rPr>
                <w:rFonts w:hint="eastAsia" w:ascii="Times New Roman" w:eastAsia="宋体" w:cs="Times New Roman"/>
                <w:kern w:val="2"/>
                <w:sz w:val="21"/>
                <w:szCs w:val="21"/>
                <w:highlight w:val="none"/>
                <w:lang w:val="en-US" w:eastAsia="zh-CN"/>
              </w:rPr>
              <w:t>原理分析</w:t>
            </w:r>
          </w:p>
        </w:tc>
        <w:tc>
          <w:tcPr>
            <w:tcW w:w="1734" w:type="dxa"/>
            <w:noWrap w:val="0"/>
            <w:vAlign w:val="center"/>
          </w:tcPr>
          <w:p w14:paraId="310A5E4E">
            <w:pPr>
              <w:spacing w:line="264" w:lineRule="auto"/>
              <w:jc w:val="center"/>
              <w:rPr>
                <w:sz w:val="24"/>
              </w:rPr>
            </w:pPr>
            <w:r>
              <w:rPr>
                <w:rFonts w:hint="eastAsia"/>
                <w:szCs w:val="21"/>
              </w:rPr>
              <w:t>采购结果确定后</w:t>
            </w:r>
            <w:r>
              <w:rPr>
                <w:rFonts w:hint="eastAsia"/>
                <w:szCs w:val="21"/>
                <w:lang w:val="en-US" w:eastAsia="zh-CN"/>
              </w:rPr>
              <w:t>3</w:t>
            </w:r>
            <w:r>
              <w:rPr>
                <w:rFonts w:hint="eastAsia"/>
                <w:szCs w:val="21"/>
              </w:rPr>
              <w:t>月内</w:t>
            </w:r>
          </w:p>
        </w:tc>
        <w:tc>
          <w:tcPr>
            <w:tcW w:w="5358" w:type="dxa"/>
            <w:noWrap w:val="0"/>
            <w:vAlign w:val="center"/>
          </w:tcPr>
          <w:p w14:paraId="6239E6B1">
            <w:pPr>
              <w:pStyle w:val="54"/>
              <w:snapToGrid w:val="0"/>
              <w:rPr>
                <w:rFonts w:ascii="Times New Roman" w:eastAsia="宋体"/>
                <w:b/>
                <w:kern w:val="2"/>
                <w:sz w:val="21"/>
                <w:szCs w:val="21"/>
              </w:rPr>
            </w:pPr>
            <w:r>
              <w:rPr>
                <w:rFonts w:ascii="Times New Roman" w:eastAsia="宋体"/>
                <w:b/>
                <w:kern w:val="2"/>
                <w:sz w:val="21"/>
                <w:szCs w:val="21"/>
              </w:rPr>
              <w:t>主要内容：</w:t>
            </w:r>
          </w:p>
          <w:p w14:paraId="3B5C69FA">
            <w:pPr>
              <w:pStyle w:val="54"/>
              <w:snapToGrid w:val="0"/>
              <w:rPr>
                <w:rFonts w:hint="eastAsia" w:ascii="Times New Roman" w:eastAsia="宋体" w:cs="Times New Roman"/>
                <w:kern w:val="2"/>
                <w:sz w:val="21"/>
                <w:szCs w:val="21"/>
              </w:rPr>
            </w:pPr>
            <w:r>
              <w:rPr>
                <w:rFonts w:hint="eastAsia" w:ascii="Times New Roman" w:eastAsia="宋体" w:cs="Times New Roman"/>
                <w:kern w:val="2"/>
                <w:sz w:val="21"/>
                <w:szCs w:val="21"/>
              </w:rPr>
              <w:t>（1）研究直流系统高阻绝缘下降、高阻接地引起电压偏差超过规定临界值的计算值和危害；</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w:t>
            </w:r>
            <w:r>
              <w:rPr>
                <w:rFonts w:hint="eastAsia" w:ascii="Times New Roman" w:eastAsia="宋体" w:cs="Times New Roman"/>
                <w:kern w:val="2"/>
                <w:sz w:val="21"/>
                <w:szCs w:val="21"/>
                <w:lang w:val="en-US" w:eastAsia="zh-CN"/>
              </w:rPr>
              <w:t>总结编写高阻绝缘下降危害分析报告</w:t>
            </w:r>
            <w:r>
              <w:rPr>
                <w:rFonts w:hint="default" w:ascii="Times New Roman" w:eastAsia="宋体" w:cs="Times New Roman"/>
                <w:kern w:val="2"/>
                <w:sz w:val="21"/>
                <w:szCs w:val="21"/>
              </w:rPr>
              <w:t>。</w:t>
            </w:r>
          </w:p>
          <w:p w14:paraId="14896219">
            <w:pPr>
              <w:pStyle w:val="54"/>
              <w:snapToGrid w:val="0"/>
              <w:rPr>
                <w:rFonts w:ascii="Times New Roman" w:eastAsia="宋体"/>
                <w:b/>
                <w:kern w:val="2"/>
                <w:sz w:val="21"/>
                <w:szCs w:val="21"/>
              </w:rPr>
            </w:pPr>
            <w:r>
              <w:rPr>
                <w:rFonts w:ascii="Times New Roman" w:eastAsia="宋体"/>
                <w:b/>
                <w:kern w:val="2"/>
                <w:sz w:val="21"/>
                <w:szCs w:val="21"/>
              </w:rPr>
              <w:t>交付项：</w:t>
            </w:r>
          </w:p>
          <w:p w14:paraId="4CC168F9">
            <w:pPr>
              <w:pStyle w:val="54"/>
              <w:snapToGrid w:val="0"/>
              <w:rPr>
                <w:rFonts w:hint="eastAsia" w:ascii="Times New Roman" w:eastAsia="宋体"/>
              </w:rPr>
            </w:pPr>
            <w:r>
              <w:rPr>
                <w:rFonts w:hint="default" w:ascii="Times New Roman" w:eastAsia="宋体" w:cs="Times New Roman"/>
                <w:kern w:val="2"/>
                <w:sz w:val="21"/>
                <w:szCs w:val="21"/>
              </w:rPr>
              <w:t>（1）</w:t>
            </w:r>
            <w:r>
              <w:rPr>
                <w:rFonts w:hint="eastAsia" w:ascii="Times New Roman" w:eastAsia="宋体" w:cs="Times New Roman"/>
                <w:kern w:val="2"/>
                <w:sz w:val="21"/>
                <w:szCs w:val="21"/>
                <w:lang w:val="en-US" w:eastAsia="zh-CN"/>
              </w:rPr>
              <w:t>高阻绝缘下降危害分析报告</w:t>
            </w:r>
            <w:r>
              <w:rPr>
                <w:rFonts w:hint="default" w:ascii="Times New Roman" w:eastAsia="宋体" w:cs="Times New Roman"/>
                <w:kern w:val="2"/>
                <w:sz w:val="21"/>
                <w:szCs w:val="21"/>
              </w:rPr>
              <w:t>1份</w:t>
            </w:r>
            <w:r>
              <w:rPr>
                <w:rFonts w:hint="eastAsia" w:ascii="Times New Roman" w:eastAsia="宋体" w:cs="Times New Roman"/>
                <w:kern w:val="2"/>
                <w:sz w:val="21"/>
                <w:szCs w:val="21"/>
              </w:rPr>
              <w:t>。</w:t>
            </w:r>
          </w:p>
        </w:tc>
      </w:tr>
      <w:tr w14:paraId="248D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9" w:hRule="atLeast"/>
          <w:jc w:val="center"/>
        </w:trPr>
        <w:tc>
          <w:tcPr>
            <w:tcW w:w="1737" w:type="dxa"/>
            <w:noWrap w:val="0"/>
            <w:vAlign w:val="center"/>
          </w:tcPr>
          <w:p w14:paraId="18F89A74">
            <w:pPr>
              <w:pStyle w:val="54"/>
              <w:snapToGrid w:val="0"/>
              <w:rPr>
                <w:rFonts w:hint="default" w:ascii="Times New Roman" w:eastAsia="宋体" w:cs="Times New Roman"/>
                <w:kern w:val="2"/>
                <w:sz w:val="21"/>
                <w:szCs w:val="21"/>
                <w:highlight w:val="none"/>
                <w:lang w:val="en-US" w:eastAsia="zh-CN"/>
              </w:rPr>
            </w:pPr>
            <w:r>
              <w:rPr>
                <w:rFonts w:hint="eastAsia" w:ascii="Times New Roman" w:eastAsia="宋体" w:cs="Times New Roman"/>
                <w:kern w:val="2"/>
                <w:sz w:val="21"/>
                <w:szCs w:val="21"/>
                <w:highlight w:val="none"/>
                <w:lang w:val="en-US" w:eastAsia="zh-CN"/>
              </w:rPr>
              <w:t>方案研究与设计</w:t>
            </w:r>
            <w:bookmarkStart w:id="50" w:name="_GoBack"/>
            <w:bookmarkEnd w:id="50"/>
          </w:p>
        </w:tc>
        <w:tc>
          <w:tcPr>
            <w:tcW w:w="1734" w:type="dxa"/>
            <w:noWrap w:val="0"/>
            <w:vAlign w:val="center"/>
          </w:tcPr>
          <w:p w14:paraId="35C52FF6">
            <w:pPr>
              <w:adjustRightInd w:val="0"/>
              <w:snapToGrid w:val="0"/>
              <w:spacing w:line="288" w:lineRule="auto"/>
              <w:ind w:right="72"/>
              <w:jc w:val="center"/>
              <w:rPr>
                <w:sz w:val="24"/>
              </w:rPr>
            </w:pPr>
            <w:r>
              <w:rPr>
                <w:rFonts w:hint="eastAsia"/>
                <w:szCs w:val="21"/>
              </w:rPr>
              <w:t>采购结果确定后</w:t>
            </w:r>
            <w:r>
              <w:rPr>
                <w:rFonts w:hint="eastAsia"/>
                <w:szCs w:val="21"/>
                <w:lang w:val="en-US" w:eastAsia="zh-CN"/>
              </w:rPr>
              <w:t>5</w:t>
            </w:r>
            <w:r>
              <w:rPr>
                <w:rFonts w:hint="eastAsia"/>
                <w:szCs w:val="21"/>
              </w:rPr>
              <w:t>月内</w:t>
            </w:r>
          </w:p>
        </w:tc>
        <w:tc>
          <w:tcPr>
            <w:tcW w:w="5358" w:type="dxa"/>
            <w:noWrap w:val="0"/>
            <w:vAlign w:val="center"/>
          </w:tcPr>
          <w:p w14:paraId="1D40E674">
            <w:pPr>
              <w:pStyle w:val="54"/>
              <w:snapToGrid w:val="0"/>
              <w:rPr>
                <w:rFonts w:ascii="Times New Roman" w:eastAsia="宋体"/>
                <w:b/>
                <w:kern w:val="2"/>
                <w:sz w:val="21"/>
                <w:szCs w:val="21"/>
              </w:rPr>
            </w:pPr>
            <w:r>
              <w:rPr>
                <w:rFonts w:ascii="Times New Roman" w:eastAsia="宋体"/>
                <w:b/>
                <w:kern w:val="2"/>
                <w:sz w:val="21"/>
                <w:szCs w:val="21"/>
              </w:rPr>
              <w:t>主要内容：</w:t>
            </w:r>
          </w:p>
          <w:p w14:paraId="60156997">
            <w:pPr>
              <w:pStyle w:val="54"/>
              <w:snapToGrid w:val="0"/>
              <w:rPr>
                <w:rFonts w:hint="eastAsia" w:ascii="Times New Roman" w:eastAsia="宋体" w:cs="Times New Roman"/>
                <w:kern w:val="2"/>
                <w:sz w:val="21"/>
                <w:szCs w:val="21"/>
              </w:rPr>
            </w:pPr>
            <w:r>
              <w:rPr>
                <w:rFonts w:hint="default" w:ascii="Times New Roman" w:eastAsia="宋体" w:cs="Times New Roman"/>
                <w:kern w:val="2"/>
                <w:sz w:val="21"/>
                <w:szCs w:val="21"/>
              </w:rPr>
              <w:t>（1）研究直流系统主动产生特征信号的方法；</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w:t>
            </w:r>
            <w:r>
              <w:rPr>
                <w:rFonts w:hint="eastAsia" w:ascii="Times New Roman" w:eastAsia="宋体" w:cs="Times New Roman"/>
                <w:kern w:val="2"/>
                <w:sz w:val="21"/>
                <w:szCs w:val="21"/>
                <w:lang w:val="en-US" w:eastAsia="zh-CN"/>
              </w:rPr>
              <w:t>编写技术专利</w:t>
            </w:r>
            <w:r>
              <w:rPr>
                <w:rFonts w:hint="default" w:ascii="Times New Roman" w:eastAsia="宋体" w:cs="Times New Roman"/>
                <w:kern w:val="2"/>
                <w:sz w:val="21"/>
                <w:szCs w:val="21"/>
              </w:rPr>
              <w:t>；</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（3）</w:t>
            </w:r>
            <w:r>
              <w:rPr>
                <w:rFonts w:hint="eastAsia" w:ascii="Times New Roman" w:eastAsia="宋体" w:cs="Times New Roman"/>
                <w:kern w:val="2"/>
                <w:sz w:val="21"/>
                <w:szCs w:val="21"/>
                <w:lang w:val="en-US" w:eastAsia="zh-CN"/>
              </w:rPr>
              <w:t>编写技术研究报告</w:t>
            </w:r>
            <w:r>
              <w:rPr>
                <w:rFonts w:hint="default" w:ascii="Times New Roman" w:eastAsia="宋体" w:cs="Times New Roman"/>
                <w:kern w:val="2"/>
                <w:sz w:val="21"/>
                <w:szCs w:val="21"/>
              </w:rPr>
              <w:t>。</w:t>
            </w:r>
          </w:p>
          <w:p w14:paraId="0C383010">
            <w:pPr>
              <w:pStyle w:val="54"/>
              <w:snapToGrid w:val="0"/>
              <w:rPr>
                <w:rFonts w:ascii="Times New Roman" w:eastAsia="宋体"/>
                <w:kern w:val="2"/>
                <w:sz w:val="21"/>
                <w:szCs w:val="21"/>
              </w:rPr>
            </w:pPr>
            <w:r>
              <w:rPr>
                <w:rFonts w:ascii="Times New Roman" w:eastAsia="宋体"/>
                <w:b/>
                <w:kern w:val="2"/>
                <w:sz w:val="21"/>
                <w:szCs w:val="21"/>
              </w:rPr>
              <w:t>交付项：</w:t>
            </w:r>
          </w:p>
          <w:p w14:paraId="0775C4B8">
            <w:pPr>
              <w:pStyle w:val="54"/>
              <w:snapToGrid w:val="0"/>
              <w:rPr>
                <w:rFonts w:hint="default" w:ascii="Times New Roman" w:eastAsia="宋体"/>
                <w:kern w:val="2"/>
                <w:sz w:val="21"/>
                <w:szCs w:val="21"/>
                <w:lang w:val="en-US" w:eastAsia="zh-CN"/>
              </w:rPr>
            </w:pPr>
            <w:r>
              <w:rPr>
                <w:rFonts w:hint="eastAsia"/>
                <w:sz w:val="21"/>
                <w:szCs w:val="21"/>
              </w:rPr>
              <w:t>（</w:t>
            </w:r>
            <w:r>
              <w:rPr>
                <w:rFonts w:hint="eastAsia" w:ascii="Times New Roman" w:eastAsia="宋体"/>
                <w:kern w:val="2"/>
                <w:sz w:val="21"/>
                <w:szCs w:val="21"/>
              </w:rPr>
              <w:t>1）</w:t>
            </w:r>
            <w:r>
              <w:rPr>
                <w:rFonts w:hint="eastAsia" w:ascii="Times New Roman" w:eastAsia="宋体" w:cs="Times New Roman"/>
                <w:kern w:val="2"/>
                <w:sz w:val="21"/>
                <w:szCs w:val="21"/>
                <w:lang w:val="en-US" w:eastAsia="zh-CN"/>
              </w:rPr>
              <w:t>技术研究报告</w:t>
            </w:r>
            <w:r>
              <w:rPr>
                <w:rFonts w:hint="eastAsia" w:ascii="Times New Roman" w:eastAsia="宋体"/>
                <w:kern w:val="2"/>
                <w:sz w:val="21"/>
                <w:szCs w:val="21"/>
              </w:rPr>
              <w:t>1份；</w:t>
            </w:r>
            <w:r>
              <w:rPr>
                <w:rFonts w:hint="eastAsia" w:ascii="Times New Roman" w:eastAsia="宋体"/>
                <w:kern w:val="2"/>
                <w:sz w:val="21"/>
                <w:szCs w:val="21"/>
              </w:rPr>
              <w:br w:type="textWrapping"/>
            </w:r>
            <w:r>
              <w:rPr>
                <w:rFonts w:hint="eastAsia" w:ascii="Times New Roman" w:eastAsia="宋体"/>
                <w:kern w:val="2"/>
                <w:sz w:val="21"/>
                <w:szCs w:val="21"/>
              </w:rPr>
              <w:t>（2）</w:t>
            </w:r>
            <w:r>
              <w:rPr>
                <w:rFonts w:hint="eastAsia" w:ascii="Times New Roman" w:eastAsia="宋体"/>
                <w:kern w:val="2"/>
                <w:sz w:val="21"/>
                <w:szCs w:val="21"/>
                <w:lang w:val="en-US" w:eastAsia="zh-CN"/>
              </w:rPr>
              <w:t>专利交底书</w:t>
            </w:r>
            <w:r>
              <w:rPr>
                <w:rFonts w:hint="eastAsia" w:ascii="Times New Roman" w:eastAsia="宋体"/>
                <w:kern w:val="2"/>
                <w:sz w:val="21"/>
                <w:szCs w:val="21"/>
              </w:rPr>
              <w:t>1份。</w:t>
            </w:r>
          </w:p>
        </w:tc>
      </w:tr>
      <w:tr w14:paraId="4EE26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4A7FDAFE">
            <w:pPr>
              <w:pStyle w:val="54"/>
              <w:snapToGrid w:val="0"/>
              <w:rPr>
                <w:rFonts w:ascii="Times New Roman"/>
                <w:highlight w:val="none"/>
              </w:rPr>
            </w:pPr>
            <w:r>
              <w:rPr>
                <w:rFonts w:ascii="Times New Roman" w:eastAsia="宋体"/>
                <w:kern w:val="2"/>
                <w:sz w:val="21"/>
                <w:szCs w:val="21"/>
                <w:highlight w:val="none"/>
              </w:rPr>
              <w:t>项目验收</w:t>
            </w:r>
          </w:p>
        </w:tc>
        <w:tc>
          <w:tcPr>
            <w:tcW w:w="1734" w:type="dxa"/>
            <w:noWrap w:val="0"/>
            <w:vAlign w:val="center"/>
          </w:tcPr>
          <w:p w14:paraId="5A1B1BF1">
            <w:pPr>
              <w:adjustRightInd w:val="0"/>
              <w:snapToGrid w:val="0"/>
              <w:spacing w:line="400" w:lineRule="exact"/>
              <w:ind w:right="72"/>
              <w:jc w:val="center"/>
              <w:textAlignment w:val="center"/>
              <w:rPr>
                <w:sz w:val="24"/>
                <w:highlight w:val="none"/>
              </w:rPr>
            </w:pPr>
            <w:r>
              <w:rPr>
                <w:szCs w:val="21"/>
                <w:highlight w:val="none"/>
              </w:rPr>
              <w:t>202</w:t>
            </w:r>
            <w:r>
              <w:rPr>
                <w:rFonts w:hint="eastAsia"/>
                <w:szCs w:val="21"/>
                <w:highlight w:val="none"/>
                <w:lang w:val="en-US" w:eastAsia="zh-CN"/>
              </w:rPr>
              <w:t>6</w:t>
            </w:r>
            <w:r>
              <w:rPr>
                <w:szCs w:val="21"/>
                <w:highlight w:val="none"/>
              </w:rPr>
              <w:t>年</w:t>
            </w:r>
            <w:r>
              <w:rPr>
                <w:rFonts w:hint="eastAsia"/>
                <w:szCs w:val="21"/>
                <w:highlight w:val="none"/>
                <w:lang w:val="en-US" w:eastAsia="zh-CN"/>
              </w:rPr>
              <w:t>12</w:t>
            </w:r>
            <w:r>
              <w:rPr>
                <w:szCs w:val="21"/>
                <w:highlight w:val="none"/>
              </w:rPr>
              <w:t>月</w:t>
            </w:r>
          </w:p>
        </w:tc>
        <w:tc>
          <w:tcPr>
            <w:tcW w:w="5358" w:type="dxa"/>
            <w:noWrap w:val="0"/>
            <w:vAlign w:val="center"/>
          </w:tcPr>
          <w:p w14:paraId="7D9C9501">
            <w:pPr>
              <w:pStyle w:val="54"/>
              <w:snapToGrid w:val="0"/>
              <w:rPr>
                <w:rFonts w:ascii="Times New Roman" w:eastAsia="宋体"/>
                <w:kern w:val="2"/>
                <w:sz w:val="21"/>
                <w:szCs w:val="21"/>
                <w:highlight w:val="none"/>
              </w:rPr>
            </w:pPr>
            <w:r>
              <w:rPr>
                <w:rFonts w:ascii="Times New Roman" w:eastAsia="宋体"/>
                <w:b/>
                <w:kern w:val="2"/>
                <w:sz w:val="21"/>
                <w:szCs w:val="21"/>
                <w:highlight w:val="none"/>
              </w:rPr>
              <w:t>主要内容</w:t>
            </w:r>
            <w:r>
              <w:rPr>
                <w:rFonts w:ascii="Times New Roman" w:eastAsia="宋体"/>
                <w:kern w:val="2"/>
                <w:sz w:val="21"/>
                <w:szCs w:val="21"/>
                <w:highlight w:val="none"/>
              </w:rPr>
              <w:t>：项目结题验收。</w:t>
            </w:r>
          </w:p>
          <w:p w14:paraId="441287F4">
            <w:pPr>
              <w:pStyle w:val="54"/>
              <w:snapToGrid w:val="0"/>
              <w:rPr>
                <w:rFonts w:ascii="Times New Roman" w:eastAsia="宋体"/>
                <w:kern w:val="2"/>
                <w:sz w:val="21"/>
                <w:szCs w:val="21"/>
                <w:highlight w:val="none"/>
              </w:rPr>
            </w:pPr>
            <w:r>
              <w:rPr>
                <w:rFonts w:ascii="Times New Roman" w:eastAsia="宋体"/>
                <w:b/>
                <w:kern w:val="2"/>
                <w:sz w:val="21"/>
                <w:szCs w:val="21"/>
                <w:highlight w:val="none"/>
              </w:rPr>
              <w:t>交付项</w:t>
            </w:r>
            <w:r>
              <w:rPr>
                <w:rFonts w:ascii="Times New Roman" w:eastAsia="宋体"/>
                <w:kern w:val="2"/>
                <w:sz w:val="21"/>
                <w:szCs w:val="21"/>
                <w:highlight w:val="none"/>
              </w:rPr>
              <w:t>：</w:t>
            </w:r>
          </w:p>
          <w:p w14:paraId="14A56BB5">
            <w:pPr>
              <w:pStyle w:val="54"/>
              <w:snapToGrid w:val="0"/>
              <w:rPr>
                <w:rFonts w:ascii="Times New Roman"/>
                <w:highlight w:val="none"/>
              </w:rPr>
            </w:pPr>
            <w:r>
              <w:rPr>
                <w:rFonts w:hint="eastAsia" w:ascii="Times New Roman" w:eastAsia="宋体" w:cs="Times New Roman"/>
                <w:kern w:val="2"/>
                <w:sz w:val="21"/>
                <w:szCs w:val="21"/>
              </w:rPr>
              <w:t>（1）项目研究报告1份；</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w:t>
            </w:r>
            <w:r>
              <w:rPr>
                <w:rFonts w:hint="eastAsia" w:ascii="Times New Roman" w:eastAsia="宋体" w:cs="Times New Roman"/>
                <w:kern w:val="2"/>
                <w:sz w:val="21"/>
                <w:szCs w:val="21"/>
                <w:lang w:val="en-US" w:eastAsia="zh-CN"/>
              </w:rPr>
              <w:t>编写专利申请材料</w:t>
            </w:r>
            <w:r>
              <w:rPr>
                <w:rFonts w:hint="default" w:ascii="Times New Roman" w:eastAsia="宋体" w:cs="Times New Roman"/>
                <w:kern w:val="2"/>
                <w:sz w:val="21"/>
                <w:szCs w:val="21"/>
              </w:rPr>
              <w:t>1</w:t>
            </w:r>
            <w:r>
              <w:rPr>
                <w:rFonts w:hint="eastAsia" w:ascii="Times New Roman" w:eastAsia="宋体" w:cs="Times New Roman"/>
                <w:kern w:val="2"/>
                <w:sz w:val="21"/>
                <w:szCs w:val="21"/>
                <w:lang w:val="en-US" w:eastAsia="zh-CN"/>
              </w:rPr>
              <w:t>份</w:t>
            </w:r>
            <w:r>
              <w:rPr>
                <w:rFonts w:hint="default" w:ascii="Times New Roman" w:eastAsia="宋体" w:cs="Times New Roman"/>
                <w:kern w:val="2"/>
                <w:sz w:val="21"/>
                <w:szCs w:val="21"/>
              </w:rPr>
              <w:t>；</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（3）项目验收材料全套。</w:t>
            </w:r>
          </w:p>
        </w:tc>
      </w:tr>
    </w:tbl>
    <w:p w14:paraId="77EE51CD">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.项目验收</w:t>
      </w:r>
      <w:bookmarkEnd w:id="33"/>
      <w:bookmarkEnd w:id="34"/>
      <w:bookmarkEnd w:id="35"/>
      <w:bookmarkEnd w:id="36"/>
      <w:bookmarkEnd w:id="37"/>
      <w:bookmarkEnd w:id="38"/>
      <w:bookmarkEnd w:id="39"/>
    </w:p>
    <w:p w14:paraId="0CC52F0B">
      <w:pPr>
        <w:rPr>
          <w:rFonts w:ascii="宋体" w:hAnsi="宋体" w:cs="宋体"/>
          <w:sz w:val="24"/>
        </w:rPr>
      </w:pPr>
      <w:r>
        <w:rPr>
          <w:rFonts w:hint="eastAsia" w:ascii="宋体" w:hAnsi="宋体" w:cs="宋体"/>
          <w:sz w:val="24"/>
          <w:lang w:val="en-US" w:eastAsia="zh-CN"/>
        </w:rPr>
        <w:t>7</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14:paraId="03AA7F5C">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8.</w:t>
      </w:r>
      <w:r>
        <w:rPr>
          <w:rFonts w:hint="eastAsia" w:ascii="黑体" w:hAnsi="黑体" w:eastAsia="黑体" w:cs="黑体"/>
          <w:b/>
          <w:bCs/>
          <w:sz w:val="28"/>
          <w:szCs w:val="36"/>
        </w:rPr>
        <w:t>其他要求</w:t>
      </w:r>
      <w:bookmarkEnd w:id="40"/>
    </w:p>
    <w:p w14:paraId="21B31973">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4340829"/>
    <w:rsid w:val="04A45BAD"/>
    <w:rsid w:val="06D27AF8"/>
    <w:rsid w:val="06F2484F"/>
    <w:rsid w:val="0A210078"/>
    <w:rsid w:val="0C030754"/>
    <w:rsid w:val="0CA05D46"/>
    <w:rsid w:val="0F966A31"/>
    <w:rsid w:val="10550F6F"/>
    <w:rsid w:val="128F30ED"/>
    <w:rsid w:val="12BD66DE"/>
    <w:rsid w:val="13050004"/>
    <w:rsid w:val="13132954"/>
    <w:rsid w:val="14AA7AB1"/>
    <w:rsid w:val="163A1216"/>
    <w:rsid w:val="166F3EB8"/>
    <w:rsid w:val="191A5617"/>
    <w:rsid w:val="1A0A5C1B"/>
    <w:rsid w:val="1BD511FB"/>
    <w:rsid w:val="1F8A11CF"/>
    <w:rsid w:val="20F20322"/>
    <w:rsid w:val="22431066"/>
    <w:rsid w:val="23D05B4F"/>
    <w:rsid w:val="27F37596"/>
    <w:rsid w:val="27FA20BD"/>
    <w:rsid w:val="28677108"/>
    <w:rsid w:val="2AEE2FCE"/>
    <w:rsid w:val="2C0D5456"/>
    <w:rsid w:val="2C4C628B"/>
    <w:rsid w:val="2D630FAE"/>
    <w:rsid w:val="2DB575CA"/>
    <w:rsid w:val="2E9A689E"/>
    <w:rsid w:val="2F036DE8"/>
    <w:rsid w:val="2F8649A3"/>
    <w:rsid w:val="30936BC2"/>
    <w:rsid w:val="319B592F"/>
    <w:rsid w:val="33A11AE7"/>
    <w:rsid w:val="33F27DDD"/>
    <w:rsid w:val="34574C85"/>
    <w:rsid w:val="35577297"/>
    <w:rsid w:val="36515C79"/>
    <w:rsid w:val="373C54BB"/>
    <w:rsid w:val="37643739"/>
    <w:rsid w:val="37E33064"/>
    <w:rsid w:val="3B016E25"/>
    <w:rsid w:val="3B4F326E"/>
    <w:rsid w:val="3C0F5DF2"/>
    <w:rsid w:val="3EF75647"/>
    <w:rsid w:val="3FC46A7B"/>
    <w:rsid w:val="40C512FC"/>
    <w:rsid w:val="428F0505"/>
    <w:rsid w:val="42C6746E"/>
    <w:rsid w:val="42EE5CD4"/>
    <w:rsid w:val="45D97826"/>
    <w:rsid w:val="45F20916"/>
    <w:rsid w:val="46927C50"/>
    <w:rsid w:val="48736764"/>
    <w:rsid w:val="48D82303"/>
    <w:rsid w:val="4D3F13B6"/>
    <w:rsid w:val="4DFF75F2"/>
    <w:rsid w:val="52420D12"/>
    <w:rsid w:val="56061A78"/>
    <w:rsid w:val="5643156F"/>
    <w:rsid w:val="57AF48B9"/>
    <w:rsid w:val="592823C4"/>
    <w:rsid w:val="592C035C"/>
    <w:rsid w:val="5981212C"/>
    <w:rsid w:val="5B187842"/>
    <w:rsid w:val="5D615387"/>
    <w:rsid w:val="61C27952"/>
    <w:rsid w:val="6212562E"/>
    <w:rsid w:val="62DB3950"/>
    <w:rsid w:val="62F53AC8"/>
    <w:rsid w:val="637B25C6"/>
    <w:rsid w:val="63D72C4E"/>
    <w:rsid w:val="66FE4F15"/>
    <w:rsid w:val="69A41DA4"/>
    <w:rsid w:val="69BA736E"/>
    <w:rsid w:val="6A5A6906"/>
    <w:rsid w:val="6BCF0AA5"/>
    <w:rsid w:val="6BEF5D56"/>
    <w:rsid w:val="6C17004B"/>
    <w:rsid w:val="6E062826"/>
    <w:rsid w:val="6F0B1CE7"/>
    <w:rsid w:val="6F664872"/>
    <w:rsid w:val="6F942155"/>
    <w:rsid w:val="704439AD"/>
    <w:rsid w:val="74366DF1"/>
    <w:rsid w:val="74F35D39"/>
    <w:rsid w:val="75083064"/>
    <w:rsid w:val="75110011"/>
    <w:rsid w:val="7CCD3754"/>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5">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style>
  <w:style w:type="paragraph" w:styleId="3">
    <w:name w:val="Body Text Indent"/>
    <w:basedOn w:val="1"/>
    <w:unhideWhenUsed/>
    <w:qFormat/>
    <w:uiPriority w:val="99"/>
    <w:pPr>
      <w:spacing w:after="120"/>
      <w:ind w:left="420" w:leftChars="200"/>
    </w:pPr>
  </w:style>
  <w:style w:type="paragraph" w:styleId="6">
    <w:name w:val="Body Text"/>
    <w:basedOn w:val="7"/>
    <w:next w:val="7"/>
    <w:qFormat/>
    <w:uiPriority w:val="99"/>
    <w:pPr>
      <w:ind w:firstLine="880" w:firstLineChars="200"/>
    </w:pPr>
    <w:rPr>
      <w:rFonts w:ascii="仿宋_GB2312" w:hAnsi="仿宋_GB2312" w:eastAsia="仿宋_GB2312" w:cs="Arial"/>
      <w:sz w:val="32"/>
      <w:szCs w:val="20"/>
    </w:rPr>
  </w:style>
  <w:style w:type="paragraph" w:styleId="7">
    <w:name w:val="Title"/>
    <w:basedOn w:val="1"/>
    <w:next w:val="1"/>
    <w:qFormat/>
    <w:uiPriority w:val="99"/>
    <w:pPr>
      <w:spacing w:before="240" w:after="60"/>
      <w:jc w:val="center"/>
      <w:outlineLvl w:val="0"/>
    </w:pPr>
    <w:rPr>
      <w:rFonts w:ascii="Arial" w:hAnsi="Arial"/>
      <w:b/>
      <w:bCs/>
      <w:sz w:val="32"/>
      <w:szCs w:val="32"/>
    </w:rPr>
  </w:style>
  <w:style w:type="paragraph" w:styleId="8">
    <w:name w:val="Plain Text"/>
    <w:basedOn w:val="1"/>
    <w:qFormat/>
    <w:uiPriority w:val="0"/>
    <w:rPr>
      <w:rFonts w:ascii="宋体" w:hAnsi="Courier New"/>
      <w:szCs w:val="21"/>
    </w:rPr>
  </w:style>
  <w:style w:type="paragraph" w:styleId="9">
    <w:name w:val="footer"/>
    <w:basedOn w:val="1"/>
    <w:qFormat/>
    <w:uiPriority w:val="99"/>
    <w:pPr>
      <w:tabs>
        <w:tab w:val="center" w:pos="4153"/>
        <w:tab w:val="right" w:pos="8306"/>
      </w:tabs>
      <w:snapToGrid w:val="0"/>
    </w:pPr>
    <w:rPr>
      <w:sz w:val="18"/>
      <w:szCs w:val="18"/>
    </w:rPr>
  </w:style>
  <w:style w:type="paragraph" w:styleId="10">
    <w:name w:val="toc 2"/>
    <w:basedOn w:val="1"/>
    <w:next w:val="1"/>
    <w:unhideWhenUsed/>
    <w:qFormat/>
    <w:uiPriority w:val="39"/>
    <w:pPr>
      <w:widowControl/>
      <w:spacing w:after="100" w:line="259" w:lineRule="auto"/>
      <w:ind w:left="220"/>
    </w:pPr>
    <w:rPr>
      <w:kern w:val="0"/>
      <w:sz w:val="22"/>
    </w:rPr>
  </w:style>
  <w:style w:type="paragraph" w:styleId="11">
    <w:name w:val="Normal (Web)"/>
    <w:basedOn w:val="1"/>
    <w:qFormat/>
    <w:uiPriority w:val="0"/>
    <w:pPr>
      <w:spacing w:beforeAutospacing="1" w:afterAutospacing="1"/>
    </w:pPr>
    <w:rPr>
      <w:kern w:val="0"/>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 w:type="paragraph" w:customStyle="1" w:styleId="54">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3490</Words>
  <Characters>3674</Characters>
  <Lines>122</Lines>
  <Paragraphs>127</Paragraphs>
  <TotalTime>2</TotalTime>
  <ScaleCrop>false</ScaleCrop>
  <LinksUpToDate>false</LinksUpToDate>
  <CharactersWithSpaces>3733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X加二大于四的解集</cp:lastModifiedBy>
  <dcterms:modified xsi:type="dcterms:W3CDTF">2026-07-23T00:17:31Z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1720078501CA4D91A6B484432DB5F615_13</vt:lpwstr>
  </property>
  <property fmtid="{D5CDD505-2E9C-101B-9397-08002B2CF9AE}" pid="4" name="KSOTemplateDocerSaveRecord">
    <vt:lpwstr>eyJoZGlkIjoiMjllZDJlNWQ4NTRiMjljNzhkY2Y1ZjViNzM1NmQwNDgiLCJ1c2VySWQiOiI1NTgxOTM5NzgifQ==</vt:lpwstr>
  </property>
</Properties>
</file>