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F2B95">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2A27A15C">
      <w:pPr>
        <w:adjustRightInd w:val="0"/>
        <w:snapToGrid w:val="0"/>
        <w:rPr>
          <w:sz w:val="28"/>
          <w:szCs w:val="36"/>
        </w:rPr>
      </w:pPr>
    </w:p>
    <w:p w14:paraId="4D662308">
      <w:pPr>
        <w:adjustRightInd w:val="0"/>
        <w:snapToGrid w:val="0"/>
        <w:rPr>
          <w:sz w:val="28"/>
          <w:szCs w:val="36"/>
        </w:rPr>
      </w:pPr>
    </w:p>
    <w:p w14:paraId="625AD73A">
      <w:pPr>
        <w:adjustRightInd w:val="0"/>
        <w:snapToGrid w:val="0"/>
        <w:rPr>
          <w:sz w:val="28"/>
          <w:szCs w:val="36"/>
        </w:rPr>
      </w:pPr>
    </w:p>
    <w:p w14:paraId="51FFA66F">
      <w:pPr>
        <w:adjustRightInd w:val="0"/>
        <w:snapToGrid w:val="0"/>
        <w:rPr>
          <w:sz w:val="28"/>
          <w:szCs w:val="36"/>
        </w:rPr>
      </w:pPr>
    </w:p>
    <w:p w14:paraId="57A0CC69">
      <w:pPr>
        <w:adjustRightInd w:val="0"/>
        <w:snapToGrid w:val="0"/>
        <w:rPr>
          <w:sz w:val="28"/>
          <w:szCs w:val="36"/>
        </w:rPr>
      </w:pPr>
    </w:p>
    <w:p w14:paraId="4ECEBB0D">
      <w:pPr>
        <w:adjustRightInd w:val="0"/>
        <w:snapToGrid w:val="0"/>
        <w:rPr>
          <w:sz w:val="28"/>
          <w:szCs w:val="36"/>
        </w:rPr>
      </w:pPr>
    </w:p>
    <w:p w14:paraId="6BEAB291">
      <w:pPr>
        <w:adjustRightInd w:val="0"/>
        <w:snapToGrid w:val="0"/>
        <w:rPr>
          <w:sz w:val="28"/>
          <w:szCs w:val="36"/>
        </w:rPr>
      </w:pPr>
    </w:p>
    <w:p w14:paraId="752F2653">
      <w:pPr>
        <w:adjustRightInd w:val="0"/>
        <w:snapToGrid w:val="0"/>
        <w:jc w:val="center"/>
        <w:rPr>
          <w:rFonts w:hint="eastAsia" w:eastAsia="黑体"/>
          <w:b/>
          <w:sz w:val="52"/>
        </w:rPr>
      </w:pPr>
      <w:r>
        <w:rPr>
          <w:rFonts w:hint="eastAsia" w:eastAsia="黑体"/>
          <w:b/>
          <w:sz w:val="52"/>
        </w:rPr>
        <w:t>直流高阻接地查找仪加工设计</w:t>
      </w:r>
    </w:p>
    <w:p w14:paraId="25D16481">
      <w:pPr>
        <w:adjustRightInd w:val="0"/>
        <w:snapToGrid w:val="0"/>
        <w:jc w:val="center"/>
        <w:rPr>
          <w:rFonts w:eastAsia="黑体"/>
          <w:b/>
          <w:sz w:val="52"/>
        </w:rPr>
      </w:pPr>
      <w:r>
        <w:rPr>
          <w:rFonts w:eastAsia="黑体"/>
          <w:b/>
          <w:sz w:val="52"/>
        </w:rPr>
        <w:t>技术规范书</w:t>
      </w:r>
    </w:p>
    <w:p w14:paraId="6D097E34">
      <w:pPr>
        <w:adjustRightInd w:val="0"/>
        <w:snapToGrid w:val="0"/>
        <w:rPr>
          <w:sz w:val="28"/>
          <w:szCs w:val="36"/>
        </w:rPr>
      </w:pPr>
    </w:p>
    <w:p w14:paraId="24228B6F">
      <w:pPr>
        <w:pStyle w:val="2"/>
      </w:pPr>
    </w:p>
    <w:p w14:paraId="622D7099">
      <w:pPr>
        <w:adjustRightInd w:val="0"/>
        <w:snapToGrid w:val="0"/>
        <w:rPr>
          <w:sz w:val="28"/>
          <w:szCs w:val="36"/>
        </w:rPr>
      </w:pPr>
    </w:p>
    <w:p w14:paraId="5031AAA0">
      <w:pPr>
        <w:pStyle w:val="2"/>
        <w:rPr>
          <w:sz w:val="28"/>
          <w:szCs w:val="36"/>
        </w:rPr>
      </w:pPr>
    </w:p>
    <w:p w14:paraId="44932D83">
      <w:pPr>
        <w:pStyle w:val="2"/>
        <w:rPr>
          <w:sz w:val="28"/>
          <w:szCs w:val="36"/>
        </w:rPr>
      </w:pPr>
    </w:p>
    <w:p w14:paraId="125B6D53">
      <w:pPr>
        <w:pStyle w:val="2"/>
        <w:rPr>
          <w:sz w:val="28"/>
          <w:szCs w:val="36"/>
        </w:rPr>
      </w:pPr>
    </w:p>
    <w:p w14:paraId="78B573E3">
      <w:pPr>
        <w:adjustRightInd w:val="0"/>
        <w:snapToGrid w:val="0"/>
        <w:rPr>
          <w:sz w:val="28"/>
          <w:szCs w:val="36"/>
        </w:rPr>
      </w:pPr>
    </w:p>
    <w:p w14:paraId="642BB1E4">
      <w:pPr>
        <w:adjustRightInd w:val="0"/>
        <w:snapToGrid w:val="0"/>
        <w:rPr>
          <w:sz w:val="28"/>
          <w:szCs w:val="36"/>
        </w:rPr>
      </w:pPr>
    </w:p>
    <w:p w14:paraId="7B545D5A">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14:paraId="6E8E4A9E">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7月</w:t>
      </w:r>
    </w:p>
    <w:p w14:paraId="63D1723A">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5180B63">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14:paraId="3679B98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w:t>
      </w:r>
      <w:r>
        <w:rPr>
          <w:sz w:val="24"/>
        </w:rPr>
        <w:t>中国南方电网超高压输电公司</w:t>
      </w:r>
      <w:r>
        <w:rPr>
          <w:rFonts w:hint="eastAsia"/>
          <w:sz w:val="24"/>
          <w:lang w:val="en-US" w:eastAsia="zh-CN"/>
        </w:rPr>
        <w:t>南宁</w:t>
      </w:r>
      <w:r>
        <w:rPr>
          <w:sz w:val="24"/>
        </w:rPr>
        <w:t>局</w:t>
      </w:r>
      <w:r>
        <w:rPr>
          <w:rFonts w:hint="eastAsia" w:asciiTheme="minorEastAsia" w:hAnsiTheme="minorEastAsia" w:eastAsiaTheme="minorEastAsia" w:cstheme="minorEastAsia"/>
          <w:sz w:val="24"/>
        </w:rPr>
        <w:t>《直流高阻接地查找仪加工设计》</w:t>
      </w:r>
      <w:r>
        <w:rPr>
          <w:rFonts w:hint="eastAsia" w:asciiTheme="minorEastAsia" w:hAnsiTheme="minorEastAsia" w:eastAsiaTheme="minorEastAsia" w:cstheme="minorEastAsia"/>
          <w:sz w:val="24"/>
          <w:lang w:val="en-US" w:eastAsia="zh-CN"/>
        </w:rPr>
        <w:t>职工</w:t>
      </w:r>
      <w:r>
        <w:rPr>
          <w:rFonts w:hint="eastAsia" w:asciiTheme="minorEastAsia" w:hAnsiTheme="minorEastAsia" w:eastAsiaTheme="minorEastAsia" w:cstheme="minorEastAsia"/>
          <w:sz w:val="24"/>
        </w:rPr>
        <w:t>创新项目，</w:t>
      </w:r>
      <w:r>
        <w:rPr>
          <w:rFonts w:hint="eastAsia" w:asciiTheme="minorEastAsia" w:hAnsiTheme="minorEastAsia" w:eastAsiaTheme="minorEastAsia" w:cstheme="minorEastAsia"/>
          <w:sz w:val="24"/>
          <w:lang w:val="en-US" w:eastAsia="zh-CN"/>
        </w:rPr>
        <w:t>依据并行项目《</w:t>
      </w:r>
      <w:r>
        <w:rPr>
          <w:rFonts w:hint="eastAsia" w:asciiTheme="minorEastAsia" w:hAnsiTheme="minorEastAsia" w:eastAsiaTheme="minorEastAsia" w:cstheme="minorEastAsia"/>
          <w:sz w:val="24"/>
        </w:rPr>
        <w:t>直流系统高阻绝缘下降检测技术研究与应用</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的研究成果高阻接地查找仪设计方案加工生产高阻接地查找仪样机</w:t>
      </w:r>
      <w:r>
        <w:rPr>
          <w:rFonts w:hint="eastAsia" w:asciiTheme="minorEastAsia" w:hAnsiTheme="minorEastAsia" w:eastAsiaTheme="minorEastAsia" w:cstheme="minorEastAsia"/>
          <w:sz w:val="24"/>
        </w:rPr>
        <w:t>。投标方应针对自身特点，根据本技术规范书所描述的具体要求，提供完整的解决方案。</w:t>
      </w:r>
    </w:p>
    <w:p w14:paraId="5B3D58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14:paraId="33FE692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6D3CDF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14:paraId="38562D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14:paraId="5D1E9818">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14:paraId="79BDC60E">
      <w:pPr>
        <w:snapToGrid w:val="0"/>
        <w:spacing w:before="120"/>
        <w:rPr>
          <w:rFonts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531004264"/>
      <w:bookmarkStart w:id="4" w:name="_Toc441483964"/>
      <w:bookmarkStart w:id="5" w:name="_Toc531004210"/>
      <w:r>
        <w:rPr>
          <w:rFonts w:hint="eastAsia" w:ascii="黑体" w:hAnsi="黑体" w:eastAsia="黑体" w:cs="黑体"/>
          <w:b/>
          <w:bCs/>
          <w:sz w:val="28"/>
          <w:szCs w:val="36"/>
        </w:rPr>
        <w:t>项目有关内容</w:t>
      </w:r>
      <w:bookmarkEnd w:id="3"/>
      <w:bookmarkEnd w:id="4"/>
      <w:bookmarkEnd w:id="5"/>
    </w:p>
    <w:p w14:paraId="5D9AFC14">
      <w:pPr>
        <w:rPr>
          <w:rFonts w:hint="eastAsia" w:asciiTheme="minorEastAsia" w:hAnsiTheme="minorEastAsia" w:eastAsiaTheme="minorEastAsia" w:cstheme="minorEastAsia"/>
          <w:sz w:val="24"/>
        </w:rPr>
      </w:pPr>
      <w:bookmarkStart w:id="6" w:name="_Toc309593259"/>
      <w:bookmarkStart w:id="7" w:name="_Toc309805583"/>
      <w:bookmarkStart w:id="8" w:name="_Toc312827019"/>
      <w:bookmarkStart w:id="9" w:name="_Toc309593188"/>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6"/>
      <w:bookmarkEnd w:id="7"/>
      <w:bookmarkEnd w:id="8"/>
      <w:bookmarkEnd w:id="9"/>
    </w:p>
    <w:p w14:paraId="7027E817">
      <w:pPr>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直流高阻接地查找仪加工设计</w:t>
      </w:r>
    </w:p>
    <w:p w14:paraId="0063F22A">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1"/>
    <w:bookmarkEnd w:id="2"/>
    <w:p w14:paraId="13165604">
      <w:pPr>
        <w:ind w:firstLine="480" w:firstLineChars="200"/>
        <w:rPr>
          <w:rFonts w:hint="eastAsia" w:asciiTheme="minorEastAsia" w:hAnsiTheme="minorEastAsia" w:eastAsiaTheme="minorEastAsia" w:cstheme="minorEastAsia"/>
          <w:sz w:val="24"/>
          <w:lang w:eastAsia="zh-CN"/>
        </w:rPr>
      </w:pPr>
      <w:bookmarkStart w:id="10" w:name="_Toc384340980"/>
      <w:bookmarkStart w:id="11" w:name="_Toc22304900"/>
      <w:bookmarkStart w:id="12" w:name="_Toc20556"/>
      <w:bookmarkStart w:id="13" w:name="_Toc39753999"/>
      <w:bookmarkStart w:id="14" w:name="_Toc39753342"/>
      <w:r>
        <w:rPr>
          <w:rFonts w:hint="eastAsia" w:asciiTheme="minorEastAsia" w:hAnsiTheme="minorEastAsia" w:eastAsiaTheme="minorEastAsia" w:cstheme="minorEastAsia"/>
          <w:sz w:val="24"/>
          <w:lang w:val="en-US" w:eastAsia="zh-CN"/>
        </w:rPr>
        <w:t>当下市面上的直流接地查找仪在保障系统安全情况下多只能查找200kΩ以内接地，对高阻接地束手无策。高阻接地故障得不到及时处理，当再发生接地故障时可能构成两点接地故障，对电力安全生产带来巨大威胁。</w:t>
      </w:r>
    </w:p>
    <w:p w14:paraId="44074F20">
      <w:pPr>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本次方案试制一种高阻直流接地查找仪，采用多挡位信号技术与多挡位信号检测技术，并能够自适应选择合理挡位进行故障排查；通过追踪检测信号的方法查找接地等故障位置。项目研究的自适应调挡高阻直流接地查找仪最高可查找500kΩ电阻接地。</w:t>
      </w:r>
    </w:p>
    <w:p w14:paraId="6773497A">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0"/>
      <w:bookmarkEnd w:id="11"/>
      <w:bookmarkEnd w:id="12"/>
      <w:bookmarkEnd w:id="13"/>
      <w:bookmarkEnd w:id="14"/>
      <w:r>
        <w:rPr>
          <w:rFonts w:hint="eastAsia" w:ascii="黑体" w:hAnsi="黑体" w:eastAsia="黑体" w:cs="黑体"/>
          <w:b/>
          <w:bCs/>
          <w:sz w:val="28"/>
          <w:szCs w:val="36"/>
        </w:rPr>
        <w:t>总体要求</w:t>
      </w:r>
    </w:p>
    <w:p w14:paraId="4CD6B8C4">
      <w:pPr>
        <w:adjustRightInd w:val="0"/>
        <w:snapToGrid w:val="0"/>
        <w:rPr>
          <w:rFonts w:asciiTheme="minorEastAsia" w:hAnsiTheme="minorEastAsia" w:eastAsiaTheme="minorEastAsia" w:cstheme="minorEastAsia"/>
          <w:sz w:val="24"/>
        </w:rPr>
      </w:pPr>
      <w:bookmarkStart w:id="15" w:name="_Toc457979127"/>
      <w:bookmarkStart w:id="16" w:name="_Toc455373921"/>
      <w:bookmarkStart w:id="17" w:name="_Toc457986926"/>
      <w:bookmarkStart w:id="18" w:name="_Toc114253693"/>
      <w:bookmarkStart w:id="19" w:name="_Toc448828694"/>
      <w:bookmarkStart w:id="20" w:name="_Toc459534976"/>
      <w:bookmarkStart w:id="21" w:name="_Toc155114612"/>
      <w:bookmarkStart w:id="22" w:name="_Toc241912000"/>
      <w:bookmarkStart w:id="23" w:name="_Toc455543289"/>
      <w:bookmarkStart w:id="24" w:name="_Toc146182538"/>
      <w:bookmarkStart w:id="25" w:name="_Toc482581219"/>
      <w:r>
        <w:rPr>
          <w:rFonts w:hint="eastAsia" w:asciiTheme="minorEastAsia" w:hAnsiTheme="minorEastAsia" w:eastAsiaTheme="minorEastAsia" w:cstheme="minorEastAsia"/>
          <w:sz w:val="24"/>
        </w:rPr>
        <w:t>3.1 除本规范书特殊规定外，投标方所提供的服务均按规定的标准和规程的最新版本执行。如果这些标准内容有矛盾时，应按最高标准的条款执行或按双方商定的标准执行。如果投标方选用本规范书规定以外的标准时，则需提交替换标准供审查和分析。仅在投标方已证明替换标准相当或优于规范书规定的标准，并从招标方处获得书面的认可才能使用。提交供审查的标准应为中文或英文版本。</w:t>
      </w:r>
    </w:p>
    <w:p w14:paraId="647B232C">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640DB792">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 1203003-2013 《变电站直流电源系统技术规范》</w:t>
      </w:r>
    </w:p>
    <w:p w14:paraId="2F24EE47">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 1206007 《电力设备检修试验规程》</w:t>
      </w:r>
    </w:p>
    <w:p w14:paraId="5680D723">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Q/CSG 10011 《220kV～500kV 变电站电气技术导则》</w:t>
      </w:r>
    </w:p>
    <w:p w14:paraId="339B7A0B">
      <w:pPr>
        <w:pStyle w:val="10"/>
        <w:ind w:left="0"/>
        <w:rPr>
          <w:rFonts w:asciiTheme="minorEastAsia" w:hAnsiTheme="minorEastAsia" w:eastAsiaTheme="minorEastAsia" w:cstheme="minorEastAsia"/>
          <w:kern w:val="2"/>
          <w:sz w:val="24"/>
        </w:rPr>
      </w:pPr>
      <w:r>
        <w:rPr>
          <w:rFonts w:hint="eastAsia" w:asciiTheme="minorEastAsia" w:hAnsiTheme="minorEastAsia" w:eastAsiaTheme="minorEastAsia" w:cstheme="minorEastAsia"/>
          <w:kern w:val="2"/>
          <w:sz w:val="24"/>
        </w:rPr>
        <w:t>南网数字化电源专用规范（数字变电站 / 一体化电源）</w:t>
      </w:r>
    </w:p>
    <w:p w14:paraId="17D34E5C">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1392-2014 《直流电源系统绝缘监测装置技术条件》</w:t>
      </w:r>
    </w:p>
    <w:p w14:paraId="1927A1E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DL/T 5044-2014 《电力工程直流系统设计技术规程》</w:t>
      </w:r>
    </w:p>
    <w:p w14:paraId="3B5A89EA">
      <w:pPr>
        <w:rPr>
          <w:rFonts w:hint="eastAsia" w:asciiTheme="minorEastAsia" w:hAnsiTheme="minorEastAsia" w:eastAsiaTheme="minorEastAsia" w:cstheme="minorEastAsia"/>
          <w:sz w:val="24"/>
        </w:rPr>
      </w:pPr>
      <w:r>
        <w:rPr>
          <w:rFonts w:ascii="宋体" w:hAnsi="宋体" w:eastAsia="宋体" w:cs="宋体"/>
          <w:sz w:val="24"/>
          <w:szCs w:val="24"/>
        </w:rPr>
        <w:t>GB/T 45119-2024 《电力厂站低压用电系统绝缘监测技术要求》</w:t>
      </w:r>
    </w:p>
    <w:p w14:paraId="146C4DF6">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GB 50150 《电气装置安装工程电气设备交接试验标准》</w:t>
      </w:r>
    </w:p>
    <w:p w14:paraId="09D92778">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14:paraId="6ACBD1E7">
      <w:pPr>
        <w:snapToGrid w:val="0"/>
        <w:spacing w:before="120"/>
        <w:rPr>
          <w:rFonts w:ascii="黑体" w:hAnsi="黑体" w:eastAsia="黑体" w:cs="黑体"/>
          <w:b/>
          <w:bCs/>
          <w:sz w:val="28"/>
          <w:szCs w:val="36"/>
        </w:rPr>
      </w:pPr>
      <w:bookmarkStart w:id="26" w:name="_Toc384340984"/>
      <w:bookmarkStart w:id="27" w:name="_Toc39753345"/>
      <w:bookmarkStart w:id="28" w:name="_Toc282993253"/>
      <w:bookmarkStart w:id="29" w:name="_Toc32408"/>
      <w:bookmarkStart w:id="30" w:name="_Toc39754002"/>
      <w:bookmarkStart w:id="31" w:name="_Toc22304904"/>
      <w:r>
        <w:rPr>
          <w:rFonts w:hint="eastAsia" w:ascii="黑体" w:hAnsi="黑体" w:eastAsia="黑体" w:cs="黑体"/>
          <w:b/>
          <w:bCs/>
          <w:sz w:val="28"/>
          <w:szCs w:val="36"/>
        </w:rPr>
        <w:t>4 技术要求</w:t>
      </w:r>
      <w:bookmarkEnd w:id="26"/>
      <w:bookmarkEnd w:id="27"/>
      <w:bookmarkEnd w:id="28"/>
      <w:bookmarkEnd w:id="29"/>
      <w:bookmarkEnd w:id="30"/>
      <w:bookmarkEnd w:id="31"/>
    </w:p>
    <w:p w14:paraId="4CC7155C">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14:paraId="0C8B42D7">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14:paraId="558FF278">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4527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0E55C08F">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14:paraId="0AC8F50F">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14:paraId="5A6E0263">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14:paraId="495E63CF">
            <w:pPr>
              <w:spacing w:line="240" w:lineRule="auto"/>
              <w:jc w:val="center"/>
              <w:rPr>
                <w:rFonts w:ascii="宋体" w:hAnsi="宋体" w:cs="宋体"/>
                <w:b/>
                <w:bCs/>
                <w:szCs w:val="21"/>
              </w:rPr>
            </w:pPr>
            <w:r>
              <w:rPr>
                <w:rFonts w:hint="eastAsia" w:ascii="宋体" w:hAnsi="宋体" w:cs="宋体"/>
                <w:b/>
                <w:bCs/>
                <w:szCs w:val="21"/>
              </w:rPr>
              <w:t>时间要求</w:t>
            </w:r>
          </w:p>
        </w:tc>
      </w:tr>
      <w:tr w14:paraId="358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25C39E5D">
            <w:pPr>
              <w:spacing w:line="240" w:lineRule="auto"/>
              <w:jc w:val="center"/>
              <w:rPr>
                <w:rFonts w:ascii="宋体" w:hAnsi="宋体" w:cs="宋体"/>
                <w:szCs w:val="21"/>
              </w:rPr>
            </w:pPr>
            <w:r>
              <w:rPr>
                <w:rFonts w:hint="eastAsia" w:ascii="宋体" w:hAnsi="宋体" w:cs="宋体"/>
                <w:szCs w:val="21"/>
              </w:rPr>
              <w:t>1</w:t>
            </w:r>
          </w:p>
        </w:tc>
        <w:tc>
          <w:tcPr>
            <w:tcW w:w="2985" w:type="dxa"/>
            <w:shd w:val="clear" w:color="auto" w:fill="auto"/>
            <w:vAlign w:val="center"/>
          </w:tcPr>
          <w:p w14:paraId="5C9F2C67">
            <w:pPr>
              <w:spacing w:line="240" w:lineRule="auto"/>
              <w:jc w:val="center"/>
              <w:rPr>
                <w:rFonts w:ascii="宋体" w:hAnsi="宋体" w:cs="宋体"/>
                <w:szCs w:val="21"/>
              </w:rPr>
            </w:pPr>
            <w:r>
              <w:rPr>
                <w:rFonts w:hint="eastAsia" w:ascii="宋体" w:hAnsi="宋体" w:cs="宋体"/>
                <w:szCs w:val="21"/>
              </w:rPr>
              <w:t>开发一套</w:t>
            </w:r>
            <w:r>
              <w:rPr>
                <w:rFonts w:hint="eastAsia" w:asciiTheme="minorEastAsia" w:hAnsiTheme="minorEastAsia" w:eastAsiaTheme="minorEastAsia" w:cstheme="minorEastAsia"/>
                <w:sz w:val="24"/>
              </w:rPr>
              <w:t>直流高阻接地查找仪</w:t>
            </w:r>
            <w:r>
              <w:rPr>
                <w:rFonts w:hint="eastAsia" w:ascii="宋体" w:hAnsi="宋体" w:cs="宋体"/>
                <w:szCs w:val="21"/>
              </w:rPr>
              <w:t>。</w:t>
            </w:r>
          </w:p>
        </w:tc>
        <w:tc>
          <w:tcPr>
            <w:tcW w:w="2363" w:type="dxa"/>
            <w:shd w:val="clear" w:color="auto" w:fill="auto"/>
            <w:vAlign w:val="center"/>
          </w:tcPr>
          <w:p w14:paraId="6177445B">
            <w:pPr>
              <w:spacing w:line="240" w:lineRule="auto"/>
              <w:jc w:val="center"/>
              <w:rPr>
                <w:rFonts w:hint="default" w:ascii="宋体" w:hAnsi="宋体" w:eastAsia="宋体" w:cs="宋体"/>
                <w:szCs w:val="21"/>
                <w:lang w:val="en-US" w:eastAsia="zh-CN"/>
              </w:rPr>
            </w:pPr>
            <w:r>
              <w:rPr>
                <w:rFonts w:hint="eastAsia" w:ascii="宋体" w:hAnsi="宋体" w:cs="宋体"/>
                <w:szCs w:val="21"/>
                <w:lang w:val="en-US" w:eastAsia="zh-CN"/>
              </w:rPr>
              <w:t>直流高阻接地查找仪</w:t>
            </w:r>
          </w:p>
        </w:tc>
        <w:tc>
          <w:tcPr>
            <w:tcW w:w="2357" w:type="dxa"/>
            <w:vAlign w:val="center"/>
          </w:tcPr>
          <w:p w14:paraId="37864833">
            <w:pPr>
              <w:spacing w:line="240" w:lineRule="auto"/>
              <w:jc w:val="center"/>
              <w:rPr>
                <w:rFonts w:ascii="宋体" w:hAnsi="宋体" w:cs="宋体"/>
              </w:rPr>
            </w:pPr>
            <w:r>
              <w:rPr>
                <w:rFonts w:hint="eastAsia" w:asciiTheme="minorEastAsia" w:hAnsiTheme="minorEastAsia" w:cstheme="minorEastAsia"/>
                <w:szCs w:val="21"/>
              </w:rPr>
              <w:t>2026年1</w:t>
            </w:r>
            <w:r>
              <w:rPr>
                <w:rFonts w:asciiTheme="minorEastAsia" w:hAnsiTheme="minorEastAsia" w:cstheme="minorEastAsia"/>
                <w:szCs w:val="21"/>
              </w:rPr>
              <w:t>2</w:t>
            </w:r>
            <w:r>
              <w:rPr>
                <w:rFonts w:hint="eastAsia" w:asciiTheme="minorEastAsia" w:hAnsiTheme="minorEastAsia" w:cstheme="minorEastAsia"/>
                <w:szCs w:val="21"/>
              </w:rPr>
              <w:t>月</w:t>
            </w:r>
          </w:p>
        </w:tc>
      </w:tr>
      <w:tr w14:paraId="43A2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716F6374">
            <w:pPr>
              <w:spacing w:line="240" w:lineRule="auto"/>
              <w:jc w:val="center"/>
              <w:rPr>
                <w:rFonts w:ascii="宋体" w:hAnsi="宋体" w:cs="宋体"/>
                <w:szCs w:val="21"/>
                <w:highlight w:val="none"/>
              </w:rPr>
            </w:pPr>
            <w:r>
              <w:rPr>
                <w:rFonts w:hint="eastAsia" w:ascii="宋体" w:hAnsi="宋体" w:cs="宋体"/>
                <w:szCs w:val="21"/>
                <w:highlight w:val="none"/>
              </w:rPr>
              <w:t>2</w:t>
            </w:r>
          </w:p>
        </w:tc>
        <w:tc>
          <w:tcPr>
            <w:tcW w:w="2985" w:type="dxa"/>
            <w:shd w:val="clear" w:color="auto" w:fill="auto"/>
            <w:vAlign w:val="center"/>
          </w:tcPr>
          <w:p w14:paraId="59474F27">
            <w:pPr>
              <w:spacing w:line="240" w:lineRule="auto"/>
              <w:jc w:val="left"/>
              <w:rPr>
                <w:rFonts w:ascii="宋体" w:hAnsi="宋体" w:cs="宋体"/>
                <w:szCs w:val="21"/>
                <w:highlight w:val="none"/>
              </w:rPr>
            </w:pPr>
            <w:r>
              <w:rPr>
                <w:rFonts w:hint="eastAsia" w:ascii="宋体" w:hAnsi="宋体" w:cs="宋体"/>
                <w:szCs w:val="21"/>
                <w:highlight w:val="none"/>
                <w:lang w:val="en-US" w:eastAsia="zh-CN"/>
              </w:rPr>
              <w:t>配合申请发明专利</w:t>
            </w:r>
            <w:r>
              <w:rPr>
                <w:rFonts w:hint="eastAsia" w:ascii="宋体" w:hAnsi="宋体" w:cs="宋体"/>
                <w:szCs w:val="21"/>
                <w:highlight w:val="none"/>
              </w:rPr>
              <w:t>1项。</w:t>
            </w:r>
          </w:p>
        </w:tc>
        <w:tc>
          <w:tcPr>
            <w:tcW w:w="2363" w:type="dxa"/>
            <w:shd w:val="clear" w:color="auto" w:fill="auto"/>
            <w:vAlign w:val="center"/>
          </w:tcPr>
          <w:p w14:paraId="1FB4684E">
            <w:pPr>
              <w:spacing w:line="240" w:lineRule="auto"/>
              <w:jc w:val="center"/>
              <w:rPr>
                <w:rFonts w:ascii="宋体" w:hAnsi="宋体" w:cs="宋体"/>
                <w:szCs w:val="21"/>
                <w:highlight w:val="none"/>
              </w:rPr>
            </w:pPr>
            <w:r>
              <w:rPr>
                <w:rFonts w:hint="eastAsia" w:ascii="宋体" w:hAnsi="宋体" w:cs="宋体"/>
                <w:szCs w:val="21"/>
                <w:highlight w:val="none"/>
                <w:lang w:val="en-US" w:eastAsia="zh-CN"/>
              </w:rPr>
              <w:t>发明专利</w:t>
            </w:r>
            <w:r>
              <w:rPr>
                <w:rFonts w:hint="eastAsia" w:ascii="宋体" w:hAnsi="宋体" w:cs="宋体"/>
                <w:szCs w:val="21"/>
                <w:highlight w:val="none"/>
              </w:rPr>
              <w:t>1项（受理阶段）</w:t>
            </w:r>
          </w:p>
        </w:tc>
        <w:tc>
          <w:tcPr>
            <w:tcW w:w="2357" w:type="dxa"/>
            <w:vAlign w:val="center"/>
          </w:tcPr>
          <w:p w14:paraId="671249B5">
            <w:pPr>
              <w:spacing w:line="240" w:lineRule="auto"/>
              <w:jc w:val="center"/>
              <w:rPr>
                <w:rFonts w:asciiTheme="minorEastAsia" w:hAnsiTheme="minorEastAsia" w:eastAsiaTheme="minorEastAsia" w:cstheme="minorEastAsia"/>
                <w:szCs w:val="21"/>
                <w:highlight w:val="none"/>
              </w:rPr>
            </w:pPr>
            <w:r>
              <w:rPr>
                <w:rFonts w:hint="eastAsia" w:asciiTheme="minorEastAsia" w:hAnsiTheme="minorEastAsia" w:cstheme="minorEastAsia"/>
                <w:szCs w:val="21"/>
                <w:highlight w:val="none"/>
              </w:rPr>
              <w:t>2026年12月</w:t>
            </w:r>
          </w:p>
        </w:tc>
      </w:tr>
      <w:tr w14:paraId="5899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center"/>
          </w:tcPr>
          <w:p w14:paraId="4D608D8F">
            <w:pPr>
              <w:spacing w:line="240" w:lineRule="auto"/>
              <w:jc w:val="center"/>
              <w:rPr>
                <w:rFonts w:ascii="宋体" w:hAnsi="宋体" w:cs="宋体"/>
                <w:szCs w:val="21"/>
              </w:rPr>
            </w:pPr>
            <w:r>
              <w:rPr>
                <w:rFonts w:hint="eastAsia" w:ascii="宋体" w:hAnsi="宋体" w:cs="宋体"/>
                <w:szCs w:val="21"/>
              </w:rPr>
              <w:t>3</w:t>
            </w:r>
          </w:p>
        </w:tc>
        <w:tc>
          <w:tcPr>
            <w:tcW w:w="2985" w:type="dxa"/>
            <w:shd w:val="clear" w:color="auto" w:fill="auto"/>
            <w:vAlign w:val="center"/>
          </w:tcPr>
          <w:p w14:paraId="0C239792">
            <w:pPr>
              <w:spacing w:line="240" w:lineRule="auto"/>
              <w:jc w:val="left"/>
              <w:rPr>
                <w:rFonts w:ascii="宋体" w:hAnsi="宋体" w:cs="宋体"/>
                <w:szCs w:val="21"/>
              </w:rPr>
            </w:pPr>
            <w:r>
              <w:rPr>
                <w:rFonts w:hint="eastAsia" w:ascii="宋体" w:hAnsi="宋体" w:cs="宋体"/>
                <w:szCs w:val="21"/>
              </w:rPr>
              <w:t>项目验收检查</w:t>
            </w:r>
          </w:p>
        </w:tc>
        <w:tc>
          <w:tcPr>
            <w:tcW w:w="2363" w:type="dxa"/>
            <w:shd w:val="clear" w:color="auto" w:fill="auto"/>
            <w:vAlign w:val="center"/>
          </w:tcPr>
          <w:p w14:paraId="4C7A6FBD">
            <w:pPr>
              <w:spacing w:line="240" w:lineRule="auto"/>
              <w:jc w:val="left"/>
              <w:rPr>
                <w:rFonts w:ascii="宋体" w:hAnsi="宋体" w:cs="宋体"/>
              </w:rPr>
            </w:pPr>
            <w:r>
              <w:rPr>
                <w:rFonts w:hint="eastAsia" w:ascii="宋体" w:hAnsi="宋体" w:cs="宋体"/>
              </w:rPr>
              <w:t>完成项目全部验收内容</w:t>
            </w:r>
          </w:p>
        </w:tc>
        <w:tc>
          <w:tcPr>
            <w:tcW w:w="2357" w:type="dxa"/>
            <w:vAlign w:val="center"/>
          </w:tcPr>
          <w:p w14:paraId="101D8C3E">
            <w:pPr>
              <w:spacing w:line="240" w:lineRule="auto"/>
              <w:jc w:val="center"/>
              <w:rPr>
                <w:rFonts w:asciiTheme="minorEastAsia" w:hAnsiTheme="minorEastAsia" w:eastAsiaTheme="minorEastAsia" w:cstheme="minorEastAsia"/>
                <w:szCs w:val="21"/>
              </w:rPr>
            </w:pPr>
            <w:r>
              <w:rPr>
                <w:rFonts w:hint="eastAsia" w:asciiTheme="minorEastAsia" w:hAnsiTheme="minorEastAsia" w:cstheme="minorEastAsia"/>
                <w:szCs w:val="21"/>
              </w:rPr>
              <w:t>2026年12月</w:t>
            </w:r>
          </w:p>
        </w:tc>
      </w:tr>
    </w:tbl>
    <w:p w14:paraId="1F6179CA">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1</w:t>
      </w:r>
      <w:r>
        <w:rPr>
          <w:rFonts w:hint="eastAsia" w:ascii="宋体" w:hAnsi="宋体" w:cs="宋体"/>
          <w:color w:val="000000"/>
          <w:sz w:val="24"/>
        </w:rPr>
        <w:t xml:space="preserve">.2 </w:t>
      </w:r>
      <w:r>
        <w:rPr>
          <w:rFonts w:hint="eastAsia" w:ascii="宋体" w:hAnsi="宋体" w:cs="宋体"/>
          <w:kern w:val="0"/>
          <w:sz w:val="24"/>
        </w:rPr>
        <w:t>直流高阻接地查找仪加工设计实施要求</w:t>
      </w:r>
    </w:p>
    <w:p w14:paraId="7989FB91">
      <w:pPr>
        <w:pStyle w:val="10"/>
        <w:spacing w:after="0" w:line="360" w:lineRule="auto"/>
        <w:ind w:left="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.2.1总体要求</w:t>
      </w:r>
    </w:p>
    <w:p w14:paraId="3D84EAED">
      <w:pPr>
        <w:pStyle w:val="10"/>
        <w:spacing w:after="0" w:line="360" w:lineRule="auto"/>
        <w:ind w:left="0"/>
        <w:rPr>
          <w:rFonts w:ascii="宋体" w:hAnsi="宋体" w:cs="宋体"/>
          <w:sz w:val="24"/>
        </w:rPr>
      </w:pPr>
      <w:r>
        <w:rPr>
          <w:rFonts w:hint="eastAsia" w:ascii="宋体" w:hAnsi="宋体" w:cs="宋体"/>
          <w:sz w:val="24"/>
        </w:rPr>
        <w:t>（1）稳定性和可靠性</w:t>
      </w:r>
    </w:p>
    <w:p w14:paraId="2F356CAD">
      <w:pPr>
        <w:pStyle w:val="10"/>
        <w:spacing w:after="0" w:line="360" w:lineRule="auto"/>
        <w:ind w:left="0" w:firstLine="480" w:firstLineChars="200"/>
        <w:rPr>
          <w:rFonts w:ascii="宋体" w:hAnsi="宋体" w:cs="宋体"/>
          <w:sz w:val="24"/>
        </w:rPr>
      </w:pPr>
      <w:r>
        <w:rPr>
          <w:rFonts w:hint="eastAsia" w:ascii="宋体" w:hAnsi="宋体" w:cs="宋体"/>
          <w:sz w:val="24"/>
          <w:lang w:val="en-US" w:eastAsia="zh-CN"/>
        </w:rPr>
        <w:t>500kΩ以内单点接地快速排查，排查接地过程保障系统运行安全</w:t>
      </w:r>
      <w:r>
        <w:rPr>
          <w:rFonts w:hint="eastAsia" w:ascii="宋体" w:hAnsi="宋体" w:cs="宋体"/>
          <w:sz w:val="24"/>
        </w:rPr>
        <w:t>。</w:t>
      </w:r>
    </w:p>
    <w:p w14:paraId="2F96F5E0">
      <w:pPr>
        <w:pStyle w:val="10"/>
        <w:spacing w:after="0" w:line="360" w:lineRule="auto"/>
        <w:ind w:left="0"/>
        <w:rPr>
          <w:rFonts w:ascii="宋体" w:hAnsi="宋体" w:cs="宋体"/>
          <w:sz w:val="24"/>
        </w:rPr>
      </w:pPr>
      <w:r>
        <w:rPr>
          <w:rFonts w:hint="eastAsia" w:ascii="宋体" w:hAnsi="宋体" w:cs="宋体"/>
          <w:sz w:val="24"/>
        </w:rPr>
        <w:t>（2）易用性</w:t>
      </w:r>
    </w:p>
    <w:p w14:paraId="4D6361B9">
      <w:pPr>
        <w:pStyle w:val="10"/>
        <w:spacing w:after="0" w:line="360" w:lineRule="auto"/>
        <w:ind w:left="0"/>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查找接地操作简便，故障提示类型多样、便于理解</w:t>
      </w:r>
      <w:r>
        <w:rPr>
          <w:rFonts w:ascii="宋体" w:hAnsi="宋体" w:cs="宋体"/>
          <w:sz w:val="24"/>
        </w:rPr>
        <w:t>。</w:t>
      </w:r>
    </w:p>
    <w:p w14:paraId="78A8DDC1">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.2.2</w:t>
      </w:r>
      <w:r>
        <w:rPr>
          <w:rFonts w:hint="eastAsia" w:asciiTheme="minorEastAsia" w:hAnsiTheme="minorEastAsia" w:eastAsiaTheme="minorEastAsia" w:cstheme="minorEastAsia"/>
          <w:sz w:val="24"/>
          <w:lang w:val="en-US" w:eastAsia="zh-CN"/>
        </w:rPr>
        <w:t>样机</w:t>
      </w:r>
      <w:r>
        <w:rPr>
          <w:rFonts w:hint="eastAsia" w:asciiTheme="minorEastAsia" w:hAnsiTheme="minorEastAsia" w:eastAsiaTheme="minorEastAsia" w:cstheme="minorEastAsia"/>
          <w:sz w:val="24"/>
        </w:rPr>
        <w:t>实施要求</w:t>
      </w:r>
    </w:p>
    <w:p w14:paraId="0150365E">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 xml:space="preserve">.2.2.1 </w:t>
      </w:r>
      <w:r>
        <w:rPr>
          <w:rFonts w:hint="eastAsia" w:asciiTheme="minorEastAsia" w:hAnsiTheme="minorEastAsia" w:eastAsiaTheme="minorEastAsia" w:cstheme="minorEastAsia"/>
          <w:sz w:val="24"/>
          <w:lang w:val="en-US" w:eastAsia="zh-CN"/>
        </w:rPr>
        <w:t>样机</w:t>
      </w:r>
      <w:r>
        <w:rPr>
          <w:rFonts w:hint="eastAsia" w:asciiTheme="minorEastAsia" w:hAnsiTheme="minorEastAsia" w:eastAsiaTheme="minorEastAsia" w:cstheme="minorEastAsia"/>
          <w:sz w:val="24"/>
        </w:rPr>
        <w:t>架构及技术</w:t>
      </w:r>
    </w:p>
    <w:p w14:paraId="7D42745C">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（1）</w:t>
      </w:r>
      <w:r>
        <w:rPr>
          <w:rFonts w:hint="eastAsia" w:asciiTheme="minorEastAsia" w:hAnsiTheme="minorEastAsia" w:eastAsiaTheme="minorEastAsia" w:cstheme="minorEastAsia"/>
          <w:sz w:val="24"/>
          <w:lang w:val="en-US" w:eastAsia="zh-CN"/>
        </w:rPr>
        <w:t>接地查找仪分体式设计，分为特征信号主机、探测信号手持器、感应信号传感器</w:t>
      </w:r>
      <w:r>
        <w:rPr>
          <w:rFonts w:asciiTheme="minorEastAsia" w:hAnsiTheme="minorEastAsia" w:eastAsiaTheme="minorEastAsia" w:cstheme="minorEastAsia"/>
          <w:sz w:val="24"/>
        </w:rPr>
        <w:t>。</w:t>
      </w:r>
    </w:p>
    <w:p w14:paraId="7976E0CF">
      <w:pPr>
        <w:ind w:firstLine="240" w:firstLineChars="1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适配多种信号传感器，便于各种场景直流接地故障排查</w:t>
      </w:r>
      <w:r>
        <w:rPr>
          <w:rFonts w:asciiTheme="minorEastAsia" w:hAnsiTheme="minorEastAsia" w:eastAsiaTheme="minorEastAsia" w:cstheme="minorEastAsia"/>
          <w:sz w:val="24"/>
        </w:rPr>
        <w:t>。</w:t>
      </w:r>
    </w:p>
    <w:p w14:paraId="609B6673">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（3）</w:t>
      </w:r>
      <w:r>
        <w:rPr>
          <w:rFonts w:hint="eastAsia" w:asciiTheme="minorEastAsia" w:hAnsiTheme="minorEastAsia" w:eastAsiaTheme="minorEastAsia" w:cstheme="minorEastAsia"/>
          <w:sz w:val="24"/>
          <w:lang w:val="en-US" w:eastAsia="zh-CN"/>
        </w:rPr>
        <w:t>故障信息文字、波形、语音提示</w:t>
      </w:r>
      <w:r>
        <w:rPr>
          <w:rFonts w:hint="eastAsia" w:asciiTheme="minorEastAsia" w:hAnsiTheme="minorEastAsia" w:eastAsiaTheme="minorEastAsia" w:cstheme="minorEastAsia"/>
          <w:sz w:val="24"/>
        </w:rPr>
        <w:t>。</w:t>
      </w:r>
    </w:p>
    <w:p w14:paraId="44B6305B">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w:t>
      </w:r>
      <w:r>
        <w:rPr>
          <w:rFonts w:hint="eastAsia" w:asciiTheme="minorEastAsia" w:hAnsiTheme="minorEastAsia" w:eastAsiaTheme="minorEastAsia" w:cstheme="minorEastAsia"/>
          <w:sz w:val="24"/>
          <w:lang w:val="en-US" w:eastAsia="zh-CN"/>
        </w:rPr>
        <w:t>故障波形可缩放，便于视读微弱信号，追踪查找接地故障</w:t>
      </w:r>
      <w:r>
        <w:rPr>
          <w:rFonts w:hint="eastAsia" w:asciiTheme="minorEastAsia" w:hAnsiTheme="minorEastAsia" w:eastAsiaTheme="minorEastAsia" w:cstheme="minorEastAsia"/>
          <w:sz w:val="24"/>
        </w:rPr>
        <w:t>。</w:t>
      </w:r>
    </w:p>
    <w:p w14:paraId="1C69E016">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（5）</w:t>
      </w:r>
      <w:r>
        <w:rPr>
          <w:rFonts w:hint="eastAsia" w:asciiTheme="minorEastAsia" w:hAnsiTheme="minorEastAsia" w:eastAsiaTheme="minorEastAsia" w:cstheme="minorEastAsia"/>
          <w:sz w:val="24"/>
          <w:lang w:val="en-US" w:eastAsia="zh-CN"/>
        </w:rPr>
        <w:t>安全性：查找接地过程，直流系统对地电压扰动值在行业标准范围内，保障电力安全生产</w:t>
      </w:r>
      <w:r>
        <w:rPr>
          <w:rFonts w:hint="eastAsia" w:asciiTheme="minorEastAsia" w:hAnsiTheme="minorEastAsia" w:eastAsiaTheme="minorEastAsia" w:cstheme="minorEastAsia"/>
          <w:sz w:val="24"/>
        </w:rPr>
        <w:t>。</w:t>
      </w:r>
    </w:p>
    <w:p w14:paraId="236F6473">
      <w:pPr>
        <w:pStyle w:val="1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.2.3</w:t>
      </w:r>
      <w:r>
        <w:rPr>
          <w:rFonts w:hint="eastAsia" w:asciiTheme="minorEastAsia" w:hAnsiTheme="minorEastAsia" w:eastAsiaTheme="minorEastAsia" w:cstheme="minorEastAsia"/>
          <w:sz w:val="24"/>
          <w:lang w:val="en-US" w:eastAsia="zh-CN"/>
        </w:rPr>
        <w:t>装置</w:t>
      </w:r>
      <w:r>
        <w:rPr>
          <w:rFonts w:hint="eastAsia" w:asciiTheme="minorEastAsia" w:hAnsiTheme="minorEastAsia" w:eastAsiaTheme="minorEastAsia" w:cstheme="minorEastAsia"/>
          <w:sz w:val="24"/>
        </w:rPr>
        <w:t>功能</w:t>
      </w:r>
    </w:p>
    <w:tbl>
      <w:tblPr>
        <w:tblStyle w:val="12"/>
        <w:tblW w:w="87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268"/>
        <w:gridCol w:w="5494"/>
      </w:tblGrid>
      <w:tr w14:paraId="26607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036D5CE2">
            <w:pPr>
              <w:jc w:val="center"/>
              <w:rPr>
                <w:rFonts w:ascii="Arial" w:hAnsi="Arial" w:cs="Arial"/>
              </w:rPr>
            </w:pPr>
            <w:r>
              <w:rPr>
                <w:rFonts w:hint="eastAsia" w:ascii="Arial" w:hAnsi="Arial" w:cs="Arial"/>
              </w:rPr>
              <w:t>序号</w:t>
            </w:r>
          </w:p>
        </w:tc>
        <w:tc>
          <w:tcPr>
            <w:tcW w:w="2268" w:type="dxa"/>
            <w:vAlign w:val="center"/>
          </w:tcPr>
          <w:p w14:paraId="1590FA0F">
            <w:pPr>
              <w:jc w:val="center"/>
              <w:rPr>
                <w:rFonts w:ascii="Arial" w:hAnsi="Arial" w:cs="Arial"/>
              </w:rPr>
            </w:pPr>
            <w:r>
              <w:rPr>
                <w:rFonts w:hint="eastAsia" w:ascii="Arial" w:hAnsi="Arial" w:cs="Arial"/>
              </w:rPr>
              <w:t>功能</w:t>
            </w:r>
          </w:p>
        </w:tc>
        <w:tc>
          <w:tcPr>
            <w:tcW w:w="5494" w:type="dxa"/>
            <w:vAlign w:val="center"/>
          </w:tcPr>
          <w:p w14:paraId="75D5CE83">
            <w:pPr>
              <w:jc w:val="center"/>
              <w:rPr>
                <w:rFonts w:ascii="Arial" w:hAnsi="Arial" w:cs="Arial"/>
              </w:rPr>
            </w:pPr>
            <w:r>
              <w:rPr>
                <w:rFonts w:hint="eastAsia" w:ascii="Arial" w:hAnsi="Arial" w:cs="Arial"/>
              </w:rPr>
              <w:t>描述</w:t>
            </w:r>
          </w:p>
        </w:tc>
      </w:tr>
      <w:tr w14:paraId="30B16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E17161C">
            <w:pPr>
              <w:jc w:val="center"/>
              <w:rPr>
                <w:rFonts w:ascii="Arial" w:hAnsi="Arial" w:cs="Arial"/>
              </w:rPr>
            </w:pPr>
            <w:r>
              <w:rPr>
                <w:rFonts w:hint="eastAsia" w:ascii="Arial" w:hAnsi="Arial" w:cs="Arial"/>
              </w:rPr>
              <w:t>1</w:t>
            </w:r>
          </w:p>
        </w:tc>
        <w:tc>
          <w:tcPr>
            <w:tcW w:w="2268" w:type="dxa"/>
            <w:vAlign w:val="center"/>
          </w:tcPr>
          <w:p w14:paraId="36B815ED">
            <w:pPr>
              <w:jc w:val="center"/>
              <w:rPr>
                <w:rFonts w:hint="default" w:ascii="Arial" w:hAnsi="Arial" w:eastAsia="宋体" w:cs="Arial"/>
                <w:lang w:val="en-US" w:eastAsia="zh-CN"/>
              </w:rPr>
            </w:pPr>
            <w:r>
              <w:rPr>
                <w:rFonts w:hint="eastAsia" w:ascii="Arial" w:hAnsi="Arial" w:cs="Arial"/>
                <w:lang w:val="en-US" w:eastAsia="zh-CN"/>
              </w:rPr>
              <w:t>接地查找能力</w:t>
            </w:r>
          </w:p>
        </w:tc>
        <w:tc>
          <w:tcPr>
            <w:tcW w:w="5494" w:type="dxa"/>
          </w:tcPr>
          <w:p w14:paraId="4F2DF233">
            <w:pPr>
              <w:rPr>
                <w:rFonts w:ascii="Arial" w:hAnsi="Arial" w:cs="Arial"/>
              </w:rPr>
            </w:pPr>
            <w:r>
              <w:rPr>
                <w:rFonts w:hint="eastAsia" w:ascii="Arial" w:hAnsi="Arial" w:cs="Arial"/>
                <w:lang w:val="en-US" w:eastAsia="zh-CN"/>
              </w:rPr>
              <w:t>排查500kΩ以内接地故障</w:t>
            </w:r>
            <w:r>
              <w:rPr>
                <w:rFonts w:ascii="Arial" w:hAnsi="Arial" w:cs="Arial"/>
              </w:rPr>
              <w:t>。</w:t>
            </w:r>
          </w:p>
        </w:tc>
      </w:tr>
      <w:tr w14:paraId="1560C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207695E7">
            <w:pPr>
              <w:jc w:val="center"/>
              <w:rPr>
                <w:rFonts w:ascii="Arial" w:hAnsi="Arial" w:cs="Arial"/>
              </w:rPr>
            </w:pPr>
            <w:r>
              <w:rPr>
                <w:rFonts w:ascii="Arial" w:hAnsi="Arial" w:cs="Arial"/>
              </w:rPr>
              <w:t>2</w:t>
            </w:r>
          </w:p>
        </w:tc>
        <w:tc>
          <w:tcPr>
            <w:tcW w:w="2268" w:type="dxa"/>
            <w:vAlign w:val="center"/>
          </w:tcPr>
          <w:p w14:paraId="006173D2">
            <w:pPr>
              <w:jc w:val="center"/>
              <w:rPr>
                <w:rFonts w:hint="default" w:ascii="Arial" w:hAnsi="Arial" w:eastAsia="宋体" w:cs="Arial"/>
                <w:lang w:val="en-US" w:eastAsia="zh-CN"/>
              </w:rPr>
            </w:pPr>
            <w:r>
              <w:rPr>
                <w:rFonts w:hint="eastAsia" w:ascii="Arial" w:hAnsi="Arial" w:cs="Arial"/>
                <w:lang w:val="en-US" w:eastAsia="zh-CN"/>
              </w:rPr>
              <w:t>语音提示功能</w:t>
            </w:r>
          </w:p>
        </w:tc>
        <w:tc>
          <w:tcPr>
            <w:tcW w:w="5494" w:type="dxa"/>
          </w:tcPr>
          <w:p w14:paraId="35A4FBE8">
            <w:pPr>
              <w:rPr>
                <w:rFonts w:ascii="Arial" w:hAnsi="Arial" w:cs="Arial"/>
              </w:rPr>
            </w:pPr>
            <w:r>
              <w:rPr>
                <w:rFonts w:hint="eastAsia" w:ascii="Arial" w:hAnsi="Arial" w:cs="Arial"/>
                <w:lang w:val="en-US" w:eastAsia="zh-CN"/>
              </w:rPr>
              <w:t>语音提示接地状态与接地故障方向</w:t>
            </w:r>
            <w:r>
              <w:rPr>
                <w:rFonts w:hint="eastAsia" w:ascii="Arial" w:hAnsi="Arial" w:cs="Arial"/>
              </w:rPr>
              <w:t>。</w:t>
            </w:r>
          </w:p>
        </w:tc>
      </w:tr>
      <w:tr w14:paraId="6888A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3D5C61D0">
            <w:pPr>
              <w:jc w:val="center"/>
              <w:rPr>
                <w:rFonts w:ascii="Arial" w:hAnsi="Arial" w:cs="Arial"/>
              </w:rPr>
            </w:pPr>
            <w:r>
              <w:rPr>
                <w:rFonts w:ascii="Arial" w:hAnsi="Arial" w:cs="Arial"/>
              </w:rPr>
              <w:t>3</w:t>
            </w:r>
          </w:p>
        </w:tc>
        <w:tc>
          <w:tcPr>
            <w:tcW w:w="2268" w:type="dxa"/>
            <w:vAlign w:val="center"/>
          </w:tcPr>
          <w:p w14:paraId="1C213956">
            <w:pPr>
              <w:jc w:val="center"/>
              <w:rPr>
                <w:rFonts w:hint="default" w:ascii="Arial" w:hAnsi="Arial" w:eastAsia="宋体" w:cs="Arial"/>
                <w:lang w:val="en-US" w:eastAsia="zh-CN"/>
              </w:rPr>
            </w:pPr>
            <w:r>
              <w:rPr>
                <w:rFonts w:hint="eastAsia" w:ascii="Arial" w:hAnsi="Arial" w:cs="Arial"/>
                <w:lang w:val="en-US" w:eastAsia="zh-CN"/>
              </w:rPr>
              <w:t>接地位置指示功能</w:t>
            </w:r>
          </w:p>
        </w:tc>
        <w:tc>
          <w:tcPr>
            <w:tcW w:w="5494" w:type="dxa"/>
          </w:tcPr>
          <w:p w14:paraId="41A16ABD">
            <w:pPr>
              <w:rPr>
                <w:rFonts w:ascii="Arial" w:hAnsi="Arial" w:cs="Arial"/>
              </w:rPr>
            </w:pPr>
            <w:r>
              <w:rPr>
                <w:rFonts w:hint="eastAsia" w:ascii="Arial" w:hAnsi="Arial" w:cs="Arial"/>
                <w:lang w:val="en-US" w:eastAsia="zh-CN"/>
              </w:rPr>
              <w:t>模型直观显示接地与测量位置关系，指引接地排查</w:t>
            </w:r>
            <w:r>
              <w:rPr>
                <w:rFonts w:hint="eastAsia" w:ascii="Arial" w:hAnsi="Arial" w:cs="Arial"/>
              </w:rPr>
              <w:t>。</w:t>
            </w:r>
          </w:p>
        </w:tc>
      </w:tr>
      <w:tr w14:paraId="57BA6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vAlign w:val="center"/>
          </w:tcPr>
          <w:p w14:paraId="5E871713">
            <w:pPr>
              <w:jc w:val="center"/>
              <w:rPr>
                <w:rFonts w:ascii="Arial" w:hAnsi="Arial" w:cs="Arial"/>
              </w:rPr>
            </w:pPr>
            <w:r>
              <w:rPr>
                <w:rFonts w:hint="eastAsia" w:ascii="Arial" w:hAnsi="Arial" w:cs="Arial"/>
              </w:rPr>
              <w:t>4</w:t>
            </w:r>
          </w:p>
        </w:tc>
        <w:tc>
          <w:tcPr>
            <w:tcW w:w="2268" w:type="dxa"/>
            <w:vAlign w:val="center"/>
          </w:tcPr>
          <w:p w14:paraId="7F8D2A23">
            <w:pPr>
              <w:jc w:val="center"/>
              <w:rPr>
                <w:rFonts w:hint="default" w:ascii="Arial" w:hAnsi="Arial" w:eastAsia="宋体" w:cs="Arial"/>
                <w:lang w:val="en-US" w:eastAsia="zh-CN"/>
              </w:rPr>
            </w:pPr>
            <w:r>
              <w:rPr>
                <w:rFonts w:hint="eastAsia" w:ascii="Arial" w:hAnsi="Arial" w:cs="Arial"/>
                <w:lang w:val="en-US" w:eastAsia="zh-CN"/>
              </w:rPr>
              <w:t>波形显示</w:t>
            </w:r>
          </w:p>
        </w:tc>
        <w:tc>
          <w:tcPr>
            <w:tcW w:w="5494" w:type="dxa"/>
          </w:tcPr>
          <w:p w14:paraId="659672AE">
            <w:pPr>
              <w:rPr>
                <w:rFonts w:ascii="Arial" w:hAnsi="Arial" w:cs="Arial"/>
              </w:rPr>
            </w:pPr>
            <w:r>
              <w:rPr>
                <w:rFonts w:hint="eastAsia" w:ascii="Arial" w:hAnsi="Arial" w:cs="Arial"/>
                <w:lang w:val="en-US" w:eastAsia="zh-CN"/>
              </w:rPr>
              <w:t>显示故障特征信号波形，可多波形操作不少于3档缩放</w:t>
            </w:r>
            <w:r>
              <w:rPr>
                <w:rFonts w:hint="eastAsia" w:ascii="Arial" w:hAnsi="Arial" w:cs="Arial"/>
              </w:rPr>
              <w:t>。</w:t>
            </w:r>
          </w:p>
        </w:tc>
      </w:tr>
    </w:tbl>
    <w:p w14:paraId="24428D08">
      <w:pPr>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.2.4实施要求</w:t>
      </w:r>
    </w:p>
    <w:p w14:paraId="28293B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asciiTheme="minorEastAsia" w:hAnsiTheme="minorEastAsia" w:eastAsiaTheme="minorEastAsia" w:cstheme="minorEastAsia"/>
          <w:sz w:val="24"/>
        </w:rPr>
        <w:t>提供完整的</w:t>
      </w:r>
      <w:r>
        <w:rPr>
          <w:rFonts w:hint="eastAsia" w:asciiTheme="minorEastAsia" w:hAnsiTheme="minorEastAsia" w:eastAsiaTheme="minorEastAsia" w:cstheme="minorEastAsia"/>
          <w:sz w:val="24"/>
          <w:lang w:val="en-US" w:eastAsia="zh-CN"/>
        </w:rPr>
        <w:t>样机</w:t>
      </w:r>
      <w:r>
        <w:rPr>
          <w:rFonts w:asciiTheme="minorEastAsia" w:hAnsiTheme="minorEastAsia" w:eastAsiaTheme="minorEastAsia" w:cstheme="minorEastAsia"/>
          <w:sz w:val="24"/>
        </w:rPr>
        <w:t>设计方案及实施方案与计划。</w:t>
      </w:r>
    </w:p>
    <w:p w14:paraId="50DE93A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样机</w:t>
      </w:r>
      <w:r>
        <w:rPr>
          <w:rFonts w:hint="eastAsia" w:asciiTheme="minorEastAsia" w:hAnsiTheme="minorEastAsia" w:eastAsiaTheme="minorEastAsia" w:cstheme="minorEastAsia"/>
          <w:sz w:val="24"/>
        </w:rPr>
        <w:t>需要在6个月内完成开发。</w:t>
      </w:r>
    </w:p>
    <w:p w14:paraId="0D5B34C2">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.2.5技术服务要求</w:t>
      </w:r>
    </w:p>
    <w:p w14:paraId="7F03AE72">
      <w:pPr>
        <w:ind w:firstLine="480" w:firstLineChars="200"/>
        <w:rPr>
          <w:rFonts w:ascii="宋体" w:hAnsi="宋体" w:cs="宋体"/>
          <w:sz w:val="24"/>
        </w:rPr>
      </w:pPr>
      <w:r>
        <w:rPr>
          <w:rFonts w:hint="eastAsia" w:ascii="宋体" w:hAnsi="宋体" w:cs="宋体"/>
          <w:sz w:val="24"/>
        </w:rPr>
        <w:t>提供全方位、优质、高效的质量保证体系，以及技术支持和售后服务。投标方应充分考虑技术支持与售后服务，提供详细的售后服务计划，服务内容、服务方式及响应时间。要求如下：</w:t>
      </w:r>
    </w:p>
    <w:p w14:paraId="4B483F8D">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（1）验收合格后提供1年免费维护。</w:t>
      </w:r>
    </w:p>
    <w:p w14:paraId="2102290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（2）中标方在故障发生2小时响应处置。</w:t>
      </w:r>
    </w:p>
    <w:p w14:paraId="6630B6D2">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中标方对招标方提供技术培训和操作指导，中标方负责培训全部费用</w:t>
      </w:r>
      <w:r>
        <w:rPr>
          <w:rFonts w:hint="eastAsia" w:asciiTheme="minorEastAsia" w:hAnsiTheme="minorEastAsia" w:eastAsiaTheme="minorEastAsia" w:cstheme="minorEastAsia"/>
          <w:sz w:val="24"/>
          <w:lang w:eastAsia="zh-CN"/>
        </w:rPr>
        <w:t>。</w:t>
      </w:r>
    </w:p>
    <w:p w14:paraId="39F2779D">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不少于</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个工作日的现场</w:t>
      </w:r>
      <w:r>
        <w:rPr>
          <w:rFonts w:hint="eastAsia" w:asciiTheme="minorEastAsia" w:hAnsiTheme="minorEastAsia" w:eastAsiaTheme="minorEastAsia" w:cstheme="minorEastAsia"/>
          <w:sz w:val="24"/>
          <w:lang w:val="en-US" w:eastAsia="zh-CN"/>
        </w:rPr>
        <w:t>对接</w:t>
      </w:r>
      <w:r>
        <w:rPr>
          <w:rFonts w:hint="eastAsia" w:asciiTheme="minorEastAsia" w:hAnsiTheme="minorEastAsia" w:eastAsiaTheme="minorEastAsia" w:cstheme="minorEastAsia"/>
          <w:sz w:val="24"/>
        </w:rPr>
        <w:t>。中标方负责招标方人员的</w:t>
      </w:r>
      <w:r>
        <w:rPr>
          <w:rFonts w:hint="eastAsia" w:asciiTheme="minorEastAsia" w:hAnsiTheme="minorEastAsia" w:eastAsiaTheme="minorEastAsia" w:cstheme="minorEastAsia"/>
          <w:sz w:val="24"/>
          <w:lang w:val="en-US" w:eastAsia="zh-CN"/>
        </w:rPr>
        <w:t>接地排查</w:t>
      </w:r>
      <w:r>
        <w:rPr>
          <w:rFonts w:hint="eastAsia" w:asciiTheme="minorEastAsia" w:hAnsiTheme="minorEastAsia" w:eastAsiaTheme="minorEastAsia" w:cstheme="minorEastAsia"/>
          <w:sz w:val="24"/>
        </w:rPr>
        <w:t>操作方面培训工作。</w:t>
      </w:r>
    </w:p>
    <w:p w14:paraId="1BC4D54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中标方应免费提供远程技术服务，远程技术服务项目期限不受限于保修期，远程技术服务在设备报废前有效。</w:t>
      </w:r>
    </w:p>
    <w:p w14:paraId="4E7288D2">
      <w:pPr>
        <w:pStyle w:val="10"/>
        <w:rPr>
          <w:rFonts w:ascii="宋体" w:hAnsi="宋体" w:cs="宋体"/>
          <w:sz w:val="24"/>
        </w:rPr>
      </w:pPr>
      <w:r>
        <w:rPr>
          <w:rFonts w:hint="eastAsia" w:ascii="宋体" w:hAnsi="宋体" w:cs="宋体"/>
          <w:sz w:val="24"/>
        </w:rPr>
        <w:t>4.</w:t>
      </w:r>
      <w:r>
        <w:rPr>
          <w:rFonts w:hint="eastAsia" w:ascii="宋体" w:hAnsi="宋体" w:cs="宋体"/>
          <w:sz w:val="24"/>
          <w:lang w:val="en-US" w:eastAsia="zh-CN"/>
        </w:rPr>
        <w:t>1</w:t>
      </w:r>
      <w:r>
        <w:rPr>
          <w:rFonts w:hint="eastAsia" w:ascii="宋体" w:hAnsi="宋体" w:cs="宋体"/>
          <w:sz w:val="24"/>
        </w:rPr>
        <w:t>.2.6</w:t>
      </w:r>
      <w:r>
        <w:rPr>
          <w:rFonts w:hint="eastAsia" w:ascii="宋体" w:hAnsi="宋体" w:cs="宋体"/>
          <w:sz w:val="24"/>
          <w:lang w:val="en-US" w:eastAsia="zh-CN"/>
        </w:rPr>
        <w:t>样机</w:t>
      </w:r>
      <w:r>
        <w:rPr>
          <w:rFonts w:hint="eastAsia" w:ascii="宋体" w:hAnsi="宋体" w:cs="宋体"/>
          <w:sz w:val="24"/>
        </w:rPr>
        <w:t>交付项</w:t>
      </w:r>
    </w:p>
    <w:p w14:paraId="1AF7CAC4">
      <w:pPr>
        <w:ind w:firstLine="480" w:firstLineChars="200"/>
        <w:rPr>
          <w:rFonts w:ascii="宋体" w:hAnsi="宋体" w:cs="宋体"/>
          <w:sz w:val="24"/>
        </w:rPr>
      </w:pPr>
      <w:r>
        <w:rPr>
          <w:rFonts w:hint="eastAsia" w:ascii="宋体" w:hAnsi="宋体" w:cs="宋体"/>
          <w:sz w:val="24"/>
        </w:rPr>
        <w:t>投标方应在合同规定时间内，向招标方提供相应资料，包括：</w:t>
      </w:r>
    </w:p>
    <w:p w14:paraId="2F2A78F3">
      <w:pPr>
        <w:rPr>
          <w:rFonts w:hint="eastAsia" w:ascii="宋体" w:hAnsi="宋体" w:eastAsia="宋体" w:cs="宋体"/>
          <w:sz w:val="24"/>
          <w:lang w:eastAsia="zh-CN"/>
        </w:rPr>
      </w:pPr>
      <w:r>
        <w:rPr>
          <w:rFonts w:hint="eastAsia" w:ascii="宋体" w:hAnsi="宋体" w:cs="宋体"/>
          <w:sz w:val="24"/>
        </w:rPr>
        <w:t>（1）用户操作手册</w:t>
      </w:r>
      <w:r>
        <w:rPr>
          <w:rFonts w:hint="eastAsia" w:ascii="宋体" w:hAnsi="宋体" w:cs="宋体"/>
          <w:sz w:val="24"/>
          <w:lang w:eastAsia="zh-CN"/>
        </w:rPr>
        <w:t>。</w:t>
      </w:r>
    </w:p>
    <w:p w14:paraId="0B6EE184">
      <w:pPr>
        <w:rPr>
          <w:rFonts w:hint="eastAsia" w:ascii="宋体" w:hAnsi="宋体" w:eastAsia="宋体" w:cs="宋体"/>
          <w:sz w:val="24"/>
          <w:lang w:eastAsia="zh-CN"/>
        </w:rPr>
      </w:pPr>
      <w:r>
        <w:rPr>
          <w:rFonts w:hint="eastAsia" w:ascii="宋体" w:hAnsi="宋体" w:cs="宋体"/>
          <w:sz w:val="24"/>
        </w:rPr>
        <w:t>（2）</w:t>
      </w:r>
      <w:r>
        <w:rPr>
          <w:rFonts w:hint="eastAsia" w:ascii="宋体" w:hAnsi="宋体" w:cs="宋体"/>
          <w:sz w:val="24"/>
          <w:lang w:val="en-US" w:eastAsia="zh-CN"/>
        </w:rPr>
        <w:t>高阻接地查找仪样机</w:t>
      </w:r>
      <w:r>
        <w:rPr>
          <w:rFonts w:hint="eastAsia" w:ascii="宋体" w:hAnsi="宋体" w:cs="宋体"/>
          <w:sz w:val="24"/>
          <w:lang w:eastAsia="zh-CN"/>
        </w:rPr>
        <w:t>。</w:t>
      </w:r>
    </w:p>
    <w:p w14:paraId="37CE3342">
      <w:pPr>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val="en-US" w:eastAsia="zh-CN"/>
        </w:rPr>
        <w:t>2</w:t>
      </w:r>
      <w:r>
        <w:rPr>
          <w:rFonts w:hint="eastAsia" w:ascii="宋体" w:hAnsi="宋体" w:cs="宋体"/>
          <w:color w:val="000000"/>
          <w:sz w:val="24"/>
        </w:rPr>
        <w:t xml:space="preserve"> 项目组织。投标方需成立项目组</w:t>
      </w:r>
      <w:r>
        <w:rPr>
          <w:rFonts w:hint="eastAsia" w:ascii="宋体" w:hAnsi="宋体"/>
          <w:sz w:val="24"/>
        </w:rPr>
        <w:t>，具备良好的专业背景和经验。在与招标方协商的基础上确定，确保人员稳定。更换项目组成员的替代人选及更换时机需经双方协商认可，并保证工作的连续性和工作质量。</w:t>
      </w:r>
    </w:p>
    <w:bookmarkEnd w:id="15"/>
    <w:bookmarkEnd w:id="16"/>
    <w:bookmarkEnd w:id="17"/>
    <w:bookmarkEnd w:id="18"/>
    <w:bookmarkEnd w:id="19"/>
    <w:bookmarkEnd w:id="20"/>
    <w:bookmarkEnd w:id="21"/>
    <w:bookmarkEnd w:id="22"/>
    <w:bookmarkEnd w:id="23"/>
    <w:bookmarkEnd w:id="24"/>
    <w:bookmarkEnd w:id="25"/>
    <w:p w14:paraId="7C914E8E">
      <w:pPr>
        <w:rPr>
          <w:rFonts w:ascii="宋体" w:hAnsi="宋体" w:cs="宋体"/>
          <w:sz w:val="24"/>
        </w:rPr>
      </w:pPr>
      <w:bookmarkStart w:id="32"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2"/>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3" w:name="_Toc531004215"/>
      <w:bookmarkStart w:id="34" w:name="_Toc309593280"/>
      <w:bookmarkStart w:id="35" w:name="_Toc441483969"/>
      <w:bookmarkStart w:id="36" w:name="_Toc309593209"/>
      <w:bookmarkStart w:id="37" w:name="_Toc531004269"/>
      <w:bookmarkStart w:id="38" w:name="_Toc312827040"/>
      <w:bookmarkStart w:id="39" w:name="_Toc309805604"/>
      <w:bookmarkStart w:id="40" w:name="_Toc18633"/>
    </w:p>
    <w:p w14:paraId="6D7F86C8">
      <w:pPr>
        <w:pStyle w:val="8"/>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14:paraId="5062A7C2">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73CA961D">
      <w:pPr>
        <w:pStyle w:val="8"/>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3DEDD22B">
      <w:pPr>
        <w:pStyle w:val="8"/>
        <w:rPr>
          <w:rFonts w:hAnsi="宋体"/>
          <w:sz w:val="24"/>
        </w:rPr>
      </w:pPr>
      <w:r>
        <w:rPr>
          <w:rFonts w:hint="eastAsia" w:ascii="Times New Roman" w:hAnsi="Times New Roman"/>
          <w:sz w:val="24"/>
        </w:rPr>
        <w:t>（1）沟通项目所需资料的收集</w:t>
      </w:r>
      <w:r>
        <w:rPr>
          <w:rFonts w:hint="eastAsia" w:hAnsi="宋体"/>
          <w:sz w:val="24"/>
        </w:rPr>
        <w:t>。</w:t>
      </w:r>
    </w:p>
    <w:p w14:paraId="67A48A5E">
      <w:pPr>
        <w:pStyle w:val="8"/>
        <w:rPr>
          <w:rFonts w:hAnsi="宋体"/>
          <w:sz w:val="24"/>
        </w:rPr>
      </w:pPr>
      <w:r>
        <w:rPr>
          <w:rFonts w:hint="eastAsia" w:ascii="Times New Roman" w:hAnsi="Times New Roman"/>
          <w:sz w:val="24"/>
        </w:rPr>
        <w:t>（2）沟通项目进度信息。</w:t>
      </w:r>
    </w:p>
    <w:p w14:paraId="2E5D34AE">
      <w:pPr>
        <w:pStyle w:val="8"/>
        <w:rPr>
          <w:rFonts w:hAnsi="宋体"/>
          <w:sz w:val="24"/>
        </w:rPr>
      </w:pPr>
      <w:r>
        <w:rPr>
          <w:rFonts w:hint="eastAsia" w:ascii="Times New Roman" w:hAnsi="Times New Roman"/>
          <w:sz w:val="24"/>
        </w:rPr>
        <w:t>（3）协商解决项目执行过程中遇到的问题。</w:t>
      </w:r>
    </w:p>
    <w:p w14:paraId="48BACCB4">
      <w:pPr>
        <w:pStyle w:val="8"/>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414BF8E5">
      <w:pPr>
        <w:pStyle w:val="8"/>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A984B6D">
      <w:pPr>
        <w:pStyle w:val="8"/>
        <w:ind w:firstLine="240"/>
        <w:rPr>
          <w:rFonts w:hAnsi="宋体"/>
          <w:sz w:val="24"/>
        </w:rPr>
      </w:pPr>
      <w:r>
        <w:rPr>
          <w:rFonts w:hAnsi="宋体"/>
          <w:sz w:val="24"/>
        </w:rPr>
        <w:t xml:space="preserve">    </w:t>
      </w:r>
      <w:r>
        <w:rPr>
          <w:rFonts w:hint="eastAsia" w:hAnsi="宋体"/>
          <w:sz w:val="24"/>
        </w:rPr>
        <w:t>招标方</w:t>
      </w:r>
      <w:r>
        <w:rPr>
          <w:rFonts w:hAnsi="宋体"/>
          <w:sz w:val="24"/>
        </w:rPr>
        <w:t>：</w:t>
      </w:r>
    </w:p>
    <w:p w14:paraId="5F924D18">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0AA469EA">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607FE177">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24F9798F">
      <w:pPr>
        <w:pStyle w:val="8"/>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11B928EF">
      <w:pPr>
        <w:pStyle w:val="8"/>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14:paraId="07642554">
      <w:pPr>
        <w:pStyle w:val="8"/>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7F8CC74">
      <w:pPr>
        <w:pStyle w:val="8"/>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0EC835D1">
      <w:pPr>
        <w:pStyle w:val="8"/>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31C544D4">
      <w:pPr>
        <w:pStyle w:val="8"/>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F0E491E">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14:paraId="3B2BE2DA">
      <w:pPr>
        <w:spacing w:line="360" w:lineRule="auto"/>
        <w:ind w:left="6" w:leftChars="3" w:firstLine="480" w:firstLineChars="200"/>
        <w:rPr>
          <w:sz w:val="24"/>
        </w:rPr>
      </w:pPr>
      <w:r>
        <w:rPr>
          <w:rFonts w:hint="eastAsia"/>
          <w:sz w:val="24"/>
        </w:rPr>
        <w:t>投标方</w:t>
      </w:r>
      <w:r>
        <w:rPr>
          <w:sz w:val="24"/>
        </w:rPr>
        <w:t>技术文件应包括：</w:t>
      </w:r>
    </w:p>
    <w:p w14:paraId="1AEDD50F">
      <w:pPr>
        <w:spacing w:line="360" w:lineRule="auto"/>
        <w:ind w:left="6" w:leftChars="3" w:firstLine="480" w:firstLineChars="200"/>
        <w:rPr>
          <w:sz w:val="24"/>
        </w:rPr>
      </w:pPr>
      <w:r>
        <w:rPr>
          <w:sz w:val="24"/>
        </w:rPr>
        <w:t>（1）</w:t>
      </w:r>
      <w:r>
        <w:rPr>
          <w:rFonts w:ascii="宋体" w:hAnsi="宋体" w:cs="宋体"/>
          <w:sz w:val="24"/>
        </w:rPr>
        <w:t>提供完整的</w:t>
      </w:r>
      <w:r>
        <w:rPr>
          <w:rFonts w:hint="eastAsia" w:ascii="宋体" w:hAnsi="宋体" w:cs="宋体"/>
          <w:sz w:val="24"/>
          <w:lang w:val="en-US" w:eastAsia="zh-CN"/>
        </w:rPr>
        <w:t>样机</w:t>
      </w:r>
      <w:r>
        <w:rPr>
          <w:rFonts w:ascii="宋体" w:hAnsi="宋体" w:cs="宋体"/>
          <w:sz w:val="24"/>
        </w:rPr>
        <w:t>设计</w:t>
      </w:r>
      <w:r>
        <w:rPr>
          <w:rFonts w:hint="eastAsia" w:ascii="宋体" w:hAnsi="宋体" w:cs="宋体"/>
          <w:sz w:val="24"/>
          <w:lang w:val="en-US" w:eastAsia="zh-CN"/>
        </w:rPr>
        <w:t>加工</w:t>
      </w:r>
      <w:r>
        <w:rPr>
          <w:rFonts w:ascii="宋体" w:hAnsi="宋体" w:cs="宋体"/>
          <w:sz w:val="24"/>
        </w:rPr>
        <w:t>方案及实施方案与计划</w:t>
      </w:r>
      <w:r>
        <w:rPr>
          <w:rFonts w:hint="eastAsia" w:ascii="宋体" w:hAnsi="宋体" w:cs="宋体"/>
          <w:sz w:val="24"/>
          <w:lang w:eastAsia="zh-CN"/>
        </w:rPr>
        <w:t>；</w:t>
      </w:r>
    </w:p>
    <w:p w14:paraId="43B1C038">
      <w:pPr>
        <w:spacing w:line="360" w:lineRule="auto"/>
        <w:ind w:left="6" w:leftChars="3" w:firstLine="480" w:firstLineChars="200"/>
        <w:rPr>
          <w:rFonts w:hint="eastAsia" w:eastAsia="宋体"/>
          <w:sz w:val="24"/>
          <w:lang w:eastAsia="zh-CN"/>
        </w:rPr>
      </w:pPr>
      <w:r>
        <w:rPr>
          <w:sz w:val="24"/>
        </w:rPr>
        <w:t>（2）预期目标和成果，主要技术难点、创新点及解决措施</w:t>
      </w:r>
      <w:r>
        <w:rPr>
          <w:rFonts w:hint="eastAsia"/>
          <w:sz w:val="24"/>
          <w:lang w:eastAsia="zh-CN"/>
        </w:rPr>
        <w:t>。</w:t>
      </w:r>
    </w:p>
    <w:p w14:paraId="644A5040">
      <w:pPr>
        <w:pStyle w:val="4"/>
        <w:numPr>
          <w:ilvl w:val="0"/>
          <w:numId w:val="0"/>
        </w:numPr>
        <w:rPr>
          <w:rFonts w:hint="eastAsia" w:ascii="黑体" w:hAnsi="黑体" w:eastAsia="黑体" w:cs="黑体"/>
          <w:b/>
          <w:bCs/>
          <w:kern w:val="2"/>
          <w:sz w:val="28"/>
          <w:szCs w:val="36"/>
          <w:lang w:val="en-US" w:eastAsia="zh-CN" w:bidi="ar-SA"/>
        </w:rPr>
      </w:pPr>
      <w:bookmarkStart w:id="41" w:name="_Toc309805603"/>
      <w:bookmarkStart w:id="42" w:name="_Toc12135"/>
      <w:bookmarkStart w:id="43" w:name="_Toc14774"/>
      <w:bookmarkStart w:id="44" w:name="_Toc26448179"/>
      <w:bookmarkStart w:id="45" w:name="_Toc312827039"/>
      <w:bookmarkStart w:id="46" w:name="_Toc23520"/>
      <w:bookmarkStart w:id="47" w:name="_Toc12192"/>
      <w:bookmarkStart w:id="48" w:name="_Toc309593208"/>
      <w:bookmarkStart w:id="49" w:name="_Toc309593279"/>
      <w:r>
        <w:rPr>
          <w:rFonts w:hint="eastAsia" w:ascii="黑体" w:hAnsi="黑体" w:eastAsia="黑体" w:cs="黑体"/>
          <w:b/>
          <w:bCs/>
          <w:kern w:val="2"/>
          <w:sz w:val="28"/>
          <w:szCs w:val="36"/>
          <w:lang w:val="en-US" w:eastAsia="zh-CN" w:bidi="ar-SA"/>
        </w:rPr>
        <w:t>6.※工期进度要求</w:t>
      </w:r>
      <w:bookmarkEnd w:id="41"/>
      <w:bookmarkEnd w:id="42"/>
      <w:bookmarkEnd w:id="43"/>
      <w:bookmarkEnd w:id="44"/>
      <w:bookmarkEnd w:id="45"/>
      <w:bookmarkEnd w:id="46"/>
      <w:bookmarkEnd w:id="47"/>
      <w:bookmarkEnd w:id="48"/>
      <w:bookmarkEnd w:id="49"/>
    </w:p>
    <w:p w14:paraId="5BD3C678">
      <w:pPr>
        <w:spacing w:line="360" w:lineRule="auto"/>
        <w:ind w:left="6" w:leftChars="3" w:firstLine="480" w:firstLineChars="200"/>
        <w:rPr>
          <w:sz w:val="24"/>
        </w:rPr>
      </w:pPr>
      <w:r>
        <w:rPr>
          <w:sz w:val="24"/>
        </w:rPr>
        <w:t>本项目应按照下表所示进度安排开展试验工作：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14:paraId="3A26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08BBD23B">
            <w:pPr>
              <w:jc w:val="center"/>
              <w:rPr>
                <w:b/>
                <w:sz w:val="24"/>
              </w:rPr>
            </w:pPr>
            <w:r>
              <w:rPr>
                <w:b/>
                <w:sz w:val="24"/>
              </w:rPr>
              <w:t>任务名称</w:t>
            </w:r>
          </w:p>
        </w:tc>
        <w:tc>
          <w:tcPr>
            <w:tcW w:w="1734" w:type="dxa"/>
            <w:noWrap w:val="0"/>
            <w:vAlign w:val="center"/>
          </w:tcPr>
          <w:p w14:paraId="516846AB">
            <w:pPr>
              <w:jc w:val="center"/>
              <w:rPr>
                <w:b/>
                <w:sz w:val="24"/>
              </w:rPr>
            </w:pPr>
            <w:r>
              <w:rPr>
                <w:b/>
                <w:sz w:val="24"/>
              </w:rPr>
              <w:t>工作时间</w:t>
            </w:r>
          </w:p>
        </w:tc>
        <w:tc>
          <w:tcPr>
            <w:tcW w:w="5358" w:type="dxa"/>
            <w:noWrap w:val="0"/>
            <w:vAlign w:val="center"/>
          </w:tcPr>
          <w:p w14:paraId="0FB0BFA4">
            <w:pPr>
              <w:tabs>
                <w:tab w:val="left" w:pos="859"/>
              </w:tabs>
              <w:ind w:left="111" w:leftChars="53" w:firstLine="7" w:firstLineChars="3"/>
              <w:jc w:val="center"/>
              <w:rPr>
                <w:b/>
                <w:sz w:val="24"/>
              </w:rPr>
            </w:pPr>
            <w:r>
              <w:rPr>
                <w:b/>
                <w:sz w:val="24"/>
              </w:rPr>
              <w:t>主要内容及交付项</w:t>
            </w:r>
          </w:p>
        </w:tc>
      </w:tr>
      <w:tr w14:paraId="59E1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center"/>
          </w:tcPr>
          <w:p w14:paraId="71CE3849">
            <w:pPr>
              <w:pStyle w:val="54"/>
              <w:snapToGrid w:val="0"/>
              <w:rPr>
                <w:rFonts w:hint="default" w:ascii="Times New Roman" w:eastAsia="宋体"/>
                <w:kern w:val="2"/>
                <w:sz w:val="21"/>
                <w:szCs w:val="21"/>
                <w:lang w:val="en-US" w:eastAsia="zh-CN"/>
              </w:rPr>
            </w:pPr>
            <w:r>
              <w:rPr>
                <w:rFonts w:hint="eastAsia" w:ascii="Times New Roman" w:eastAsia="宋体"/>
                <w:kern w:val="2"/>
                <w:sz w:val="21"/>
                <w:szCs w:val="21"/>
                <w:lang w:val="en-US" w:eastAsia="zh-CN"/>
              </w:rPr>
              <w:t>材料采购</w:t>
            </w:r>
          </w:p>
        </w:tc>
        <w:tc>
          <w:tcPr>
            <w:tcW w:w="1734" w:type="dxa"/>
            <w:noWrap w:val="0"/>
            <w:vAlign w:val="center"/>
          </w:tcPr>
          <w:p w14:paraId="4E19A742">
            <w:pPr>
              <w:adjustRightInd w:val="0"/>
              <w:snapToGrid w:val="0"/>
              <w:spacing w:line="400" w:lineRule="exact"/>
              <w:ind w:right="72"/>
              <w:jc w:val="center"/>
              <w:textAlignment w:val="center"/>
              <w:rPr>
                <w:szCs w:val="21"/>
              </w:rPr>
            </w:pPr>
            <w:r>
              <w:rPr>
                <w:rFonts w:hint="eastAsia"/>
                <w:szCs w:val="21"/>
              </w:rPr>
              <w:t>采购结果确定后</w:t>
            </w:r>
            <w:r>
              <w:rPr>
                <w:rFonts w:hint="eastAsia"/>
                <w:szCs w:val="21"/>
                <w:lang w:val="en-US" w:eastAsia="zh-CN"/>
              </w:rPr>
              <w:t>1</w:t>
            </w:r>
            <w:r>
              <w:rPr>
                <w:rFonts w:hint="eastAsia"/>
                <w:szCs w:val="21"/>
              </w:rPr>
              <w:t>月内</w:t>
            </w:r>
          </w:p>
        </w:tc>
        <w:tc>
          <w:tcPr>
            <w:tcW w:w="5358" w:type="dxa"/>
            <w:noWrap w:val="0"/>
            <w:vAlign w:val="center"/>
          </w:tcPr>
          <w:p w14:paraId="4E51ADAD">
            <w:pPr>
              <w:pStyle w:val="54"/>
              <w:snapToGrid w:val="0"/>
              <w:rPr>
                <w:rFonts w:hint="eastAsia" w:ascii="宋体" w:hAnsi="宋体" w:eastAsia="宋体" w:cs="宋体"/>
                <w:b/>
                <w:kern w:val="2"/>
                <w:sz w:val="21"/>
                <w:szCs w:val="21"/>
              </w:rPr>
            </w:pPr>
            <w:r>
              <w:rPr>
                <w:rFonts w:hint="eastAsia" w:ascii="宋体" w:hAnsi="宋体" w:eastAsia="宋体" w:cs="宋体"/>
                <w:b/>
                <w:kern w:val="2"/>
                <w:sz w:val="21"/>
                <w:szCs w:val="21"/>
              </w:rPr>
              <w:t>主要内容：</w:t>
            </w:r>
          </w:p>
          <w:p w14:paraId="5F85C1B6">
            <w:pPr>
              <w:pStyle w:val="54"/>
              <w:snapToGrid w:val="0"/>
              <w:rPr>
                <w:rFonts w:hint="eastAsia" w:ascii="Times New Roman" w:eastAsia="宋体" w:cs="Times New Roman"/>
                <w:kern w:val="2"/>
                <w:sz w:val="21"/>
                <w:szCs w:val="21"/>
              </w:rPr>
            </w:pPr>
            <w:r>
              <w:rPr>
                <w:rFonts w:hint="eastAsia" w:ascii="Times New Roman" w:eastAsia="宋体" w:cs="Times New Roman"/>
                <w:kern w:val="2"/>
                <w:sz w:val="21"/>
                <w:szCs w:val="21"/>
              </w:rPr>
              <w:t>（1）</w:t>
            </w:r>
            <w:r>
              <w:rPr>
                <w:rFonts w:hint="eastAsia" w:ascii="Times New Roman" w:eastAsia="宋体" w:cs="Times New Roman"/>
                <w:kern w:val="2"/>
                <w:sz w:val="21"/>
                <w:szCs w:val="21"/>
                <w:lang w:val="en-US" w:eastAsia="zh-CN"/>
              </w:rPr>
              <w:t>编制材料清单</w:t>
            </w:r>
            <w:r>
              <w:rPr>
                <w:rFonts w:hint="eastAsia" w:ascii="Times New Roman" w:eastAsia="宋体" w:cs="Times New Roman"/>
                <w:kern w:val="2"/>
                <w:sz w:val="21"/>
                <w:szCs w:val="21"/>
              </w:rPr>
              <w:t>；</w:t>
            </w:r>
            <w:r>
              <w:rPr>
                <w:rFonts w:hint="eastAsia" w:ascii="Times New Roman" w:eastAsia="宋体" w:cs="Times New Roman"/>
                <w:kern w:val="2"/>
                <w:sz w:val="21"/>
                <w:szCs w:val="21"/>
              </w:rPr>
              <w:br w:type="textWrapping"/>
            </w:r>
            <w:r>
              <w:rPr>
                <w:rFonts w:hint="eastAsia" w:ascii="Times New Roman" w:eastAsia="宋体" w:cs="Times New Roman"/>
                <w:kern w:val="2"/>
                <w:sz w:val="21"/>
                <w:szCs w:val="21"/>
              </w:rPr>
              <w:t>（2）</w:t>
            </w:r>
            <w:r>
              <w:rPr>
                <w:rFonts w:hint="eastAsia"/>
                <w:szCs w:val="21"/>
              </w:rPr>
              <w:t>材料采购</w:t>
            </w:r>
            <w:r>
              <w:rPr>
                <w:rFonts w:hint="eastAsia" w:ascii="Times New Roman" w:eastAsia="宋体" w:cs="Times New Roman"/>
                <w:kern w:val="2"/>
                <w:sz w:val="21"/>
                <w:szCs w:val="21"/>
              </w:rPr>
              <w:t>。</w:t>
            </w:r>
          </w:p>
          <w:p w14:paraId="7CBD870C">
            <w:pPr>
              <w:pStyle w:val="54"/>
              <w:snapToGrid w:val="0"/>
              <w:rPr>
                <w:rFonts w:ascii="Times New Roman" w:eastAsia="宋体"/>
                <w:b/>
                <w:kern w:val="2"/>
                <w:sz w:val="21"/>
                <w:szCs w:val="21"/>
              </w:rPr>
            </w:pPr>
            <w:r>
              <w:rPr>
                <w:rFonts w:hint="eastAsia" w:ascii="宋体" w:hAnsi="宋体" w:eastAsia="宋体" w:cs="宋体"/>
                <w:b/>
                <w:kern w:val="2"/>
                <w:sz w:val="21"/>
                <w:szCs w:val="21"/>
              </w:rPr>
              <w:t>交付项</w:t>
            </w:r>
            <w:r>
              <w:rPr>
                <w:rFonts w:hint="eastAsia" w:ascii="宋体" w:hAnsi="宋体" w:eastAsia="宋体" w:cs="宋体"/>
                <w:kern w:val="2"/>
                <w:sz w:val="21"/>
                <w:szCs w:val="21"/>
              </w:rPr>
              <w:t>：</w:t>
            </w:r>
            <w:r>
              <w:rPr>
                <w:rFonts w:hint="eastAsia" w:ascii="宋体" w:hAnsi="宋体" w:eastAsia="宋体" w:cs="宋体"/>
                <w:kern w:val="2"/>
                <w:sz w:val="21"/>
                <w:szCs w:val="21"/>
                <w:lang w:val="en-US" w:eastAsia="zh-CN"/>
              </w:rPr>
              <w:t>样机材料清单</w:t>
            </w:r>
            <w:r>
              <w:rPr>
                <w:rFonts w:hint="eastAsia" w:ascii="宋体" w:hAnsi="宋体" w:eastAsia="宋体" w:cs="宋体"/>
                <w:kern w:val="2"/>
                <w:sz w:val="21"/>
                <w:szCs w:val="21"/>
              </w:rPr>
              <w:t>1份。</w:t>
            </w:r>
          </w:p>
        </w:tc>
      </w:tr>
      <w:tr w14:paraId="2C4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center"/>
          </w:tcPr>
          <w:p w14:paraId="0CF2D0E4">
            <w:pPr>
              <w:pStyle w:val="54"/>
              <w:snapToGrid w:val="0"/>
              <w:rPr>
                <w:rFonts w:hint="default" w:ascii="Times New Roman" w:eastAsia="宋体" w:cs="Times New Roman"/>
                <w:kern w:val="2"/>
                <w:sz w:val="21"/>
                <w:szCs w:val="21"/>
                <w:highlight w:val="none"/>
                <w:lang w:val="en-US" w:eastAsia="zh-CN"/>
              </w:rPr>
            </w:pPr>
            <w:r>
              <w:rPr>
                <w:rFonts w:hint="eastAsia" w:ascii="Times New Roman" w:eastAsia="宋体" w:cs="Times New Roman"/>
                <w:kern w:val="2"/>
                <w:sz w:val="21"/>
                <w:szCs w:val="21"/>
                <w:highlight w:val="none"/>
                <w:lang w:val="en-US" w:eastAsia="zh-CN"/>
              </w:rPr>
              <w:t>高阻接地查找仪设计</w:t>
            </w:r>
          </w:p>
        </w:tc>
        <w:tc>
          <w:tcPr>
            <w:tcW w:w="1734" w:type="dxa"/>
            <w:noWrap w:val="0"/>
            <w:vAlign w:val="center"/>
          </w:tcPr>
          <w:p w14:paraId="310A5E4E">
            <w:pPr>
              <w:spacing w:line="264" w:lineRule="auto"/>
              <w:jc w:val="center"/>
              <w:rPr>
                <w:sz w:val="24"/>
              </w:rPr>
            </w:pPr>
            <w:r>
              <w:rPr>
                <w:rFonts w:hint="eastAsia"/>
                <w:szCs w:val="21"/>
              </w:rPr>
              <w:t>采购结果确定后</w:t>
            </w:r>
            <w:r>
              <w:rPr>
                <w:rFonts w:hint="eastAsia"/>
                <w:szCs w:val="21"/>
                <w:lang w:val="en-US" w:eastAsia="zh-CN"/>
              </w:rPr>
              <w:t>3</w:t>
            </w:r>
            <w:r>
              <w:rPr>
                <w:rFonts w:hint="eastAsia"/>
                <w:szCs w:val="21"/>
              </w:rPr>
              <w:t>月内</w:t>
            </w:r>
          </w:p>
        </w:tc>
        <w:tc>
          <w:tcPr>
            <w:tcW w:w="5358" w:type="dxa"/>
            <w:noWrap w:val="0"/>
            <w:vAlign w:val="center"/>
          </w:tcPr>
          <w:p w14:paraId="6239E6B1">
            <w:pPr>
              <w:pStyle w:val="54"/>
              <w:snapToGrid w:val="0"/>
              <w:rPr>
                <w:rFonts w:ascii="Times New Roman" w:eastAsia="宋体"/>
                <w:b/>
                <w:kern w:val="2"/>
                <w:sz w:val="21"/>
                <w:szCs w:val="21"/>
              </w:rPr>
            </w:pPr>
            <w:r>
              <w:rPr>
                <w:rFonts w:ascii="Times New Roman" w:eastAsia="宋体"/>
                <w:b/>
                <w:kern w:val="2"/>
                <w:sz w:val="21"/>
                <w:szCs w:val="21"/>
              </w:rPr>
              <w:t>主要内容：</w:t>
            </w:r>
          </w:p>
          <w:p w14:paraId="3B5C69FA">
            <w:pPr>
              <w:pStyle w:val="54"/>
              <w:snapToGrid w:val="0"/>
              <w:rPr>
                <w:rFonts w:hint="eastAsia" w:ascii="Times New Roman" w:eastAsia="宋体" w:cs="Times New Roman"/>
                <w:kern w:val="2"/>
                <w:sz w:val="21"/>
                <w:szCs w:val="21"/>
              </w:rPr>
            </w:pPr>
            <w:r>
              <w:rPr>
                <w:rFonts w:hint="eastAsia" w:ascii="Times New Roman" w:eastAsia="宋体" w:cs="Times New Roman"/>
                <w:kern w:val="2"/>
                <w:sz w:val="21"/>
                <w:szCs w:val="21"/>
              </w:rPr>
              <w:t>（1）</w:t>
            </w:r>
            <w:r>
              <w:rPr>
                <w:rFonts w:hint="eastAsia" w:ascii="Times New Roman" w:eastAsia="宋体" w:cs="Times New Roman"/>
                <w:kern w:val="2"/>
                <w:sz w:val="21"/>
                <w:szCs w:val="21"/>
                <w:lang w:val="en-US" w:eastAsia="zh-CN"/>
              </w:rPr>
              <w:t>高阻接地查找仪生产图纸设计</w:t>
            </w:r>
            <w:r>
              <w:rPr>
                <w:rFonts w:hint="eastAsia" w:ascii="Times New Roman" w:eastAsia="宋体" w:cs="Times New Roman"/>
                <w:kern w:val="2"/>
                <w:sz w:val="21"/>
                <w:szCs w:val="21"/>
              </w:rPr>
              <w:t>；</w:t>
            </w:r>
          </w:p>
          <w:p w14:paraId="14896219">
            <w:pPr>
              <w:pStyle w:val="54"/>
              <w:snapToGrid w:val="0"/>
              <w:rPr>
                <w:rFonts w:ascii="Times New Roman" w:eastAsia="宋体"/>
                <w:b/>
                <w:kern w:val="2"/>
                <w:sz w:val="21"/>
                <w:szCs w:val="21"/>
              </w:rPr>
            </w:pPr>
            <w:r>
              <w:rPr>
                <w:rFonts w:ascii="Times New Roman" w:eastAsia="宋体"/>
                <w:b/>
                <w:kern w:val="2"/>
                <w:sz w:val="21"/>
                <w:szCs w:val="21"/>
              </w:rPr>
              <w:t>交付项：</w:t>
            </w:r>
          </w:p>
          <w:p w14:paraId="65994B28">
            <w:pPr>
              <w:pStyle w:val="54"/>
              <w:numPr>
                <w:ilvl w:val="0"/>
                <w:numId w:val="2"/>
              </w:numPr>
              <w:snapToGrid w:val="0"/>
              <w:rPr>
                <w:rFonts w:hint="eastAsia" w:eastAsia="宋体"/>
                <w:szCs w:val="21"/>
                <w:lang w:val="en-US" w:eastAsia="zh-CN"/>
              </w:rPr>
            </w:pPr>
            <w:r>
              <w:rPr>
                <w:rFonts w:hint="eastAsia" w:eastAsia="宋体"/>
                <w:szCs w:val="21"/>
                <w:lang w:val="en-US" w:eastAsia="zh-CN"/>
              </w:rPr>
              <w:t>电路原理图1份；</w:t>
            </w:r>
          </w:p>
          <w:p w14:paraId="4CC168F9">
            <w:pPr>
              <w:pStyle w:val="54"/>
              <w:numPr>
                <w:ilvl w:val="0"/>
                <w:numId w:val="2"/>
              </w:numPr>
              <w:snapToGrid w:val="0"/>
              <w:rPr>
                <w:rFonts w:hint="eastAsia" w:ascii="Times New Roman" w:eastAsia="宋体"/>
              </w:rPr>
            </w:pPr>
            <w:r>
              <w:rPr>
                <w:rFonts w:hint="eastAsia" w:ascii="Times New Roman" w:eastAsia="宋体" w:cs="Times New Roman"/>
                <w:kern w:val="2"/>
                <w:sz w:val="21"/>
                <w:szCs w:val="21"/>
                <w:lang w:val="en-US" w:eastAsia="zh-CN"/>
              </w:rPr>
              <w:t>样机机箱结构图</w:t>
            </w:r>
            <w:bookmarkStart w:id="50" w:name="_GoBack"/>
            <w:bookmarkEnd w:id="50"/>
            <w:r>
              <w:rPr>
                <w:rFonts w:hint="eastAsia" w:ascii="Times New Roman" w:eastAsia="宋体" w:cs="Times New Roman"/>
                <w:kern w:val="2"/>
                <w:sz w:val="21"/>
                <w:szCs w:val="21"/>
              </w:rPr>
              <w:t>。</w:t>
            </w:r>
          </w:p>
        </w:tc>
      </w:tr>
      <w:tr w14:paraId="248D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center"/>
          </w:tcPr>
          <w:p w14:paraId="18F89A74">
            <w:pPr>
              <w:pStyle w:val="54"/>
              <w:snapToGrid w:val="0"/>
              <w:rPr>
                <w:rFonts w:hint="default" w:ascii="Times New Roman" w:eastAsia="宋体" w:cs="Times New Roman"/>
                <w:kern w:val="2"/>
                <w:sz w:val="21"/>
                <w:szCs w:val="21"/>
                <w:highlight w:val="none"/>
                <w:lang w:val="en-US" w:eastAsia="zh-CN"/>
              </w:rPr>
            </w:pPr>
            <w:r>
              <w:rPr>
                <w:rFonts w:hint="eastAsia" w:ascii="Times New Roman" w:eastAsia="宋体" w:cs="Times New Roman"/>
                <w:kern w:val="2"/>
                <w:sz w:val="21"/>
                <w:szCs w:val="21"/>
                <w:highlight w:val="none"/>
                <w:lang w:val="en-US" w:eastAsia="zh-CN"/>
              </w:rPr>
              <w:t>高阻几点查找仪试制</w:t>
            </w:r>
          </w:p>
        </w:tc>
        <w:tc>
          <w:tcPr>
            <w:tcW w:w="1734" w:type="dxa"/>
            <w:noWrap w:val="0"/>
            <w:vAlign w:val="center"/>
          </w:tcPr>
          <w:p w14:paraId="35C52FF6">
            <w:pPr>
              <w:adjustRightInd w:val="0"/>
              <w:snapToGrid w:val="0"/>
              <w:spacing w:line="288" w:lineRule="auto"/>
              <w:ind w:right="72"/>
              <w:jc w:val="center"/>
              <w:rPr>
                <w:sz w:val="24"/>
              </w:rPr>
            </w:pPr>
            <w:r>
              <w:rPr>
                <w:rFonts w:hint="eastAsia"/>
                <w:szCs w:val="21"/>
              </w:rPr>
              <w:t>采购结果确定后</w:t>
            </w:r>
            <w:r>
              <w:rPr>
                <w:rFonts w:hint="eastAsia"/>
                <w:szCs w:val="21"/>
                <w:lang w:val="en-US" w:eastAsia="zh-CN"/>
              </w:rPr>
              <w:t>5</w:t>
            </w:r>
            <w:r>
              <w:rPr>
                <w:rFonts w:hint="eastAsia"/>
                <w:szCs w:val="21"/>
              </w:rPr>
              <w:t>月内</w:t>
            </w:r>
          </w:p>
        </w:tc>
        <w:tc>
          <w:tcPr>
            <w:tcW w:w="5358" w:type="dxa"/>
            <w:noWrap w:val="0"/>
            <w:vAlign w:val="center"/>
          </w:tcPr>
          <w:p w14:paraId="1D40E674">
            <w:pPr>
              <w:pStyle w:val="54"/>
              <w:snapToGrid w:val="0"/>
              <w:rPr>
                <w:rFonts w:ascii="Times New Roman" w:eastAsia="宋体"/>
                <w:b/>
                <w:kern w:val="2"/>
                <w:sz w:val="21"/>
                <w:szCs w:val="21"/>
              </w:rPr>
            </w:pPr>
            <w:r>
              <w:rPr>
                <w:rFonts w:ascii="Times New Roman" w:eastAsia="宋体"/>
                <w:b/>
                <w:kern w:val="2"/>
                <w:sz w:val="21"/>
                <w:szCs w:val="21"/>
              </w:rPr>
              <w:t>主要内容：</w:t>
            </w:r>
          </w:p>
          <w:p w14:paraId="60156997">
            <w:pPr>
              <w:pStyle w:val="54"/>
              <w:snapToGrid w:val="0"/>
              <w:rPr>
                <w:rFonts w:hint="eastAsia" w:ascii="Times New Roman" w:eastAsia="宋体" w:cs="Times New Roman"/>
                <w:kern w:val="2"/>
                <w:sz w:val="21"/>
                <w:szCs w:val="21"/>
              </w:rPr>
            </w:pPr>
            <w:r>
              <w:rPr>
                <w:rFonts w:hint="default" w:ascii="Times New Roman" w:eastAsia="宋体" w:cs="Times New Roman"/>
                <w:kern w:val="2"/>
                <w:sz w:val="21"/>
                <w:szCs w:val="21"/>
              </w:rPr>
              <w:t>（1）高阻绝缘接地查找仪样机试制；</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（2）编写用户操作手册。</w:t>
            </w:r>
          </w:p>
          <w:p w14:paraId="0C383010">
            <w:pPr>
              <w:pStyle w:val="54"/>
              <w:snapToGrid w:val="0"/>
              <w:rPr>
                <w:rFonts w:ascii="Times New Roman" w:eastAsia="宋体"/>
                <w:kern w:val="2"/>
                <w:sz w:val="21"/>
                <w:szCs w:val="21"/>
              </w:rPr>
            </w:pPr>
            <w:r>
              <w:rPr>
                <w:rFonts w:ascii="Times New Roman" w:eastAsia="宋体"/>
                <w:b/>
                <w:kern w:val="2"/>
                <w:sz w:val="21"/>
                <w:szCs w:val="21"/>
              </w:rPr>
              <w:t>交付项：</w:t>
            </w:r>
          </w:p>
          <w:p w14:paraId="7E7C8CBE">
            <w:pPr>
              <w:pStyle w:val="54"/>
              <w:numPr>
                <w:ilvl w:val="0"/>
                <w:numId w:val="3"/>
              </w:numPr>
              <w:snapToGrid w:val="0"/>
              <w:rPr>
                <w:rFonts w:hint="eastAsia" w:ascii="Times New Roman" w:eastAsia="宋体"/>
                <w:kern w:val="2"/>
                <w:sz w:val="21"/>
                <w:szCs w:val="21"/>
                <w:lang w:eastAsia="zh-CN"/>
              </w:rPr>
            </w:pPr>
            <w:r>
              <w:rPr>
                <w:rFonts w:hint="eastAsia" w:ascii="Times New Roman" w:eastAsia="宋体"/>
                <w:kern w:val="2"/>
                <w:sz w:val="21"/>
                <w:szCs w:val="21"/>
                <w:lang w:val="en-US" w:eastAsia="zh-CN"/>
              </w:rPr>
              <w:t>高阻接地查找仪1套</w:t>
            </w:r>
            <w:r>
              <w:rPr>
                <w:rFonts w:hint="eastAsia" w:ascii="Times New Roman" w:eastAsia="宋体"/>
                <w:kern w:val="2"/>
                <w:sz w:val="21"/>
                <w:szCs w:val="21"/>
              </w:rPr>
              <w:t>；</w:t>
            </w:r>
            <w:r>
              <w:rPr>
                <w:rFonts w:hint="eastAsia" w:ascii="Times New Roman" w:eastAsia="宋体"/>
                <w:kern w:val="2"/>
                <w:sz w:val="21"/>
                <w:szCs w:val="21"/>
              </w:rPr>
              <w:br w:type="textWrapping"/>
            </w:r>
            <w:r>
              <w:rPr>
                <w:rFonts w:hint="eastAsia" w:ascii="Times New Roman" w:eastAsia="宋体"/>
                <w:kern w:val="2"/>
                <w:sz w:val="21"/>
                <w:szCs w:val="21"/>
              </w:rPr>
              <w:t>（2）用户操作手册1份</w:t>
            </w:r>
            <w:r>
              <w:rPr>
                <w:rFonts w:hint="eastAsia" w:ascii="Times New Roman" w:eastAsia="宋体"/>
                <w:kern w:val="2"/>
                <w:sz w:val="21"/>
                <w:szCs w:val="21"/>
                <w:lang w:eastAsia="zh-CN"/>
              </w:rPr>
              <w:t>；</w:t>
            </w:r>
          </w:p>
          <w:p w14:paraId="0775C4B8">
            <w:pPr>
              <w:pStyle w:val="54"/>
              <w:numPr>
                <w:ilvl w:val="0"/>
                <w:numId w:val="0"/>
              </w:numPr>
              <w:snapToGrid w:val="0"/>
              <w:rPr>
                <w:rFonts w:hint="default" w:ascii="Times New Roman" w:eastAsia="宋体"/>
                <w:kern w:val="2"/>
                <w:sz w:val="21"/>
                <w:szCs w:val="21"/>
                <w:lang w:val="en-US" w:eastAsia="zh-CN"/>
              </w:rPr>
            </w:pPr>
            <w:r>
              <w:rPr>
                <w:rFonts w:hint="eastAsia" w:ascii="Times New Roman" w:eastAsia="宋体"/>
                <w:kern w:val="2"/>
                <w:sz w:val="21"/>
                <w:szCs w:val="21"/>
                <w:lang w:eastAsia="zh-CN"/>
              </w:rPr>
              <w:t>（</w:t>
            </w:r>
            <w:r>
              <w:rPr>
                <w:rFonts w:hint="eastAsia" w:ascii="Times New Roman" w:eastAsia="宋体"/>
                <w:kern w:val="2"/>
                <w:sz w:val="21"/>
                <w:szCs w:val="21"/>
                <w:lang w:val="en-US" w:eastAsia="zh-CN"/>
              </w:rPr>
              <w:t>3）带CNAS标志的样机第三方检验报告1份</w:t>
            </w:r>
            <w:r>
              <w:rPr>
                <w:rFonts w:hint="eastAsia" w:ascii="Times New Roman" w:eastAsia="宋体"/>
                <w:kern w:val="2"/>
                <w:sz w:val="21"/>
                <w:szCs w:val="21"/>
              </w:rPr>
              <w:t>。</w:t>
            </w:r>
          </w:p>
        </w:tc>
      </w:tr>
      <w:tr w14:paraId="4EE2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4A7FDAFE">
            <w:pPr>
              <w:pStyle w:val="54"/>
              <w:snapToGrid w:val="0"/>
              <w:rPr>
                <w:rFonts w:ascii="Times New Roman"/>
                <w:highlight w:val="none"/>
              </w:rPr>
            </w:pPr>
            <w:r>
              <w:rPr>
                <w:rFonts w:ascii="Times New Roman" w:eastAsia="宋体"/>
                <w:kern w:val="2"/>
                <w:sz w:val="21"/>
                <w:szCs w:val="21"/>
                <w:highlight w:val="none"/>
              </w:rPr>
              <w:t>项目验收</w:t>
            </w:r>
          </w:p>
        </w:tc>
        <w:tc>
          <w:tcPr>
            <w:tcW w:w="1734" w:type="dxa"/>
            <w:noWrap w:val="0"/>
            <w:vAlign w:val="center"/>
          </w:tcPr>
          <w:p w14:paraId="5A1B1BF1">
            <w:pPr>
              <w:adjustRightInd w:val="0"/>
              <w:snapToGrid w:val="0"/>
              <w:spacing w:line="400" w:lineRule="exact"/>
              <w:ind w:right="72"/>
              <w:jc w:val="center"/>
              <w:textAlignment w:val="center"/>
              <w:rPr>
                <w:sz w:val="24"/>
                <w:highlight w:val="none"/>
              </w:rPr>
            </w:pPr>
            <w:r>
              <w:rPr>
                <w:szCs w:val="21"/>
                <w:highlight w:val="none"/>
              </w:rPr>
              <w:t>202</w:t>
            </w:r>
            <w:r>
              <w:rPr>
                <w:rFonts w:hint="eastAsia"/>
                <w:szCs w:val="21"/>
                <w:highlight w:val="none"/>
                <w:lang w:val="en-US" w:eastAsia="zh-CN"/>
              </w:rPr>
              <w:t>6</w:t>
            </w:r>
            <w:r>
              <w:rPr>
                <w:szCs w:val="21"/>
                <w:highlight w:val="none"/>
              </w:rPr>
              <w:t>年</w:t>
            </w:r>
            <w:r>
              <w:rPr>
                <w:rFonts w:hint="eastAsia"/>
                <w:szCs w:val="21"/>
                <w:highlight w:val="none"/>
                <w:lang w:val="en-US" w:eastAsia="zh-CN"/>
              </w:rPr>
              <w:t>12</w:t>
            </w:r>
            <w:r>
              <w:rPr>
                <w:szCs w:val="21"/>
                <w:highlight w:val="none"/>
              </w:rPr>
              <w:t>月</w:t>
            </w:r>
          </w:p>
        </w:tc>
        <w:tc>
          <w:tcPr>
            <w:tcW w:w="5358" w:type="dxa"/>
            <w:noWrap w:val="0"/>
            <w:vAlign w:val="center"/>
          </w:tcPr>
          <w:p w14:paraId="7D9C9501">
            <w:pPr>
              <w:pStyle w:val="54"/>
              <w:snapToGrid w:val="0"/>
              <w:rPr>
                <w:rFonts w:ascii="Times New Roman" w:eastAsia="宋体"/>
                <w:kern w:val="2"/>
                <w:sz w:val="21"/>
                <w:szCs w:val="21"/>
                <w:highlight w:val="none"/>
              </w:rPr>
            </w:pPr>
            <w:r>
              <w:rPr>
                <w:rFonts w:ascii="Times New Roman" w:eastAsia="宋体"/>
                <w:b/>
                <w:kern w:val="2"/>
                <w:sz w:val="21"/>
                <w:szCs w:val="21"/>
                <w:highlight w:val="none"/>
              </w:rPr>
              <w:t>主要内容</w:t>
            </w:r>
            <w:r>
              <w:rPr>
                <w:rFonts w:ascii="Times New Roman" w:eastAsia="宋体"/>
                <w:kern w:val="2"/>
                <w:sz w:val="21"/>
                <w:szCs w:val="21"/>
                <w:highlight w:val="none"/>
              </w:rPr>
              <w:t>：项目结题验收。</w:t>
            </w:r>
          </w:p>
          <w:p w14:paraId="441287F4">
            <w:pPr>
              <w:pStyle w:val="54"/>
              <w:snapToGrid w:val="0"/>
              <w:rPr>
                <w:rFonts w:ascii="Times New Roman" w:eastAsia="宋体"/>
                <w:kern w:val="2"/>
                <w:sz w:val="21"/>
                <w:szCs w:val="21"/>
                <w:highlight w:val="none"/>
              </w:rPr>
            </w:pPr>
            <w:r>
              <w:rPr>
                <w:rFonts w:ascii="Times New Roman" w:eastAsia="宋体"/>
                <w:b/>
                <w:kern w:val="2"/>
                <w:sz w:val="21"/>
                <w:szCs w:val="21"/>
                <w:highlight w:val="none"/>
              </w:rPr>
              <w:t>交付项</w:t>
            </w:r>
            <w:r>
              <w:rPr>
                <w:rFonts w:ascii="Times New Roman" w:eastAsia="宋体"/>
                <w:kern w:val="2"/>
                <w:sz w:val="21"/>
                <w:szCs w:val="21"/>
                <w:highlight w:val="none"/>
              </w:rPr>
              <w:t>：</w:t>
            </w:r>
          </w:p>
          <w:p w14:paraId="5D7B0F13">
            <w:pPr>
              <w:pStyle w:val="54"/>
              <w:numPr>
                <w:ilvl w:val="0"/>
                <w:numId w:val="4"/>
              </w:numPr>
              <w:snapToGrid w:val="0"/>
              <w:rPr>
                <w:rFonts w:hint="eastAsia" w:ascii="Times New Roman" w:eastAsia="宋体"/>
                <w:kern w:val="2"/>
                <w:sz w:val="21"/>
                <w:szCs w:val="21"/>
                <w:lang w:val="en-US" w:eastAsia="zh-CN"/>
              </w:rPr>
            </w:pPr>
            <w:r>
              <w:rPr>
                <w:rFonts w:hint="eastAsia" w:ascii="Times New Roman" w:eastAsia="宋体" w:cs="Times New Roman"/>
                <w:kern w:val="2"/>
                <w:sz w:val="21"/>
                <w:szCs w:val="21"/>
                <w:lang w:val="en-US" w:eastAsia="zh-CN"/>
              </w:rPr>
              <w:t>高阻接地查找仪1套</w:t>
            </w:r>
            <w:r>
              <w:rPr>
                <w:rFonts w:hint="eastAsia" w:ascii="Times New Roman" w:eastAsia="宋体" w:cs="Times New Roman"/>
                <w:kern w:val="2"/>
                <w:sz w:val="21"/>
                <w:szCs w:val="21"/>
              </w:rPr>
              <w:t>；</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（2）</w:t>
            </w:r>
            <w:r>
              <w:rPr>
                <w:rFonts w:hint="eastAsia" w:ascii="Times New Roman" w:eastAsia="宋体" w:cs="Times New Roman"/>
                <w:kern w:val="2"/>
                <w:sz w:val="21"/>
                <w:szCs w:val="21"/>
                <w:lang w:val="en-US" w:eastAsia="zh-CN"/>
              </w:rPr>
              <w:t>编写专利申请材料</w:t>
            </w:r>
            <w:r>
              <w:rPr>
                <w:rFonts w:hint="default" w:ascii="Times New Roman" w:eastAsia="宋体" w:cs="Times New Roman"/>
                <w:kern w:val="2"/>
                <w:sz w:val="21"/>
                <w:szCs w:val="21"/>
              </w:rPr>
              <w:t>1</w:t>
            </w:r>
            <w:r>
              <w:rPr>
                <w:rFonts w:hint="eastAsia" w:ascii="Times New Roman" w:eastAsia="宋体" w:cs="Times New Roman"/>
                <w:kern w:val="2"/>
                <w:sz w:val="21"/>
                <w:szCs w:val="21"/>
                <w:lang w:val="en-US" w:eastAsia="zh-CN"/>
              </w:rPr>
              <w:t>份</w:t>
            </w:r>
            <w:r>
              <w:rPr>
                <w:rFonts w:hint="default" w:ascii="Times New Roman" w:eastAsia="宋体" w:cs="Times New Roman"/>
                <w:kern w:val="2"/>
                <w:sz w:val="21"/>
                <w:szCs w:val="21"/>
              </w:rPr>
              <w:t>；</w:t>
            </w:r>
            <w:r>
              <w:rPr>
                <w:rFonts w:hint="default" w:ascii="Times New Roman" w:eastAsia="宋体" w:cs="Times New Roman"/>
                <w:kern w:val="2"/>
                <w:sz w:val="21"/>
                <w:szCs w:val="21"/>
              </w:rPr>
              <w:br w:type="textWrapping"/>
            </w:r>
            <w:r>
              <w:rPr>
                <w:rFonts w:hint="default" w:ascii="Times New Roman" w:eastAsia="宋体" w:cs="Times New Roman"/>
                <w:kern w:val="2"/>
                <w:sz w:val="21"/>
                <w:szCs w:val="21"/>
              </w:rPr>
              <w:t>（3）</w:t>
            </w:r>
            <w:r>
              <w:rPr>
                <w:rFonts w:hint="eastAsia" w:ascii="Times New Roman" w:eastAsia="宋体"/>
                <w:kern w:val="2"/>
                <w:sz w:val="21"/>
                <w:szCs w:val="21"/>
                <w:lang w:val="en-US" w:eastAsia="zh-CN"/>
              </w:rPr>
              <w:t>样机第三方检验报告1份；</w:t>
            </w:r>
          </w:p>
          <w:p w14:paraId="14A56BB5">
            <w:pPr>
              <w:pStyle w:val="54"/>
              <w:numPr>
                <w:ilvl w:val="0"/>
                <w:numId w:val="0"/>
              </w:numPr>
              <w:snapToGrid w:val="0"/>
              <w:rPr>
                <w:rFonts w:ascii="Times New Roman"/>
                <w:highlight w:val="none"/>
              </w:rPr>
            </w:pPr>
            <w:r>
              <w:rPr>
                <w:rFonts w:hint="eastAsia" w:ascii="Times New Roman" w:eastAsia="宋体" w:cs="Times New Roman"/>
                <w:kern w:val="2"/>
                <w:sz w:val="21"/>
                <w:szCs w:val="21"/>
                <w:lang w:eastAsia="zh-CN"/>
              </w:rPr>
              <w:t>（</w:t>
            </w:r>
            <w:r>
              <w:rPr>
                <w:rFonts w:hint="eastAsia" w:ascii="Times New Roman" w:eastAsia="宋体" w:cs="Times New Roman"/>
                <w:kern w:val="2"/>
                <w:sz w:val="21"/>
                <w:szCs w:val="21"/>
                <w:lang w:val="en-US" w:eastAsia="zh-CN"/>
              </w:rPr>
              <w:t>4）</w:t>
            </w:r>
            <w:r>
              <w:rPr>
                <w:rFonts w:hint="default" w:ascii="Times New Roman" w:eastAsia="宋体" w:cs="Times New Roman"/>
                <w:kern w:val="2"/>
                <w:sz w:val="21"/>
                <w:szCs w:val="21"/>
              </w:rPr>
              <w:t>项目验收材料全套。</w:t>
            </w:r>
          </w:p>
        </w:tc>
      </w:tr>
    </w:tbl>
    <w:p w14:paraId="77EE51CD">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3"/>
      <w:bookmarkEnd w:id="34"/>
      <w:bookmarkEnd w:id="35"/>
      <w:bookmarkEnd w:id="36"/>
      <w:bookmarkEnd w:id="37"/>
      <w:bookmarkEnd w:id="38"/>
      <w:bookmarkEnd w:id="39"/>
    </w:p>
    <w:p w14:paraId="0CC52F0B">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03AA7F5C">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0"/>
    </w:p>
    <w:p w14:paraId="21B31973">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5B1D8E"/>
    <w:multiLevelType w:val="singleLevel"/>
    <w:tmpl w:val="E65B1D8E"/>
    <w:lvl w:ilvl="0" w:tentative="0">
      <w:start w:val="1"/>
      <w:numFmt w:val="decimal"/>
      <w:suff w:val="nothing"/>
      <w:lvlText w:val="（%1）"/>
      <w:lvlJc w:val="left"/>
    </w:lvl>
  </w:abstractNum>
  <w:abstractNum w:abstractNumId="1">
    <w:nsid w:val="00000010"/>
    <w:multiLevelType w:val="multilevel"/>
    <w:tmpl w:val="00000010"/>
    <w:lvl w:ilvl="0" w:tentative="0">
      <w:start w:val="1"/>
      <w:numFmt w:val="decimal"/>
      <w:pStyle w:val="4"/>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abstractNum w:abstractNumId="2">
    <w:nsid w:val="586B85DA"/>
    <w:multiLevelType w:val="singleLevel"/>
    <w:tmpl w:val="586B85DA"/>
    <w:lvl w:ilvl="0" w:tentative="0">
      <w:start w:val="1"/>
      <w:numFmt w:val="decimal"/>
      <w:suff w:val="nothing"/>
      <w:lvlText w:val="（%1）"/>
      <w:lvlJc w:val="left"/>
    </w:lvl>
  </w:abstractNum>
  <w:abstractNum w:abstractNumId="3">
    <w:nsid w:val="5FECA6C4"/>
    <w:multiLevelType w:val="singleLevel"/>
    <w:tmpl w:val="5FECA6C4"/>
    <w:lvl w:ilvl="0" w:tentative="0">
      <w:start w:val="1"/>
      <w:numFmt w:val="decimal"/>
      <w:suff w:val="nothing"/>
      <w:lvlText w:val="（%1）"/>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6D27AF8"/>
    <w:rsid w:val="06F2484F"/>
    <w:rsid w:val="0A210078"/>
    <w:rsid w:val="0C030754"/>
    <w:rsid w:val="0CA05D46"/>
    <w:rsid w:val="0E263246"/>
    <w:rsid w:val="0F306C8D"/>
    <w:rsid w:val="0F966A31"/>
    <w:rsid w:val="10550F6F"/>
    <w:rsid w:val="128F30ED"/>
    <w:rsid w:val="12BD66DE"/>
    <w:rsid w:val="13132954"/>
    <w:rsid w:val="163A1216"/>
    <w:rsid w:val="166F3EB8"/>
    <w:rsid w:val="191A5617"/>
    <w:rsid w:val="1A0A5C1B"/>
    <w:rsid w:val="1BD511FB"/>
    <w:rsid w:val="1F8A11CF"/>
    <w:rsid w:val="20CB044E"/>
    <w:rsid w:val="20F20322"/>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6515C79"/>
    <w:rsid w:val="373C54BB"/>
    <w:rsid w:val="37643739"/>
    <w:rsid w:val="37E33064"/>
    <w:rsid w:val="3B016E25"/>
    <w:rsid w:val="3B4F326E"/>
    <w:rsid w:val="3C0F5DF2"/>
    <w:rsid w:val="3EF75647"/>
    <w:rsid w:val="3FC46A7B"/>
    <w:rsid w:val="40C512FC"/>
    <w:rsid w:val="428F0505"/>
    <w:rsid w:val="42C6746E"/>
    <w:rsid w:val="42EE5CD4"/>
    <w:rsid w:val="45D97826"/>
    <w:rsid w:val="45F20916"/>
    <w:rsid w:val="46927C50"/>
    <w:rsid w:val="48736764"/>
    <w:rsid w:val="48D82303"/>
    <w:rsid w:val="4D3F13B6"/>
    <w:rsid w:val="4DFF75F2"/>
    <w:rsid w:val="52420D12"/>
    <w:rsid w:val="56061A78"/>
    <w:rsid w:val="5643156F"/>
    <w:rsid w:val="57AF48B9"/>
    <w:rsid w:val="592823C4"/>
    <w:rsid w:val="592C035C"/>
    <w:rsid w:val="5981212C"/>
    <w:rsid w:val="5B187842"/>
    <w:rsid w:val="5D615387"/>
    <w:rsid w:val="61C27952"/>
    <w:rsid w:val="6212562E"/>
    <w:rsid w:val="62DB3950"/>
    <w:rsid w:val="62F53AC8"/>
    <w:rsid w:val="637B25C6"/>
    <w:rsid w:val="63D72C4E"/>
    <w:rsid w:val="66FE4F15"/>
    <w:rsid w:val="69A41DA4"/>
    <w:rsid w:val="69BA736E"/>
    <w:rsid w:val="6A5A6906"/>
    <w:rsid w:val="6AA13404"/>
    <w:rsid w:val="6BCF0AA5"/>
    <w:rsid w:val="6BEF5D56"/>
    <w:rsid w:val="6C17004B"/>
    <w:rsid w:val="6E062826"/>
    <w:rsid w:val="6F0B1CE7"/>
    <w:rsid w:val="6F664872"/>
    <w:rsid w:val="6F942155"/>
    <w:rsid w:val="704439AD"/>
    <w:rsid w:val="74366DF1"/>
    <w:rsid w:val="74F35D39"/>
    <w:rsid w:val="75083064"/>
    <w:rsid w:val="75110011"/>
    <w:rsid w:val="76C911C0"/>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5">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style>
  <w:style w:type="paragraph" w:styleId="3">
    <w:name w:val="Body Text Indent"/>
    <w:basedOn w:val="1"/>
    <w:unhideWhenUsed/>
    <w:qFormat/>
    <w:uiPriority w:val="99"/>
    <w:pPr>
      <w:spacing w:after="120"/>
      <w:ind w:left="420" w:leftChars="200"/>
    </w:pPr>
  </w:style>
  <w:style w:type="paragraph" w:styleId="6">
    <w:name w:val="Body Text"/>
    <w:basedOn w:val="7"/>
    <w:next w:val="7"/>
    <w:qFormat/>
    <w:uiPriority w:val="99"/>
    <w:pPr>
      <w:ind w:firstLine="880" w:firstLineChars="200"/>
    </w:pPr>
    <w:rPr>
      <w:rFonts w:ascii="仿宋_GB2312" w:hAnsi="仿宋_GB2312" w:eastAsia="仿宋_GB2312" w:cs="Arial"/>
      <w:sz w:val="32"/>
      <w:szCs w:val="20"/>
    </w:rPr>
  </w:style>
  <w:style w:type="paragraph" w:styleId="7">
    <w:name w:val="Title"/>
    <w:basedOn w:val="1"/>
    <w:next w:val="1"/>
    <w:qFormat/>
    <w:uiPriority w:val="99"/>
    <w:pPr>
      <w:spacing w:before="240" w:after="60"/>
      <w:jc w:val="center"/>
      <w:outlineLvl w:val="0"/>
    </w:pPr>
    <w:rPr>
      <w:rFonts w:ascii="Arial" w:hAnsi="Arial"/>
      <w:b/>
      <w:bCs/>
      <w:sz w:val="32"/>
      <w:szCs w:val="32"/>
    </w:rPr>
  </w:style>
  <w:style w:type="paragraph" w:styleId="8">
    <w:name w:val="Plain Text"/>
    <w:basedOn w:val="1"/>
    <w:qFormat/>
    <w:uiPriority w:val="0"/>
    <w:rPr>
      <w:rFonts w:ascii="宋体" w:hAnsi="Courier New"/>
      <w:szCs w:val="21"/>
    </w:rPr>
  </w:style>
  <w:style w:type="paragraph" w:styleId="9">
    <w:name w:val="footer"/>
    <w:basedOn w:val="1"/>
    <w:qFormat/>
    <w:uiPriority w:val="99"/>
    <w:pPr>
      <w:tabs>
        <w:tab w:val="center" w:pos="4153"/>
        <w:tab w:val="right" w:pos="8306"/>
      </w:tabs>
      <w:snapToGrid w:val="0"/>
    </w:pPr>
    <w:rPr>
      <w:sz w:val="18"/>
      <w:szCs w:val="18"/>
    </w:rPr>
  </w:style>
  <w:style w:type="paragraph" w:styleId="10">
    <w:name w:val="toc 2"/>
    <w:basedOn w:val="1"/>
    <w:next w:val="1"/>
    <w:unhideWhenUsed/>
    <w:qFormat/>
    <w:uiPriority w:val="39"/>
    <w:pPr>
      <w:widowControl/>
      <w:spacing w:after="100" w:line="259" w:lineRule="auto"/>
      <w:ind w:left="220"/>
    </w:pPr>
    <w:rPr>
      <w:kern w:val="0"/>
      <w:sz w:val="22"/>
    </w:rPr>
  </w:style>
  <w:style w:type="paragraph" w:styleId="11">
    <w:name w:val="Normal (Web)"/>
    <w:basedOn w:val="1"/>
    <w:qFormat/>
    <w:uiPriority w:val="0"/>
    <w:pPr>
      <w:spacing w:beforeAutospacing="1" w:afterAutospacing="1"/>
    </w:pPr>
    <w:rPr>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3300</Words>
  <Characters>3510</Characters>
  <Lines>122</Lines>
  <Paragraphs>127</Paragraphs>
  <TotalTime>22</TotalTime>
  <ScaleCrop>false</ScaleCrop>
  <LinksUpToDate>false</LinksUpToDate>
  <CharactersWithSpaces>3571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X加二大于四的解集</cp:lastModifiedBy>
  <dcterms:modified xsi:type="dcterms:W3CDTF">2026-07-23T00:17:28Z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8E05409619984AD8B6435F47CE31167C_13</vt:lpwstr>
  </property>
  <property fmtid="{D5CDD505-2E9C-101B-9397-08002B2CF9AE}" pid="4" name="KSOTemplateDocerSaveRecord">
    <vt:lpwstr>eyJoZGlkIjoiMjllZDJlNWQ4NTRiMjljNzhkY2Y1ZjViNzM1NmQwNDgiLCJ1c2VySWQiOiI1NTgxOTM5NzgifQ==</vt:lpwstr>
  </property>
</Properties>
</file>