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B37664">
      <w:pPr>
        <w:keepNext/>
        <w:keepLines/>
        <w:pageBreakBefore w:val="0"/>
        <w:widowControl/>
        <w:kinsoku/>
        <w:wordWrap/>
        <w:overflowPunct/>
        <w:topLinePunct w:val="0"/>
        <w:bidi w:val="0"/>
        <w:adjustRightInd w:val="0"/>
        <w:snapToGrid w:val="0"/>
        <w:spacing w:line="360" w:lineRule="auto"/>
        <w:rPr>
          <w:b/>
          <w:color w:val="000000"/>
          <w:sz w:val="28"/>
          <w:szCs w:val="28"/>
        </w:rPr>
      </w:pPr>
      <w:r>
        <w:rPr>
          <w:rFonts w:hint="eastAsia"/>
          <w:b/>
          <w:color w:val="000000"/>
          <w:sz w:val="28"/>
          <w:szCs w:val="28"/>
        </w:rPr>
        <w:t>附件</w:t>
      </w:r>
      <w:r>
        <w:rPr>
          <w:rFonts w:hint="eastAsia"/>
          <w:b/>
          <w:color w:val="000000"/>
          <w:sz w:val="28"/>
          <w:szCs w:val="28"/>
          <w:lang w:val="en-US" w:eastAsia="zh-CN"/>
        </w:rPr>
        <w:t>1</w:t>
      </w:r>
      <w:r>
        <w:rPr>
          <w:rFonts w:hint="eastAsia"/>
          <w:b/>
          <w:color w:val="000000"/>
          <w:sz w:val="28"/>
          <w:szCs w:val="28"/>
        </w:rPr>
        <w:t>: 供应商资格要求</w:t>
      </w:r>
    </w:p>
    <w:tbl>
      <w:tblPr>
        <w:tblStyle w:val="7"/>
        <w:tblW w:w="8306" w:type="dxa"/>
        <w:jc w:val="center"/>
        <w:tblLayout w:type="autofit"/>
        <w:tblCellMar>
          <w:top w:w="0" w:type="dxa"/>
          <w:left w:w="0" w:type="dxa"/>
          <w:bottom w:w="0" w:type="dxa"/>
          <w:right w:w="0" w:type="dxa"/>
        </w:tblCellMar>
      </w:tblPr>
      <w:tblGrid>
        <w:gridCol w:w="516"/>
        <w:gridCol w:w="7790"/>
      </w:tblGrid>
      <w:tr w14:paraId="6738F58A">
        <w:tblPrEx>
          <w:tblCellMar>
            <w:top w:w="0" w:type="dxa"/>
            <w:left w:w="0" w:type="dxa"/>
            <w:bottom w:w="0" w:type="dxa"/>
            <w:right w:w="0" w:type="dxa"/>
          </w:tblCellMar>
        </w:tblPrEx>
        <w:trPr>
          <w:trHeight w:val="0" w:hRule="atLeast"/>
          <w:tblHeader/>
          <w:jc w:val="center"/>
        </w:trPr>
        <w:tc>
          <w:tcPr>
            <w:tcW w:w="8306" w:type="dxa"/>
            <w:gridSpan w:val="2"/>
            <w:tcBorders>
              <w:top w:val="nil"/>
              <w:left w:val="nil"/>
              <w:bottom w:val="single" w:color="000000" w:sz="6" w:space="0"/>
              <w:right w:val="nil"/>
            </w:tcBorders>
            <w:shd w:val="clear" w:color="auto" w:fill="auto"/>
            <w:noWrap w:val="0"/>
            <w:vAlign w:val="center"/>
          </w:tcPr>
          <w:p w14:paraId="6691F9B9">
            <w:pPr>
              <w:keepNext/>
              <w:keepLines/>
              <w:pageBreakBefore w:val="0"/>
              <w:kinsoku/>
              <w:wordWrap/>
              <w:overflowPunct/>
              <w:topLinePunct w:val="0"/>
              <w:bidi w:val="0"/>
              <w:snapToGrid w:val="0"/>
              <w:ind w:left="0" w:leftChars="0" w:right="0" w:rightChars="0" w:firstLine="0" w:firstLineChars="0"/>
              <w:jc w:val="left"/>
              <w:rPr>
                <w:rFonts w:hint="eastAsia" w:ascii="宋体" w:hAnsi="宋体"/>
                <w:sz w:val="24"/>
              </w:rPr>
            </w:pPr>
            <w:r>
              <w:rPr>
                <w:rFonts w:hint="eastAsia" w:ascii="宋体" w:hAnsi="宋体"/>
                <w:b/>
                <w:sz w:val="24"/>
              </w:rPr>
              <w:t>通用资格：</w:t>
            </w:r>
          </w:p>
        </w:tc>
      </w:tr>
      <w:tr w14:paraId="1DC3391E">
        <w:tblPrEx>
          <w:tblCellMar>
            <w:top w:w="0" w:type="dxa"/>
            <w:left w:w="0" w:type="dxa"/>
            <w:bottom w:w="0" w:type="dxa"/>
            <w:right w:w="0" w:type="dxa"/>
          </w:tblCellMar>
        </w:tblPrEx>
        <w:trPr>
          <w:trHeight w:val="0" w:hRule="atLeast"/>
          <w:tblHeader/>
          <w:jc w:val="center"/>
        </w:trPr>
        <w:tc>
          <w:tcPr>
            <w:tcW w:w="8306" w:type="dxa"/>
            <w:gridSpan w:val="2"/>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32E60B0C">
            <w:pPr>
              <w:keepNext/>
              <w:keepLines/>
              <w:pageBreakBefore w:val="0"/>
              <w:kinsoku/>
              <w:wordWrap/>
              <w:overflowPunct/>
              <w:topLinePunct w:val="0"/>
              <w:bidi w:val="0"/>
              <w:snapToGrid w:val="0"/>
              <w:ind w:left="0" w:leftChars="0" w:right="0" w:rightChars="0" w:firstLine="0" w:firstLineChars="0"/>
              <w:jc w:val="center"/>
              <w:rPr>
                <w:rFonts w:hint="eastAsia" w:ascii="宋体" w:hAnsi="宋体"/>
                <w:sz w:val="24"/>
              </w:rPr>
            </w:pPr>
            <w:r>
              <w:rPr>
                <w:rFonts w:hint="eastAsia" w:ascii="宋体" w:hAnsi="宋体"/>
                <w:b/>
                <w:sz w:val="24"/>
              </w:rPr>
              <w:t>通用资格要求</w:t>
            </w:r>
          </w:p>
        </w:tc>
      </w:tr>
      <w:tr w14:paraId="18BA1446">
        <w:tblPrEx>
          <w:tblCellMar>
            <w:top w:w="0" w:type="dxa"/>
            <w:left w:w="0" w:type="dxa"/>
            <w:bottom w:w="0" w:type="dxa"/>
            <w:right w:w="0" w:type="dxa"/>
          </w:tblCellMar>
        </w:tblPrEx>
        <w:trPr>
          <w:trHeight w:val="0" w:hRule="atLeast"/>
          <w:tblHeader/>
          <w:jc w:val="center"/>
        </w:trPr>
        <w:tc>
          <w:tcPr>
            <w:tcW w:w="516"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04414EF7">
            <w:pPr>
              <w:keepNext/>
              <w:keepLines/>
              <w:pageBreakBefore w:val="0"/>
              <w:kinsoku/>
              <w:wordWrap/>
              <w:overflowPunct/>
              <w:topLinePunct w:val="0"/>
              <w:bidi w:val="0"/>
              <w:snapToGrid w:val="0"/>
              <w:ind w:left="0" w:leftChars="0" w:right="0" w:rightChars="0" w:firstLine="0" w:firstLineChars="0"/>
              <w:jc w:val="center"/>
              <w:rPr>
                <w:rFonts w:hint="eastAsia" w:ascii="宋体" w:hAnsi="宋体"/>
                <w:sz w:val="24"/>
              </w:rPr>
            </w:pPr>
            <w:r>
              <w:rPr>
                <w:rFonts w:hint="eastAsia" w:ascii="宋体" w:hAnsi="宋体"/>
                <w:b/>
                <w:sz w:val="24"/>
              </w:rPr>
              <w:t>序号</w:t>
            </w:r>
          </w:p>
        </w:tc>
        <w:tc>
          <w:tcPr>
            <w:tcW w:w="7790"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7793F21F">
            <w:pPr>
              <w:keepNext/>
              <w:keepLines/>
              <w:pageBreakBefore w:val="0"/>
              <w:kinsoku/>
              <w:wordWrap/>
              <w:overflowPunct/>
              <w:topLinePunct w:val="0"/>
              <w:bidi w:val="0"/>
              <w:snapToGrid w:val="0"/>
              <w:ind w:left="0" w:leftChars="0" w:right="0" w:rightChars="0" w:firstLine="0" w:firstLineChars="0"/>
              <w:jc w:val="center"/>
              <w:rPr>
                <w:rFonts w:hint="eastAsia" w:ascii="宋体" w:hAnsi="宋体"/>
                <w:sz w:val="24"/>
              </w:rPr>
            </w:pPr>
            <w:r>
              <w:rPr>
                <w:rFonts w:hint="eastAsia" w:ascii="宋体" w:hAnsi="宋体"/>
                <w:b/>
                <w:sz w:val="24"/>
              </w:rPr>
              <w:t>内容</w:t>
            </w:r>
          </w:p>
        </w:tc>
      </w:tr>
      <w:tr w14:paraId="33D574C4">
        <w:tblPrEx>
          <w:tblCellMar>
            <w:top w:w="0" w:type="dxa"/>
            <w:left w:w="0" w:type="dxa"/>
            <w:bottom w:w="0" w:type="dxa"/>
            <w:right w:w="0" w:type="dxa"/>
          </w:tblCellMar>
        </w:tblPrEx>
        <w:trPr>
          <w:trHeight w:val="0" w:hRule="atLeast"/>
          <w:jc w:val="center"/>
        </w:trPr>
        <w:tc>
          <w:tcPr>
            <w:tcW w:w="516"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247E28B1">
            <w:pPr>
              <w:keepNext/>
              <w:keepLines/>
              <w:pageBreakBefore w:val="0"/>
              <w:kinsoku/>
              <w:wordWrap/>
              <w:overflowPunct/>
              <w:topLinePunct w:val="0"/>
              <w:bidi w:val="0"/>
              <w:snapToGrid w:val="0"/>
              <w:ind w:left="0" w:leftChars="0" w:right="0" w:rightChars="0" w:firstLine="0" w:firstLineChars="0"/>
              <w:jc w:val="center"/>
              <w:rPr>
                <w:rFonts w:hint="eastAsia" w:ascii="仿宋_GB2312" w:hAnsi="宋体" w:eastAsia="仿宋_GB2312"/>
                <w:sz w:val="21"/>
                <w:lang w:eastAsia="zh-CN"/>
              </w:rPr>
            </w:pPr>
            <w:r>
              <w:rPr>
                <w:rFonts w:hint="eastAsia" w:ascii="仿宋_GB2312" w:hAnsi="宋体" w:eastAsia="仿宋_GB2312"/>
                <w:sz w:val="21"/>
                <w:lang w:val="en-US" w:eastAsia="zh-CN"/>
              </w:rPr>
              <w:t>1</w:t>
            </w:r>
          </w:p>
        </w:tc>
        <w:tc>
          <w:tcPr>
            <w:tcW w:w="7790"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2925BC1B">
            <w:pPr>
              <w:keepNext/>
              <w:keepLines/>
              <w:pageBreakBefore w:val="0"/>
              <w:widowControl/>
              <w:suppressLineNumbers w:val="0"/>
              <w:kinsoku/>
              <w:wordWrap/>
              <w:overflowPunct/>
              <w:topLinePunct w:val="0"/>
              <w:autoSpaceDE/>
              <w:autoSpaceDN/>
              <w:bidi w:val="0"/>
              <w:snapToGrid w:val="0"/>
              <w:ind w:left="0" w:leftChars="0" w:right="0" w:rightChars="0" w:firstLine="0" w:firstLineChars="0"/>
              <w:jc w:val="left"/>
              <w:textAlignment w:val="center"/>
              <w:rPr>
                <w:rFonts w:hint="eastAsia" w:ascii="仿宋_GB2312" w:hAnsi="宋体" w:eastAsia="仿宋_GB2312"/>
                <w:i/>
                <w:iCs/>
                <w:sz w:val="21"/>
                <w:lang w:eastAsia="zh-CN"/>
              </w:rPr>
            </w:pPr>
            <w:r>
              <w:rPr>
                <w:rFonts w:hint="eastAsia" w:ascii="仿宋_GB2312" w:hAnsi="仿宋_GB2312" w:eastAsia="仿宋_GB2312" w:cs="仿宋_GB2312"/>
                <w:i w:val="0"/>
                <w:color w:val="auto"/>
                <w:sz w:val="21"/>
                <w:szCs w:val="21"/>
                <w:u w:val="none"/>
              </w:rPr>
              <w:t xml:space="preserve">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 </w:t>
            </w:r>
          </w:p>
        </w:tc>
      </w:tr>
      <w:tr w14:paraId="788F43CE">
        <w:tblPrEx>
          <w:tblCellMar>
            <w:top w:w="0" w:type="dxa"/>
            <w:left w:w="0" w:type="dxa"/>
            <w:bottom w:w="0" w:type="dxa"/>
            <w:right w:w="0" w:type="dxa"/>
          </w:tblCellMar>
        </w:tblPrEx>
        <w:trPr>
          <w:trHeight w:val="0" w:hRule="atLeast"/>
          <w:jc w:val="center"/>
        </w:trPr>
        <w:tc>
          <w:tcPr>
            <w:tcW w:w="516"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58B416BC">
            <w:pPr>
              <w:keepNext/>
              <w:keepLines/>
              <w:pageBreakBefore w:val="0"/>
              <w:kinsoku/>
              <w:wordWrap/>
              <w:overflowPunct/>
              <w:topLinePunct w:val="0"/>
              <w:bidi w:val="0"/>
              <w:snapToGrid w:val="0"/>
              <w:ind w:left="0" w:leftChars="0" w:right="0" w:rightChars="0" w:firstLine="0" w:firstLineChars="0"/>
              <w:jc w:val="center"/>
              <w:rPr>
                <w:rFonts w:hint="eastAsia" w:ascii="仿宋_GB2312" w:hAnsi="宋体" w:eastAsia="仿宋_GB2312"/>
                <w:sz w:val="21"/>
                <w:lang w:eastAsia="zh-CN"/>
              </w:rPr>
            </w:pPr>
            <w:r>
              <w:rPr>
                <w:rFonts w:hint="eastAsia" w:ascii="仿宋_GB2312" w:hAnsi="宋体" w:eastAsia="仿宋_GB2312"/>
                <w:sz w:val="21"/>
                <w:lang w:val="en-US" w:eastAsia="zh-CN"/>
              </w:rPr>
              <w:t>2</w:t>
            </w:r>
          </w:p>
        </w:tc>
        <w:tc>
          <w:tcPr>
            <w:tcW w:w="7790"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63B5B158">
            <w:pPr>
              <w:keepNext/>
              <w:keepLines/>
              <w:pageBreakBefore w:val="0"/>
              <w:shd w:val="clear" w:color="auto" w:fill="auto"/>
              <w:kinsoku/>
              <w:wordWrap/>
              <w:overflowPunct/>
              <w:topLinePunct w:val="0"/>
              <w:bidi w:val="0"/>
              <w:snapToGrid w:val="0"/>
              <w:ind w:left="0" w:leftChars="0" w:right="0" w:rightChars="0" w:firstLine="0" w:firstLineChars="0"/>
              <w:jc w:val="left"/>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提供近三年经审计的财务报告(</w:t>
            </w:r>
            <w:r>
              <w:rPr>
                <w:rFonts w:hint="eastAsia" w:ascii="仿宋_GB2312" w:hAnsi="仿宋_GB2312" w:eastAsia="仿宋_GB2312" w:cs="仿宋_GB2312"/>
                <w:color w:val="auto"/>
                <w:kern w:val="0"/>
                <w:sz w:val="21"/>
                <w:szCs w:val="21"/>
                <w:lang w:val="en-US" w:eastAsia="zh-CN" w:bidi="ar"/>
              </w:rPr>
              <w:t>2023-2025</w:t>
            </w:r>
            <w:r>
              <w:rPr>
                <w:rFonts w:hint="eastAsia" w:ascii="仿宋_GB2312" w:hAnsi="仿宋_GB2312" w:eastAsia="仿宋_GB2312" w:cs="仿宋_GB2312"/>
                <w:color w:val="auto"/>
                <w:kern w:val="0"/>
                <w:sz w:val="21"/>
                <w:szCs w:val="21"/>
                <w:lang w:bidi="ar"/>
              </w:rPr>
              <w:t>年报告。如</w:t>
            </w:r>
            <w:r>
              <w:rPr>
                <w:rFonts w:hint="eastAsia" w:ascii="仿宋_GB2312" w:hAnsi="仿宋_GB2312" w:eastAsia="仿宋_GB2312" w:cs="仿宋_GB2312"/>
                <w:color w:val="auto"/>
                <w:kern w:val="0"/>
                <w:sz w:val="21"/>
                <w:szCs w:val="21"/>
                <w:lang w:val="en-US" w:eastAsia="zh-CN" w:bidi="ar"/>
              </w:rPr>
              <w:t>2025</w:t>
            </w:r>
            <w:r>
              <w:rPr>
                <w:rFonts w:hint="eastAsia" w:ascii="仿宋_GB2312" w:hAnsi="仿宋_GB2312" w:eastAsia="仿宋_GB2312" w:cs="仿宋_GB2312"/>
                <w:color w:val="auto"/>
                <w:kern w:val="0"/>
                <w:sz w:val="21"/>
                <w:szCs w:val="21"/>
                <w:lang w:bidi="ar"/>
              </w:rPr>
              <w:t>年报告未发布，则提供相关原因声明及</w:t>
            </w:r>
            <w:r>
              <w:rPr>
                <w:rFonts w:hint="eastAsia" w:ascii="仿宋_GB2312" w:hAnsi="仿宋_GB2312" w:eastAsia="仿宋_GB2312" w:cs="仿宋_GB2312"/>
                <w:color w:val="auto"/>
                <w:kern w:val="0"/>
                <w:sz w:val="21"/>
                <w:szCs w:val="21"/>
                <w:lang w:val="en-US" w:eastAsia="zh-CN" w:bidi="ar"/>
              </w:rPr>
              <w:t>2022-2024</w:t>
            </w:r>
            <w:r>
              <w:rPr>
                <w:rFonts w:hint="eastAsia" w:ascii="仿宋_GB2312" w:hAnsi="仿宋_GB2312" w:eastAsia="仿宋_GB2312" w:cs="仿宋_GB2312"/>
                <w:color w:val="auto"/>
                <w:kern w:val="0"/>
                <w:sz w:val="21"/>
                <w:szCs w:val="21"/>
                <w:lang w:bidi="ar"/>
              </w:rPr>
              <w:t>年报告；成立时间不足的按实际成立时间提供)，审计意见非“否定意见”或非“无法表示意见”</w:t>
            </w:r>
            <w:r>
              <w:rPr>
                <w:rFonts w:hint="eastAsia" w:ascii="仿宋_GB2312" w:hAnsi="仿宋_GB2312" w:eastAsia="仿宋_GB2312" w:cs="仿宋_GB2312"/>
                <w:color w:val="auto"/>
                <w:kern w:val="0"/>
                <w:sz w:val="21"/>
                <w:szCs w:val="21"/>
                <w:highlight w:val="none"/>
                <w:lang w:bidi="ar"/>
              </w:rPr>
              <w:t>，</w:t>
            </w:r>
            <w:r>
              <w:rPr>
                <w:rFonts w:hint="eastAsia" w:ascii="仿宋_GB2312" w:hAnsi="仿宋_GB2312" w:eastAsia="仿宋_GB2312" w:cs="仿宋_GB2312"/>
                <w:color w:val="auto"/>
                <w:kern w:val="0"/>
                <w:sz w:val="21"/>
                <w:szCs w:val="21"/>
                <w:lang w:bidi="ar"/>
              </w:rPr>
              <w:t>没有处于被责令停业或破产状态，且资产未被重组、接管和冻结。（事业单位应提供</w:t>
            </w:r>
            <w:r>
              <w:rPr>
                <w:rFonts w:hint="eastAsia" w:ascii="仿宋_GB2312" w:hAnsi="仿宋_GB2312" w:eastAsia="仿宋_GB2312" w:cs="仿宋_GB2312"/>
                <w:color w:val="auto"/>
                <w:kern w:val="0"/>
                <w:sz w:val="21"/>
                <w:szCs w:val="21"/>
                <w:lang w:val="en-US" w:eastAsia="zh-CN" w:bidi="ar"/>
              </w:rPr>
              <w:t>2023-2025</w:t>
            </w:r>
            <w:r>
              <w:rPr>
                <w:rFonts w:hint="eastAsia" w:ascii="仿宋_GB2312" w:hAnsi="仿宋_GB2312" w:eastAsia="仿宋_GB2312" w:cs="仿宋_GB2312"/>
                <w:color w:val="auto"/>
                <w:kern w:val="0"/>
                <w:sz w:val="21"/>
                <w:szCs w:val="21"/>
                <w:lang w:bidi="ar"/>
              </w:rPr>
              <w:t>年经</w:t>
            </w:r>
            <w:r>
              <w:rPr>
                <w:rFonts w:hint="eastAsia" w:ascii="仿宋_GB2312" w:hAnsi="仿宋_GB2312" w:eastAsia="仿宋_GB2312" w:cs="仿宋_GB2312"/>
                <w:color w:val="auto"/>
                <w:kern w:val="0"/>
                <w:sz w:val="21"/>
                <w:szCs w:val="21"/>
                <w:lang w:eastAsia="zh-CN" w:bidi="ar"/>
              </w:rPr>
              <w:t>本单位确认盖章</w:t>
            </w:r>
            <w:r>
              <w:rPr>
                <w:rFonts w:hint="eastAsia" w:ascii="仿宋_GB2312" w:hAnsi="仿宋_GB2312" w:eastAsia="仿宋_GB2312" w:cs="仿宋_GB2312"/>
                <w:color w:val="auto"/>
                <w:kern w:val="0"/>
                <w:sz w:val="21"/>
                <w:szCs w:val="21"/>
                <w:lang w:bidi="ar"/>
              </w:rPr>
              <w:t>的财务报表，如</w:t>
            </w:r>
            <w:r>
              <w:rPr>
                <w:rFonts w:hint="eastAsia" w:ascii="仿宋_GB2312" w:hAnsi="仿宋_GB2312" w:eastAsia="仿宋_GB2312" w:cs="仿宋_GB2312"/>
                <w:color w:val="auto"/>
                <w:kern w:val="0"/>
                <w:sz w:val="21"/>
                <w:szCs w:val="21"/>
                <w:lang w:val="en-US" w:eastAsia="zh-CN" w:bidi="ar"/>
              </w:rPr>
              <w:t>2025</w:t>
            </w:r>
            <w:r>
              <w:rPr>
                <w:rFonts w:hint="eastAsia" w:ascii="仿宋_GB2312" w:hAnsi="仿宋_GB2312" w:eastAsia="仿宋_GB2312" w:cs="仿宋_GB2312"/>
                <w:color w:val="auto"/>
                <w:kern w:val="0"/>
                <w:sz w:val="21"/>
                <w:szCs w:val="21"/>
                <w:lang w:bidi="ar"/>
              </w:rPr>
              <w:t>年报表未发布，则提供相关原因声明及</w:t>
            </w:r>
            <w:r>
              <w:rPr>
                <w:rFonts w:hint="eastAsia" w:ascii="仿宋_GB2312" w:hAnsi="仿宋_GB2312" w:eastAsia="仿宋_GB2312" w:cs="仿宋_GB2312"/>
                <w:color w:val="auto"/>
                <w:kern w:val="0"/>
                <w:sz w:val="21"/>
                <w:szCs w:val="21"/>
                <w:lang w:val="en-US" w:eastAsia="zh-CN" w:bidi="ar"/>
              </w:rPr>
              <w:t>2022-2024</w:t>
            </w:r>
            <w:r>
              <w:rPr>
                <w:rFonts w:hint="eastAsia" w:ascii="仿宋_GB2312" w:hAnsi="仿宋_GB2312" w:eastAsia="仿宋_GB2312" w:cs="仿宋_GB2312"/>
                <w:color w:val="auto"/>
                <w:kern w:val="0"/>
                <w:sz w:val="21"/>
                <w:szCs w:val="21"/>
                <w:lang w:bidi="ar"/>
              </w:rPr>
              <w:t>年报表；成立时间不足的按实际成立时间提供）</w:t>
            </w:r>
          </w:p>
          <w:p w14:paraId="3C913E52">
            <w:pPr>
              <w:keepNext/>
              <w:keepLines/>
              <w:pageBreakBefore w:val="0"/>
              <w:shd w:val="clear" w:color="auto" w:fill="auto"/>
              <w:kinsoku/>
              <w:wordWrap/>
              <w:overflowPunct/>
              <w:topLinePunct w:val="0"/>
              <w:bidi w:val="0"/>
              <w:snapToGrid w:val="0"/>
              <w:ind w:left="0" w:leftChars="0" w:right="0" w:rightChars="0" w:firstLine="0" w:firstLineChars="0"/>
              <w:jc w:val="left"/>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注：</w:t>
            </w:r>
          </w:p>
          <w:p w14:paraId="4BE4066A">
            <w:pPr>
              <w:keepNext/>
              <w:keepLines/>
              <w:pageBreakBefore w:val="0"/>
              <w:numPr>
                <w:ilvl w:val="0"/>
                <w:numId w:val="2"/>
              </w:numPr>
              <w:shd w:val="clear" w:color="auto" w:fill="auto"/>
              <w:kinsoku/>
              <w:wordWrap/>
              <w:overflowPunct/>
              <w:topLinePunct w:val="0"/>
              <w:bidi w:val="0"/>
              <w:snapToGrid w:val="0"/>
              <w:ind w:left="0" w:leftChars="0" w:right="0" w:rightChars="0" w:firstLine="0" w:firstLineChars="0"/>
              <w:jc w:val="left"/>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企业财务报告至少应当包括：资产负债表、利润表、所有者权益(或股东权益，下同)变动表、现金流量表、附注。</w:t>
            </w:r>
          </w:p>
          <w:p w14:paraId="59611F47">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val="en-US" w:eastAsia="zh-CN" w:bidi="ar"/>
              </w:rPr>
              <w:t>2.执行企业会计准则的事业单位财务报表至少应当包括：资产负债表、收入支出表、现金流量表和报表附注</w:t>
            </w:r>
            <w:r>
              <w:rPr>
                <w:rFonts w:hint="eastAsia" w:ascii="仿宋_GB2312" w:hAnsi="仿宋_GB2312" w:eastAsia="仿宋_GB2312" w:cs="仿宋_GB2312"/>
                <w:color w:val="auto"/>
                <w:kern w:val="0"/>
                <w:sz w:val="21"/>
                <w:szCs w:val="21"/>
                <w:lang w:bidi="ar"/>
              </w:rPr>
              <w:t>。</w:t>
            </w:r>
          </w:p>
          <w:p w14:paraId="0FDB38A4">
            <w:pPr>
              <w:keepNext/>
              <w:keepLines/>
              <w:pageBreakBefore w:val="0"/>
              <w:shd w:val="clear" w:color="auto" w:fill="auto"/>
              <w:kinsoku/>
              <w:wordWrap/>
              <w:overflowPunct/>
              <w:topLinePunct w:val="0"/>
              <w:bidi w:val="0"/>
              <w:snapToGrid w:val="0"/>
              <w:ind w:left="0" w:leftChars="0" w:right="0" w:rightChars="0" w:firstLine="0" w:firstLineChars="0"/>
              <w:jc w:val="left"/>
              <w:rPr>
                <w:rFonts w:hint="eastAsia" w:ascii="仿宋_GB2312" w:hAnsi="宋体" w:eastAsia="仿宋_GB2312"/>
                <w:i/>
                <w:iCs/>
                <w:sz w:val="21"/>
              </w:rPr>
            </w:pPr>
            <w:r>
              <w:rPr>
                <w:rFonts w:hint="eastAsia" w:ascii="仿宋_GB2312" w:hAnsi="仿宋_GB2312" w:eastAsia="仿宋_GB2312" w:cs="仿宋_GB2312"/>
                <w:color w:val="auto"/>
                <w:kern w:val="0"/>
                <w:sz w:val="21"/>
                <w:szCs w:val="21"/>
                <w:lang w:val="en-US" w:eastAsia="zh-CN" w:bidi="ar"/>
              </w:rPr>
              <w:t>3.执行政府会计准则的事业单位财务报表至少应当包括：资产负债表、收入费用表和报表附注</w:t>
            </w:r>
            <w:r>
              <w:rPr>
                <w:rFonts w:hint="eastAsia" w:ascii="仿宋_GB2312" w:hAnsi="仿宋_GB2312" w:eastAsia="仿宋_GB2312" w:cs="仿宋_GB2312"/>
                <w:color w:val="auto"/>
                <w:kern w:val="0"/>
                <w:sz w:val="21"/>
                <w:szCs w:val="21"/>
                <w:lang w:bidi="ar"/>
              </w:rPr>
              <w:t>。</w:t>
            </w:r>
          </w:p>
        </w:tc>
      </w:tr>
      <w:tr w14:paraId="6B913E29">
        <w:tblPrEx>
          <w:tblCellMar>
            <w:top w:w="0" w:type="dxa"/>
            <w:left w:w="0" w:type="dxa"/>
            <w:bottom w:w="0" w:type="dxa"/>
            <w:right w:w="0" w:type="dxa"/>
          </w:tblCellMar>
        </w:tblPrEx>
        <w:trPr>
          <w:trHeight w:val="0" w:hRule="atLeast"/>
          <w:jc w:val="center"/>
        </w:trPr>
        <w:tc>
          <w:tcPr>
            <w:tcW w:w="516"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32CB7FBC">
            <w:pPr>
              <w:keepNext/>
              <w:keepLines/>
              <w:pageBreakBefore w:val="0"/>
              <w:kinsoku/>
              <w:wordWrap/>
              <w:overflowPunct/>
              <w:topLinePunct w:val="0"/>
              <w:bidi w:val="0"/>
              <w:snapToGrid w:val="0"/>
              <w:ind w:left="0" w:leftChars="0" w:right="0" w:rightChars="0" w:firstLine="0" w:firstLineChars="0"/>
              <w:jc w:val="center"/>
              <w:rPr>
                <w:rFonts w:hint="eastAsia" w:ascii="仿宋_GB2312" w:hAnsi="宋体" w:eastAsia="仿宋_GB2312"/>
                <w:sz w:val="21"/>
                <w:lang w:eastAsia="zh-CN"/>
              </w:rPr>
            </w:pPr>
            <w:r>
              <w:rPr>
                <w:rFonts w:hint="eastAsia" w:ascii="仿宋_GB2312" w:hAnsi="宋体" w:eastAsia="仿宋_GB2312"/>
                <w:sz w:val="21"/>
                <w:lang w:val="en-US" w:eastAsia="zh-CN"/>
              </w:rPr>
              <w:t>3</w:t>
            </w:r>
          </w:p>
        </w:tc>
        <w:tc>
          <w:tcPr>
            <w:tcW w:w="7790"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7DA82F97">
            <w:pPr>
              <w:keepNext/>
              <w:keepLines/>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napToGrid w:val="0"/>
              <w:ind w:left="0" w:leftChars="0" w:right="0" w:rightChars="0" w:firstLine="0" w:firstLineChars="0"/>
              <w:jc w:val="left"/>
              <w:rPr>
                <w:rFonts w:hint="eastAsia" w:ascii="仿宋_GB2312" w:hAnsi="宋体" w:eastAsia="仿宋_GB2312"/>
                <w:i/>
                <w:iCs/>
                <w:sz w:val="21"/>
              </w:rPr>
            </w:pPr>
            <w:r>
              <w:rPr>
                <w:rFonts w:hint="eastAsia" w:ascii="仿宋_GB2312" w:hAnsi="仿宋_GB2312" w:eastAsia="仿宋_GB2312" w:cs="仿宋_GB2312"/>
                <w:i w:val="0"/>
                <w:color w:val="auto"/>
                <w:sz w:val="21"/>
                <w:szCs w:val="21"/>
                <w:highlight w:val="none"/>
                <w:u w:val="none"/>
              </w:rPr>
              <w:t>不接受联合体</w:t>
            </w:r>
            <w:r>
              <w:rPr>
                <w:rFonts w:hint="eastAsia" w:ascii="仿宋_GB2312" w:hAnsi="仿宋_GB2312" w:eastAsia="仿宋_GB2312" w:cs="仿宋_GB2312"/>
                <w:i w:val="0"/>
                <w:color w:val="auto"/>
                <w:sz w:val="21"/>
                <w:szCs w:val="21"/>
                <w:highlight w:val="none"/>
                <w:u w:val="none"/>
                <w:lang w:val="en-US" w:eastAsia="zh-CN"/>
              </w:rPr>
              <w:t>参与。</w:t>
            </w:r>
          </w:p>
        </w:tc>
      </w:tr>
      <w:tr w14:paraId="63F793B8">
        <w:tblPrEx>
          <w:tblCellMar>
            <w:top w:w="0" w:type="dxa"/>
            <w:left w:w="0" w:type="dxa"/>
            <w:bottom w:w="0" w:type="dxa"/>
            <w:right w:w="0" w:type="dxa"/>
          </w:tblCellMar>
        </w:tblPrEx>
        <w:trPr>
          <w:trHeight w:val="0" w:hRule="atLeast"/>
          <w:jc w:val="center"/>
        </w:trPr>
        <w:tc>
          <w:tcPr>
            <w:tcW w:w="516"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46E446F7">
            <w:pPr>
              <w:keepNext/>
              <w:keepLines/>
              <w:pageBreakBefore w:val="0"/>
              <w:kinsoku/>
              <w:wordWrap/>
              <w:overflowPunct/>
              <w:topLinePunct w:val="0"/>
              <w:bidi w:val="0"/>
              <w:snapToGrid w:val="0"/>
              <w:ind w:left="0" w:leftChars="0" w:right="0" w:rightChars="0" w:firstLine="0" w:firstLineChars="0"/>
              <w:jc w:val="center"/>
              <w:rPr>
                <w:rFonts w:hint="default" w:ascii="仿宋_GB2312" w:hAnsi="宋体" w:eastAsia="仿宋_GB2312"/>
                <w:sz w:val="21"/>
                <w:lang w:val="en-US" w:eastAsia="zh-CN"/>
              </w:rPr>
            </w:pPr>
            <w:r>
              <w:rPr>
                <w:rFonts w:hint="eastAsia" w:ascii="仿宋_GB2312" w:hAnsi="宋体" w:eastAsia="仿宋_GB2312"/>
                <w:sz w:val="21"/>
                <w:lang w:val="en-US" w:eastAsia="zh-CN"/>
              </w:rPr>
              <w:t>4</w:t>
            </w:r>
          </w:p>
        </w:tc>
        <w:tc>
          <w:tcPr>
            <w:tcW w:w="7790" w:type="dxa"/>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3D883FE4">
            <w:pPr>
              <w:keepNext/>
              <w:keepLines/>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napToGrid w:val="0"/>
              <w:ind w:left="0" w:leftChars="0" w:right="0" w:rightChars="0" w:firstLine="0" w:firstLineChars="0"/>
              <w:jc w:val="left"/>
              <w:rPr>
                <w:rFonts w:hint="eastAsia" w:ascii="仿宋_GB2312" w:hAnsi="仿宋_GB2312" w:eastAsia="仿宋_GB2312" w:cs="仿宋_GB2312"/>
                <w:i w:val="0"/>
                <w:color w:val="auto"/>
                <w:sz w:val="21"/>
                <w:szCs w:val="21"/>
                <w:highlight w:val="none"/>
                <w:u w:val="none"/>
                <w:lang w:val="en-US" w:eastAsia="zh-CN"/>
              </w:rPr>
            </w:pPr>
            <w:r>
              <w:rPr>
                <w:rFonts w:hint="eastAsia" w:ascii="仿宋_GB2312" w:hAnsi="仿宋_GB2312" w:eastAsia="仿宋_GB2312" w:cs="仿宋_GB2312"/>
                <w:i w:val="0"/>
                <w:color w:val="auto"/>
                <w:sz w:val="21"/>
                <w:szCs w:val="21"/>
                <w:highlight w:val="none"/>
                <w:u w:val="none"/>
                <w:lang w:val="en-US" w:eastAsia="zh-CN"/>
              </w:rPr>
              <w:t>寻源响应方须为产品制造商，并以原厂企业邮箱回复。如原厂需指定代理商（经销商）负责后续合同签订、供货等事宜，可通过以下两种方式：一是由原厂直接参与寻源响应，在响应文件中出具正式授权文件；二是由原厂通过企业邮箱正式告知本次寻源的授权代理情况及代理商（经销商）基本信息，确认后可由该授权代理商（经销商）参与寻源响应。</w:t>
            </w:r>
          </w:p>
          <w:p w14:paraId="31BE2AEB">
            <w:pPr>
              <w:keepNext/>
              <w:keepLines/>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napToGrid w:val="0"/>
              <w:ind w:left="0" w:leftChars="0" w:right="0" w:rightChars="0" w:firstLine="0" w:firstLineChars="0"/>
              <w:jc w:val="left"/>
              <w:rPr>
                <w:rFonts w:hint="eastAsia" w:ascii="仿宋_GB2312" w:hAnsi="宋体" w:eastAsia="仿宋_GB2312"/>
                <w:i/>
                <w:iCs/>
                <w:sz w:val="21"/>
                <w:lang w:eastAsia="zh-CN"/>
              </w:rPr>
            </w:pPr>
            <w:r>
              <w:rPr>
                <w:rFonts w:hint="eastAsia" w:ascii="仿宋_GB2312" w:hAnsi="仿宋_GB2312" w:eastAsia="仿宋_GB2312" w:cs="仿宋_GB2312"/>
                <w:b/>
                <w:bCs/>
                <w:i w:val="0"/>
                <w:color w:val="auto"/>
                <w:sz w:val="21"/>
                <w:szCs w:val="21"/>
                <w:highlight w:val="none"/>
                <w:u w:val="none"/>
                <w:lang w:val="en-US" w:eastAsia="zh-CN"/>
              </w:rPr>
              <w:t>授权文件要求：</w:t>
            </w:r>
            <w:r>
              <w:rPr>
                <w:rFonts w:hint="eastAsia" w:ascii="仿宋_GB2312" w:hAnsi="仿宋_GB2312" w:eastAsia="仿宋_GB2312" w:cs="仿宋_GB2312"/>
                <w:i w:val="0"/>
                <w:color w:val="auto"/>
                <w:sz w:val="21"/>
                <w:szCs w:val="21"/>
                <w:highlight w:val="none"/>
                <w:u w:val="none"/>
                <w:lang w:val="en-US" w:eastAsia="zh-CN"/>
              </w:rPr>
              <w:t>原厂指定代理商（经销商）需与原厂为长期代理合作关系（</w:t>
            </w:r>
            <w:r>
              <w:rPr>
                <w:rFonts w:hint="eastAsia" w:ascii="仿宋_GB2312" w:hAnsi="仿宋_GB2312" w:eastAsia="仿宋_GB2312" w:cs="仿宋_GB2312"/>
                <w:b/>
                <w:bCs/>
                <w:i w:val="0"/>
                <w:color w:val="auto"/>
                <w:sz w:val="21"/>
                <w:szCs w:val="21"/>
                <w:highlight w:val="none"/>
                <w:u w:val="none"/>
                <w:lang w:val="en-US" w:eastAsia="zh-CN"/>
              </w:rPr>
              <w:t>提供寻源前已签订且处于有效期的一年及以上代理/授权协议、或为原厂指定对外公示期处于有效合作期的指定代理商合作伙伴</w:t>
            </w:r>
            <w:r>
              <w:rPr>
                <w:rFonts w:hint="eastAsia" w:ascii="仿宋_GB2312" w:hAnsi="仿宋_GB2312" w:eastAsia="仿宋_GB2312" w:cs="仿宋_GB2312"/>
                <w:i w:val="0"/>
                <w:color w:val="auto"/>
                <w:sz w:val="21"/>
                <w:szCs w:val="21"/>
                <w:highlight w:val="none"/>
                <w:u w:val="none"/>
                <w:lang w:val="en-US" w:eastAsia="zh-CN"/>
              </w:rPr>
              <w:t>），原厂需明确对代理商（经销商）授权代理的产品品类、代理范围、代理权责等，并提供相应证明材料。</w:t>
            </w:r>
          </w:p>
        </w:tc>
      </w:tr>
    </w:tbl>
    <w:p w14:paraId="13023486">
      <w:pPr>
        <w:keepNext/>
        <w:keepLines/>
        <w:pageBreakBefore w:val="0"/>
        <w:kinsoku/>
        <w:wordWrap/>
        <w:overflowPunct/>
        <w:topLinePunct w:val="0"/>
        <w:bidi w:val="0"/>
        <w:rPr>
          <w:color w:val="000000"/>
          <w:sz w:val="24"/>
          <w:szCs w:val="24"/>
        </w:rPr>
      </w:pPr>
    </w:p>
    <w:tbl>
      <w:tblPr>
        <w:tblStyle w:val="7"/>
        <w:tblW w:w="8306" w:type="dxa"/>
        <w:jc w:val="center"/>
        <w:tblLayout w:type="autofit"/>
        <w:tblCellMar>
          <w:top w:w="0" w:type="dxa"/>
          <w:left w:w="0" w:type="dxa"/>
          <w:bottom w:w="0" w:type="dxa"/>
          <w:right w:w="0" w:type="dxa"/>
        </w:tblCellMar>
      </w:tblPr>
      <w:tblGrid>
        <w:gridCol w:w="524"/>
        <w:gridCol w:w="7782"/>
      </w:tblGrid>
      <w:tr w14:paraId="69F892EC">
        <w:tblPrEx>
          <w:tblCellMar>
            <w:top w:w="0" w:type="dxa"/>
            <w:left w:w="0" w:type="dxa"/>
            <w:bottom w:w="0" w:type="dxa"/>
            <w:right w:w="0" w:type="dxa"/>
          </w:tblCellMar>
        </w:tblPrEx>
        <w:trPr>
          <w:trHeight w:val="0" w:hRule="atLeast"/>
          <w:tblHeader/>
          <w:jc w:val="center"/>
        </w:trPr>
        <w:tc>
          <w:tcPr>
            <w:tcW w:w="8306" w:type="dxa"/>
            <w:gridSpan w:val="2"/>
            <w:tcBorders>
              <w:top w:val="nil"/>
              <w:left w:val="nil"/>
              <w:bottom w:val="single" w:color="000000" w:sz="6" w:space="0"/>
              <w:right w:val="nil"/>
            </w:tcBorders>
            <w:shd w:val="clear" w:color="auto" w:fill="FFFFFF"/>
            <w:noWrap w:val="0"/>
            <w:vAlign w:val="center"/>
          </w:tcPr>
          <w:p w14:paraId="29851334">
            <w:pPr>
              <w:keepNext/>
              <w:keepLines/>
              <w:pageBreakBefore w:val="0"/>
              <w:kinsoku/>
              <w:wordWrap/>
              <w:overflowPunct/>
              <w:topLinePunct w:val="0"/>
              <w:bidi w:val="0"/>
              <w:snapToGrid w:val="0"/>
              <w:ind w:left="0" w:leftChars="0" w:right="0" w:rightChars="0" w:firstLine="0" w:firstLineChars="0"/>
              <w:jc w:val="left"/>
              <w:rPr>
                <w:rFonts w:hint="eastAsia" w:ascii="宋体" w:hAnsi="宋体"/>
                <w:sz w:val="24"/>
              </w:rPr>
            </w:pPr>
            <w:r>
              <w:rPr>
                <w:rFonts w:hint="eastAsia" w:ascii="宋体" w:hAnsi="宋体"/>
                <w:b/>
                <w:sz w:val="24"/>
                <w:lang w:val="en-US" w:eastAsia="zh-CN"/>
              </w:rPr>
              <w:t>专用</w:t>
            </w:r>
            <w:r>
              <w:rPr>
                <w:rFonts w:hint="eastAsia" w:ascii="宋体" w:hAnsi="宋体"/>
                <w:b/>
                <w:sz w:val="24"/>
              </w:rPr>
              <w:t>资格：</w:t>
            </w:r>
          </w:p>
        </w:tc>
      </w:tr>
      <w:tr w14:paraId="4B6B7E6F">
        <w:tblPrEx>
          <w:tblCellMar>
            <w:top w:w="0" w:type="dxa"/>
            <w:left w:w="0" w:type="dxa"/>
            <w:bottom w:w="0" w:type="dxa"/>
            <w:right w:w="0" w:type="dxa"/>
          </w:tblCellMar>
        </w:tblPrEx>
        <w:trPr>
          <w:trHeight w:val="0" w:hRule="atLeast"/>
          <w:tblHeader/>
          <w:jc w:val="center"/>
        </w:trPr>
        <w:tc>
          <w:tcPr>
            <w:tcW w:w="8306"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360C1EE3">
            <w:pPr>
              <w:keepNext/>
              <w:keepLines/>
              <w:pageBreakBefore w:val="0"/>
              <w:kinsoku/>
              <w:wordWrap/>
              <w:overflowPunct/>
              <w:topLinePunct w:val="0"/>
              <w:bidi w:val="0"/>
              <w:snapToGrid w:val="0"/>
              <w:ind w:left="0" w:leftChars="0" w:right="0" w:rightChars="0" w:firstLine="0" w:firstLineChars="0"/>
              <w:jc w:val="center"/>
              <w:rPr>
                <w:rFonts w:hint="eastAsia" w:ascii="宋体" w:hAnsi="宋体"/>
                <w:sz w:val="24"/>
              </w:rPr>
            </w:pPr>
            <w:r>
              <w:rPr>
                <w:rFonts w:hint="eastAsia" w:ascii="宋体" w:hAnsi="宋体"/>
                <w:b/>
                <w:sz w:val="24"/>
                <w:lang w:val="en-US" w:eastAsia="zh-CN"/>
              </w:rPr>
              <w:t>专用</w:t>
            </w:r>
            <w:r>
              <w:rPr>
                <w:rFonts w:hint="eastAsia" w:ascii="宋体" w:hAnsi="宋体"/>
                <w:b/>
                <w:sz w:val="24"/>
              </w:rPr>
              <w:t>资格要求</w:t>
            </w:r>
          </w:p>
        </w:tc>
      </w:tr>
      <w:tr w14:paraId="273C02A6">
        <w:tblPrEx>
          <w:tblCellMar>
            <w:top w:w="0" w:type="dxa"/>
            <w:left w:w="0" w:type="dxa"/>
            <w:bottom w:w="0" w:type="dxa"/>
            <w:right w:w="0" w:type="dxa"/>
          </w:tblCellMar>
        </w:tblPrEx>
        <w:trPr>
          <w:trHeight w:val="0" w:hRule="atLeast"/>
          <w:tblHeader/>
          <w:jc w:val="center"/>
        </w:trPr>
        <w:tc>
          <w:tcPr>
            <w:tcW w:w="52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22D05684">
            <w:pPr>
              <w:keepNext/>
              <w:keepLines/>
              <w:pageBreakBefore w:val="0"/>
              <w:kinsoku/>
              <w:wordWrap/>
              <w:overflowPunct/>
              <w:topLinePunct w:val="0"/>
              <w:bidi w:val="0"/>
              <w:snapToGrid w:val="0"/>
              <w:ind w:left="0" w:leftChars="0" w:right="0" w:rightChars="0" w:firstLine="0" w:firstLineChars="0"/>
              <w:jc w:val="center"/>
              <w:rPr>
                <w:rFonts w:hint="eastAsia" w:ascii="宋体" w:hAnsi="宋体"/>
                <w:sz w:val="24"/>
              </w:rPr>
            </w:pPr>
            <w:r>
              <w:rPr>
                <w:rFonts w:hint="eastAsia" w:ascii="宋体" w:hAnsi="宋体"/>
                <w:b/>
                <w:sz w:val="24"/>
              </w:rPr>
              <w:t>序号</w:t>
            </w:r>
          </w:p>
        </w:tc>
        <w:tc>
          <w:tcPr>
            <w:tcW w:w="778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0BB811D7">
            <w:pPr>
              <w:keepNext/>
              <w:keepLines/>
              <w:pageBreakBefore w:val="0"/>
              <w:kinsoku/>
              <w:wordWrap/>
              <w:overflowPunct/>
              <w:topLinePunct w:val="0"/>
              <w:bidi w:val="0"/>
              <w:snapToGrid w:val="0"/>
              <w:ind w:left="0" w:leftChars="0" w:right="0" w:rightChars="0" w:firstLine="0" w:firstLineChars="0"/>
              <w:jc w:val="center"/>
              <w:rPr>
                <w:rFonts w:hint="eastAsia" w:ascii="宋体" w:hAnsi="宋体"/>
                <w:sz w:val="24"/>
              </w:rPr>
            </w:pPr>
            <w:r>
              <w:rPr>
                <w:rFonts w:hint="eastAsia" w:ascii="宋体" w:hAnsi="宋体"/>
                <w:b/>
                <w:sz w:val="24"/>
              </w:rPr>
              <w:t>内容</w:t>
            </w:r>
          </w:p>
        </w:tc>
      </w:tr>
      <w:tr w14:paraId="6F09C40B">
        <w:tblPrEx>
          <w:tblCellMar>
            <w:top w:w="0" w:type="dxa"/>
            <w:left w:w="0" w:type="dxa"/>
            <w:bottom w:w="0" w:type="dxa"/>
            <w:right w:w="0" w:type="dxa"/>
          </w:tblCellMar>
        </w:tblPrEx>
        <w:trPr>
          <w:trHeight w:val="0" w:hRule="atLeast"/>
          <w:jc w:val="center"/>
        </w:trPr>
        <w:tc>
          <w:tcPr>
            <w:tcW w:w="52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1A3DFDAA">
            <w:pPr>
              <w:keepNext/>
              <w:keepLines/>
              <w:pageBreakBefore w:val="0"/>
              <w:kinsoku/>
              <w:wordWrap/>
              <w:overflowPunct/>
              <w:topLinePunct w:val="0"/>
              <w:bidi w:val="0"/>
              <w:snapToGrid w:val="0"/>
              <w:ind w:left="0" w:leftChars="0" w:right="0" w:rightChars="0" w:firstLine="0" w:firstLineChars="0"/>
              <w:jc w:val="center"/>
              <w:outlineLvl w:val="9"/>
              <w:rPr>
                <w:rFonts w:hint="eastAsia" w:ascii="仿宋_GB2312" w:hAnsi="宋体" w:eastAsia="仿宋_GB2312"/>
                <w:sz w:val="21"/>
                <w:lang w:eastAsia="zh-CN"/>
              </w:rPr>
            </w:pPr>
            <w:r>
              <w:rPr>
                <w:rFonts w:hint="eastAsia" w:ascii="仿宋_GB2312" w:hAnsi="宋体" w:eastAsia="仿宋_GB2312" w:cs="宋体"/>
                <w:color w:val="auto"/>
                <w:sz w:val="21"/>
                <w:szCs w:val="21"/>
                <w:highlight w:val="none"/>
                <w:lang w:val="en-US" w:eastAsia="zh-CN"/>
              </w:rPr>
              <w:t>1</w:t>
            </w:r>
          </w:p>
        </w:tc>
        <w:tc>
          <w:tcPr>
            <w:tcW w:w="778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0080DA7B">
            <w:pPr>
              <w:keepNext/>
              <w:keepLines/>
              <w:pageBreakBefore w:val="0"/>
              <w:widowControl/>
              <w:suppressLineNumbers w:val="0"/>
              <w:kinsoku/>
              <w:wordWrap/>
              <w:overflowPunct/>
              <w:topLinePunct w:val="0"/>
              <w:autoSpaceDE/>
              <w:autoSpaceDN/>
              <w:bidi w:val="0"/>
              <w:snapToGrid w:val="0"/>
              <w:ind w:left="0" w:leftChars="0" w:right="0" w:rightChars="0" w:firstLine="0" w:firstLineChars="0"/>
              <w:jc w:val="left"/>
              <w:textAlignment w:val="center"/>
              <w:rPr>
                <w:rFonts w:hint="default" w:ascii="仿宋_GB2312" w:eastAsia="仿宋_GB2312"/>
                <w:sz w:val="21"/>
                <w:lang w:val="en-US" w:eastAsia="zh-CN"/>
              </w:rPr>
            </w:pPr>
            <w:r>
              <w:rPr>
                <w:rFonts w:hint="eastAsia" w:ascii="仿宋_GB2312" w:hAnsi="仿宋_GB2312" w:eastAsia="仿宋_GB2312" w:cs="仿宋_GB2312"/>
                <w:i w:val="0"/>
                <w:color w:val="auto"/>
                <w:sz w:val="21"/>
                <w:szCs w:val="21"/>
                <w:highlight w:val="none"/>
                <w:u w:val="none"/>
                <w:lang w:val="en-US" w:eastAsia="zh-CN"/>
              </w:rPr>
              <w:t>业绩要求：近三年具有至少设计、制造、销售过同类产品（其中服务器同类产品指使用同一品牌CPU的产品）的业绩。业绩数量和时间以合同为准。每份业绩证明材料包括中标公告或中标通知书（如有），合同首页、采购内容页、盖章签字页和发票(每份合同上传金额最大的1-3张发票)等。未按要求提供或发票与合同对应关系明显不合理的，视为无效业绩。</w:t>
            </w:r>
          </w:p>
        </w:tc>
      </w:tr>
      <w:tr w14:paraId="5158A9D7">
        <w:tblPrEx>
          <w:tblCellMar>
            <w:top w:w="0" w:type="dxa"/>
            <w:left w:w="0" w:type="dxa"/>
            <w:bottom w:w="0" w:type="dxa"/>
            <w:right w:w="0" w:type="dxa"/>
          </w:tblCellMar>
        </w:tblPrEx>
        <w:trPr>
          <w:trHeight w:val="0" w:hRule="atLeast"/>
          <w:jc w:val="center"/>
        </w:trPr>
        <w:tc>
          <w:tcPr>
            <w:tcW w:w="52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0A5D3DBE">
            <w:pPr>
              <w:keepNext/>
              <w:keepLines/>
              <w:pageBreakBefore w:val="0"/>
              <w:kinsoku/>
              <w:wordWrap/>
              <w:overflowPunct/>
              <w:topLinePunct w:val="0"/>
              <w:bidi w:val="0"/>
              <w:snapToGrid w:val="0"/>
              <w:ind w:left="0" w:leftChars="0" w:right="0" w:rightChars="0" w:firstLine="0" w:firstLineChars="0"/>
              <w:jc w:val="center"/>
              <w:outlineLvl w:val="9"/>
              <w:rPr>
                <w:rFonts w:hint="eastAsia" w:ascii="仿宋_GB2312" w:hAnsi="宋体" w:eastAsia="仿宋_GB2312" w:cs="宋体"/>
                <w:color w:val="auto"/>
                <w:sz w:val="21"/>
                <w:szCs w:val="21"/>
                <w:highlight w:val="none"/>
                <w:lang w:val="en-US" w:eastAsia="zh-CN"/>
              </w:rPr>
            </w:pPr>
            <w:r>
              <w:rPr>
                <w:rFonts w:hint="eastAsia" w:ascii="仿宋_GB2312" w:hAnsi="宋体" w:eastAsia="仿宋_GB2312" w:cs="宋体"/>
                <w:color w:val="auto"/>
                <w:sz w:val="21"/>
                <w:szCs w:val="21"/>
                <w:highlight w:val="none"/>
                <w:lang w:val="en-US" w:eastAsia="zh-CN"/>
              </w:rPr>
              <w:t>2</w:t>
            </w:r>
          </w:p>
        </w:tc>
        <w:tc>
          <w:tcPr>
            <w:tcW w:w="778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28AF6F3A">
            <w:pPr>
              <w:keepNext/>
              <w:keepLines/>
              <w:pageBreakBefore w:val="0"/>
              <w:widowControl/>
              <w:suppressLineNumbers w:val="0"/>
              <w:kinsoku/>
              <w:wordWrap/>
              <w:overflowPunct/>
              <w:topLinePunct w:val="0"/>
              <w:autoSpaceDE/>
              <w:autoSpaceDN/>
              <w:bidi w:val="0"/>
              <w:snapToGrid w:val="0"/>
              <w:ind w:left="0" w:leftChars="0" w:right="0" w:rightChars="0" w:firstLine="0" w:firstLineChars="0"/>
              <w:jc w:val="left"/>
              <w:textAlignment w:val="center"/>
              <w:rPr>
                <w:rFonts w:hint="default" w:ascii="仿宋_GB2312" w:hAnsi="宋体" w:eastAsia="仿宋_GB2312"/>
                <w:i w:val="0"/>
                <w:iCs w:val="0"/>
                <w:sz w:val="21"/>
                <w:lang w:val="en-US" w:eastAsia="zh-CN"/>
              </w:rPr>
            </w:pPr>
            <w:r>
              <w:rPr>
                <w:rFonts w:hint="eastAsia" w:ascii="仿宋_GB2312" w:hAnsi="仿宋_GB2312" w:eastAsia="仿宋_GB2312" w:cs="仿宋_GB2312"/>
                <w:i w:val="0"/>
                <w:color w:val="auto"/>
                <w:sz w:val="21"/>
                <w:szCs w:val="21"/>
                <w:highlight w:val="none"/>
                <w:u w:val="none"/>
                <w:lang w:val="en-US" w:eastAsia="zh-CN"/>
              </w:rPr>
              <w:t>响应人不得使用美光公司产品（包括含有美光芯片的产品）投标，提供承诺函确保投标产品符合国家要求）。</w:t>
            </w:r>
          </w:p>
        </w:tc>
      </w:tr>
    </w:tbl>
    <w:p w14:paraId="5DA4627A">
      <w:pPr>
        <w:keepNext/>
        <w:keepLines/>
        <w:pageBreakBefore w:val="0"/>
        <w:kinsoku/>
        <w:wordWrap/>
        <w:overflowPunct/>
        <w:topLinePunct w:val="0"/>
        <w:bidi w:val="0"/>
        <w:adjustRightInd w:val="0"/>
        <w:snapToGrid w:val="0"/>
        <w:spacing w:before="156" w:beforeLines="50" w:line="360" w:lineRule="auto"/>
        <w:ind w:right="560"/>
        <w:jc w:val="left"/>
        <w:rPr>
          <w:color w:val="000000"/>
          <w:sz w:val="24"/>
          <w:szCs w:val="24"/>
        </w:rPr>
      </w:pPr>
    </w:p>
    <w:p w14:paraId="48B5B2A6">
      <w:pPr>
        <w:keepNext/>
        <w:keepLines/>
        <w:pageBreakBefore w:val="0"/>
        <w:widowControl/>
        <w:kinsoku/>
        <w:wordWrap/>
        <w:overflowPunct/>
        <w:topLinePunct w:val="0"/>
        <w:bidi w:val="0"/>
        <w:adjustRightInd w:val="0"/>
        <w:snapToGrid w:val="0"/>
        <w:spacing w:line="360" w:lineRule="auto"/>
        <w:rPr>
          <w:rFonts w:hint="default"/>
          <w:b/>
          <w:color w:val="000000"/>
          <w:sz w:val="28"/>
          <w:szCs w:val="28"/>
          <w:lang w:val="en-US" w:eastAsia="zh-CN"/>
        </w:rPr>
      </w:pPr>
      <w:r>
        <w:rPr>
          <w:rFonts w:hint="eastAsia"/>
          <w:b/>
          <w:color w:val="000000"/>
          <w:sz w:val="28"/>
          <w:szCs w:val="28"/>
        </w:rPr>
        <w:t>附件</w:t>
      </w:r>
      <w:r>
        <w:rPr>
          <w:rFonts w:hint="eastAsia"/>
          <w:b/>
          <w:color w:val="000000"/>
          <w:sz w:val="28"/>
          <w:szCs w:val="28"/>
          <w:lang w:val="en-US" w:eastAsia="zh-CN"/>
        </w:rPr>
        <w:t>2</w:t>
      </w:r>
      <w:r>
        <w:rPr>
          <w:rFonts w:hint="eastAsia"/>
          <w:b/>
          <w:color w:val="000000"/>
          <w:sz w:val="28"/>
          <w:szCs w:val="28"/>
        </w:rPr>
        <w:t xml:space="preserve">: </w:t>
      </w:r>
      <w:r>
        <w:rPr>
          <w:rFonts w:hint="eastAsia"/>
          <w:b/>
          <w:color w:val="000000"/>
          <w:sz w:val="28"/>
          <w:szCs w:val="28"/>
          <w:lang w:val="en-US" w:eastAsia="zh-CN"/>
        </w:rPr>
        <w:t>寻源初步评审</w:t>
      </w:r>
    </w:p>
    <w:tbl>
      <w:tblPr>
        <w:tblStyle w:val="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61"/>
        <w:gridCol w:w="1522"/>
        <w:gridCol w:w="1434"/>
        <w:gridCol w:w="4905"/>
      </w:tblGrid>
      <w:tr w14:paraId="441B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blHeader/>
          <w:jc w:val="center"/>
        </w:trPr>
        <w:tc>
          <w:tcPr>
            <w:tcW w:w="4905" w:type="dxa"/>
            <w:gridSpan w:val="4"/>
            <w:tcBorders>
              <w:tl2br w:val="nil"/>
              <w:tr2bl w:val="nil"/>
            </w:tcBorders>
            <w:noWrap w:val="0"/>
            <w:vAlign w:val="center"/>
          </w:tcPr>
          <w:p w14:paraId="71EFC4FC">
            <w:pPr>
              <w:keepNext/>
              <w:keepLines/>
              <w:pageBreakBefore w:val="0"/>
              <w:kinsoku/>
              <w:wordWrap/>
              <w:overflowPunct/>
              <w:topLinePunct w:val="0"/>
              <w:autoSpaceDE w:val="0"/>
              <w:autoSpaceDN w:val="0"/>
              <w:bidi w:val="0"/>
              <w:adjustRightInd w:val="0"/>
              <w:snapToGrid w:val="0"/>
              <w:spacing w:before="48"/>
              <w:ind w:left="0" w:leftChars="0" w:right="0" w:rightChars="0" w:firstLine="0" w:firstLineChars="0"/>
              <w:jc w:val="left"/>
              <w:rPr>
                <w:rFonts w:hint="eastAsia" w:ascii="宋体" w:hAnsi="宋体" w:eastAsia="宋体" w:cs="宋体"/>
                <w:b/>
                <w:i w:val="0"/>
                <w:iCs w:val="0"/>
                <w:color w:val="auto"/>
                <w:sz w:val="21"/>
                <w:szCs w:val="21"/>
                <w:highlight w:val="none"/>
                <w:u w:val="none"/>
                <w:lang w:eastAsia="zh-CN"/>
              </w:rPr>
            </w:pPr>
            <w:r>
              <w:rPr>
                <w:rFonts w:hint="eastAsia" w:ascii="宋体" w:hAnsi="宋体" w:eastAsia="宋体" w:cs="宋体"/>
                <w:b w:val="0"/>
                <w:bCs w:val="0"/>
                <w:i w:val="0"/>
                <w:iCs w:val="0"/>
                <w:color w:val="auto"/>
                <w:kern w:val="0"/>
                <w:sz w:val="21"/>
                <w:szCs w:val="21"/>
                <w:highlight w:val="none"/>
                <w:u w:val="none"/>
              </w:rPr>
              <w:t>下列</w:t>
            </w:r>
            <w:r>
              <w:rPr>
                <w:rFonts w:hint="eastAsia" w:ascii="宋体" w:hAnsi="宋体" w:eastAsia="宋体" w:cs="宋体"/>
                <w:b w:val="0"/>
                <w:bCs w:val="0"/>
                <w:i w:val="0"/>
                <w:iCs w:val="0"/>
                <w:color w:val="auto"/>
                <w:kern w:val="0"/>
                <w:sz w:val="21"/>
                <w:szCs w:val="21"/>
                <w:highlight w:val="none"/>
                <w:u w:val="none"/>
                <w:lang w:val="en-US" w:eastAsia="zh-CN"/>
              </w:rPr>
              <w:t>评审标准</w:t>
            </w:r>
            <w:r>
              <w:rPr>
                <w:rFonts w:hint="eastAsia" w:ascii="宋体" w:hAnsi="宋体" w:eastAsia="宋体" w:cs="宋体"/>
                <w:b w:val="0"/>
                <w:bCs w:val="0"/>
                <w:i w:val="0"/>
                <w:iCs w:val="0"/>
                <w:color w:val="auto"/>
                <w:kern w:val="0"/>
                <w:sz w:val="21"/>
                <w:szCs w:val="21"/>
                <w:highlight w:val="none"/>
                <w:u w:val="none"/>
              </w:rPr>
              <w:t>适用的标</w:t>
            </w:r>
            <w:r>
              <w:rPr>
                <w:rFonts w:hint="eastAsia" w:ascii="宋体" w:hAnsi="宋体" w:eastAsia="宋体" w:cs="宋体"/>
                <w:b w:val="0"/>
                <w:bCs w:val="0"/>
                <w:i w:val="0"/>
                <w:iCs w:val="0"/>
                <w:color w:val="auto"/>
                <w:kern w:val="0"/>
                <w:sz w:val="21"/>
                <w:szCs w:val="21"/>
                <w:highlight w:val="none"/>
                <w:u w:val="none"/>
                <w:lang w:val="en-US" w:eastAsia="zh-CN"/>
              </w:rPr>
              <w:t>的</w:t>
            </w:r>
            <w:r>
              <w:rPr>
                <w:rFonts w:hint="eastAsia" w:ascii="宋体" w:hAnsi="宋体" w:eastAsia="宋体" w:cs="宋体"/>
                <w:b w:val="0"/>
                <w:bCs w:val="0"/>
                <w:i w:val="0"/>
                <w:iCs w:val="0"/>
                <w:color w:val="auto"/>
                <w:kern w:val="0"/>
                <w:sz w:val="21"/>
                <w:szCs w:val="21"/>
                <w:highlight w:val="none"/>
                <w:u w:val="none"/>
              </w:rPr>
              <w:t>/标</w:t>
            </w:r>
            <w:r>
              <w:rPr>
                <w:rFonts w:hint="eastAsia" w:ascii="宋体" w:hAnsi="宋体" w:eastAsia="宋体" w:cs="宋体"/>
                <w:b w:val="0"/>
                <w:bCs w:val="0"/>
                <w:i w:val="0"/>
                <w:iCs w:val="0"/>
                <w:color w:val="auto"/>
                <w:kern w:val="0"/>
                <w:sz w:val="21"/>
                <w:szCs w:val="21"/>
                <w:highlight w:val="none"/>
                <w:u w:val="none"/>
                <w:lang w:val="en-US" w:eastAsia="zh-CN"/>
              </w:rPr>
              <w:t>包</w:t>
            </w:r>
            <w:r>
              <w:rPr>
                <w:rFonts w:hint="eastAsia" w:ascii="宋体" w:hAnsi="宋体" w:eastAsia="宋体" w:cs="宋体"/>
                <w:b w:val="0"/>
                <w:bCs w:val="0"/>
                <w:i w:val="0"/>
                <w:iCs w:val="0"/>
                <w:color w:val="auto"/>
                <w:kern w:val="0"/>
                <w:sz w:val="21"/>
                <w:szCs w:val="21"/>
                <w:highlight w:val="none"/>
                <w:u w:val="none"/>
                <w:lang w:eastAsia="zh-CN"/>
              </w:rPr>
              <w:t>：</w:t>
            </w:r>
          </w:p>
        </w:tc>
      </w:tr>
      <w:tr w14:paraId="35A86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blHeader/>
          <w:jc w:val="center"/>
        </w:trPr>
        <w:tc>
          <w:tcPr>
            <w:tcW w:w="0" w:type="auto"/>
            <w:tcBorders>
              <w:tl2br w:val="nil"/>
              <w:tr2bl w:val="nil"/>
            </w:tcBorders>
            <w:noWrap w:val="0"/>
            <w:vAlign w:val="center"/>
          </w:tcPr>
          <w:p w14:paraId="035389BD">
            <w:pPr>
              <w:keepNext/>
              <w:keepLines/>
              <w:pageBreakBefore w:val="0"/>
              <w:kinsoku/>
              <w:wordWrap/>
              <w:overflowPunct/>
              <w:topLinePunct w:val="0"/>
              <w:autoSpaceDE w:val="0"/>
              <w:autoSpaceDN w:val="0"/>
              <w:bidi w:val="0"/>
              <w:adjustRightInd w:val="0"/>
              <w:snapToGrid w:val="0"/>
              <w:spacing w:before="48"/>
              <w:ind w:left="0" w:leftChars="0" w:right="0" w:rightChars="0" w:firstLine="0" w:firstLineChars="0"/>
              <w:jc w:val="center"/>
              <w:rPr>
                <w:rFonts w:hint="eastAsia" w:ascii="宋体" w:hAnsi="宋体" w:eastAsia="宋体" w:cs="宋体"/>
                <w:b/>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rPr>
              <w:t>条款号</w:t>
            </w:r>
          </w:p>
        </w:tc>
        <w:tc>
          <w:tcPr>
            <w:tcW w:w="0" w:type="auto"/>
            <w:tcBorders>
              <w:tl2br w:val="nil"/>
              <w:tr2bl w:val="nil"/>
            </w:tcBorders>
            <w:noWrap w:val="0"/>
            <w:vAlign w:val="center"/>
          </w:tcPr>
          <w:p w14:paraId="24FA6C4E">
            <w:pPr>
              <w:keepNext/>
              <w:keepLines/>
              <w:pageBreakBefore w:val="0"/>
              <w:kinsoku/>
              <w:wordWrap/>
              <w:overflowPunct/>
              <w:topLinePunct w:val="0"/>
              <w:autoSpaceDE w:val="0"/>
              <w:autoSpaceDN w:val="0"/>
              <w:bidi w:val="0"/>
              <w:adjustRightInd w:val="0"/>
              <w:snapToGrid w:val="0"/>
              <w:spacing w:before="48"/>
              <w:ind w:left="0" w:leftChars="0" w:right="0" w:righ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rPr>
              <w:t>条款</w:t>
            </w:r>
          </w:p>
        </w:tc>
        <w:tc>
          <w:tcPr>
            <w:tcW w:w="1434" w:type="dxa"/>
            <w:tcBorders>
              <w:tl2br w:val="nil"/>
              <w:tr2bl w:val="nil"/>
            </w:tcBorders>
            <w:noWrap w:val="0"/>
            <w:vAlign w:val="center"/>
          </w:tcPr>
          <w:p w14:paraId="3A894BAC">
            <w:pPr>
              <w:keepNext/>
              <w:keepLines/>
              <w:pageBreakBefore w:val="0"/>
              <w:kinsoku/>
              <w:wordWrap/>
              <w:overflowPunct/>
              <w:topLinePunct w:val="0"/>
              <w:autoSpaceDE w:val="0"/>
              <w:autoSpaceDN w:val="0"/>
              <w:bidi w:val="0"/>
              <w:adjustRightInd w:val="0"/>
              <w:snapToGrid w:val="0"/>
              <w:spacing w:before="48"/>
              <w:ind w:left="0" w:leftChars="0" w:right="0" w:righ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rPr>
              <w:t>评审因素</w:t>
            </w:r>
          </w:p>
        </w:tc>
        <w:tc>
          <w:tcPr>
            <w:tcW w:w="4905" w:type="dxa"/>
            <w:tcBorders>
              <w:tl2br w:val="nil"/>
              <w:tr2bl w:val="nil"/>
            </w:tcBorders>
            <w:noWrap w:val="0"/>
            <w:vAlign w:val="center"/>
          </w:tcPr>
          <w:p w14:paraId="3BC8FA0D">
            <w:pPr>
              <w:keepNext/>
              <w:keepLines/>
              <w:pageBreakBefore w:val="0"/>
              <w:kinsoku/>
              <w:wordWrap/>
              <w:overflowPunct/>
              <w:topLinePunct w:val="0"/>
              <w:autoSpaceDE w:val="0"/>
              <w:autoSpaceDN w:val="0"/>
              <w:bidi w:val="0"/>
              <w:adjustRightInd w:val="0"/>
              <w:snapToGrid w:val="0"/>
              <w:spacing w:before="48"/>
              <w:ind w:left="0" w:leftChars="0" w:right="0" w:righ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rPr>
              <w:t>评审标准</w:t>
            </w:r>
          </w:p>
        </w:tc>
      </w:tr>
      <w:tr w14:paraId="37390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restart"/>
            <w:tcBorders>
              <w:tl2br w:val="nil"/>
              <w:tr2bl w:val="nil"/>
            </w:tcBorders>
            <w:noWrap w:val="0"/>
            <w:vAlign w:val="center"/>
          </w:tcPr>
          <w:p w14:paraId="11283DD1">
            <w:pPr>
              <w:keepNext/>
              <w:keepLines/>
              <w:pageBreakBefore w:val="0"/>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w:t>
            </w:r>
          </w:p>
        </w:tc>
        <w:tc>
          <w:tcPr>
            <w:tcW w:w="0" w:type="auto"/>
            <w:vMerge w:val="restart"/>
            <w:tcBorders>
              <w:tl2br w:val="nil"/>
              <w:tr2bl w:val="nil"/>
            </w:tcBorders>
            <w:noWrap w:val="0"/>
            <w:vAlign w:val="center"/>
          </w:tcPr>
          <w:p w14:paraId="039A94BE">
            <w:pPr>
              <w:keepNext/>
              <w:keepLines/>
              <w:pageBreakBefore w:val="0"/>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形式评审标准</w:t>
            </w:r>
          </w:p>
        </w:tc>
        <w:tc>
          <w:tcPr>
            <w:tcW w:w="1434" w:type="dxa"/>
            <w:tcBorders>
              <w:tl2br w:val="nil"/>
              <w:tr2bl w:val="nil"/>
            </w:tcBorders>
            <w:noWrap w:val="0"/>
            <w:vAlign w:val="center"/>
          </w:tcPr>
          <w:p w14:paraId="6982377E">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人名称</w:t>
            </w:r>
          </w:p>
        </w:tc>
        <w:tc>
          <w:tcPr>
            <w:tcW w:w="4905" w:type="dxa"/>
            <w:tcBorders>
              <w:tl2br w:val="nil"/>
              <w:tr2bl w:val="nil"/>
            </w:tcBorders>
            <w:noWrap w:val="0"/>
            <w:vAlign w:val="center"/>
          </w:tcPr>
          <w:p w14:paraId="1B5276A0">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与营业执照、资质证书一致。</w:t>
            </w:r>
          </w:p>
        </w:tc>
      </w:tr>
      <w:tr w14:paraId="70ABE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continue"/>
            <w:tcBorders>
              <w:tl2br w:val="nil"/>
              <w:tr2bl w:val="nil"/>
            </w:tcBorders>
            <w:noWrap w:val="0"/>
            <w:vAlign w:val="center"/>
          </w:tcPr>
          <w:p w14:paraId="4EB0616B">
            <w:pPr>
              <w:keepNext/>
              <w:keepLines/>
              <w:pageBreakBefore w:val="0"/>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0" w:type="auto"/>
            <w:vMerge w:val="continue"/>
            <w:tcBorders>
              <w:tl2br w:val="nil"/>
              <w:tr2bl w:val="nil"/>
            </w:tcBorders>
            <w:noWrap w:val="0"/>
            <w:vAlign w:val="center"/>
          </w:tcPr>
          <w:p w14:paraId="0AF51227">
            <w:pPr>
              <w:keepNext/>
              <w:keepLines/>
              <w:pageBreakBefore w:val="0"/>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1434" w:type="dxa"/>
            <w:tcBorders>
              <w:tl2br w:val="nil"/>
              <w:tr2bl w:val="nil"/>
            </w:tcBorders>
            <w:noWrap w:val="0"/>
            <w:vAlign w:val="center"/>
          </w:tcPr>
          <w:p w14:paraId="7ECA0DEB">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文件签字盖章</w:t>
            </w:r>
          </w:p>
        </w:tc>
        <w:tc>
          <w:tcPr>
            <w:tcW w:w="4905" w:type="dxa"/>
            <w:tcBorders>
              <w:tl2br w:val="nil"/>
              <w:tr2bl w:val="nil"/>
            </w:tcBorders>
            <w:noWrap w:val="0"/>
            <w:vAlign w:val="center"/>
          </w:tcPr>
          <w:p w14:paraId="6AFD0D89">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按</w:t>
            </w:r>
            <w:r>
              <w:rPr>
                <w:rFonts w:hint="eastAsia" w:ascii="宋体" w:hAnsi="宋体" w:eastAsia="宋体" w:cs="宋体"/>
                <w:i w:val="0"/>
                <w:iCs w:val="0"/>
                <w:color w:val="auto"/>
                <w:sz w:val="21"/>
                <w:szCs w:val="21"/>
                <w:highlight w:val="none"/>
                <w:u w:val="none"/>
                <w:lang w:val="en-US" w:eastAsia="zh-CN"/>
              </w:rPr>
              <w:t>寻源需求</w:t>
            </w:r>
            <w:r>
              <w:rPr>
                <w:rFonts w:hint="eastAsia" w:ascii="宋体" w:hAnsi="宋体" w:eastAsia="宋体" w:cs="宋体"/>
                <w:i w:val="0"/>
                <w:iCs w:val="0"/>
                <w:color w:val="auto"/>
                <w:sz w:val="21"/>
                <w:szCs w:val="21"/>
                <w:highlight w:val="none"/>
                <w:u w:val="none"/>
              </w:rPr>
              <w:t>文件提供的</w:t>
            </w: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文件格式要求进行签字</w:t>
            </w:r>
            <w:r>
              <w:rPr>
                <w:rFonts w:hint="eastAsia" w:ascii="宋体" w:hAnsi="宋体" w:eastAsia="宋体" w:cs="宋体"/>
                <w:i w:val="0"/>
                <w:iCs w:val="0"/>
                <w:color w:val="auto"/>
                <w:sz w:val="21"/>
                <w:szCs w:val="21"/>
                <w:highlight w:val="none"/>
                <w:u w:val="none"/>
                <w:lang w:val="en-US" w:eastAsia="zh-CN"/>
              </w:rPr>
              <w:t>或</w:t>
            </w:r>
            <w:r>
              <w:rPr>
                <w:rFonts w:hint="eastAsia" w:ascii="宋体" w:hAnsi="宋体" w:eastAsia="宋体" w:cs="宋体"/>
                <w:i w:val="0"/>
                <w:iCs w:val="0"/>
                <w:color w:val="auto"/>
                <w:sz w:val="21"/>
                <w:szCs w:val="21"/>
                <w:highlight w:val="none"/>
                <w:u w:val="none"/>
              </w:rPr>
              <w:t>加盖单位公章。</w:t>
            </w:r>
          </w:p>
        </w:tc>
      </w:tr>
      <w:tr w14:paraId="660C8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continue"/>
            <w:tcBorders>
              <w:tl2br w:val="nil"/>
              <w:tr2bl w:val="nil"/>
            </w:tcBorders>
            <w:noWrap w:val="0"/>
            <w:vAlign w:val="center"/>
          </w:tcPr>
          <w:p w14:paraId="1946ECCE">
            <w:pPr>
              <w:keepNext/>
              <w:keepLines/>
              <w:pageBreakBefore w:val="0"/>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0" w:type="auto"/>
            <w:vMerge w:val="continue"/>
            <w:tcBorders>
              <w:tl2br w:val="nil"/>
              <w:tr2bl w:val="nil"/>
            </w:tcBorders>
            <w:noWrap w:val="0"/>
            <w:vAlign w:val="center"/>
          </w:tcPr>
          <w:p w14:paraId="08336726">
            <w:pPr>
              <w:keepNext/>
              <w:keepLines/>
              <w:pageBreakBefore w:val="0"/>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1434" w:type="dxa"/>
            <w:tcBorders>
              <w:tl2br w:val="nil"/>
              <w:tr2bl w:val="nil"/>
            </w:tcBorders>
            <w:noWrap w:val="0"/>
            <w:vAlign w:val="center"/>
          </w:tcPr>
          <w:p w14:paraId="4CE2FC6C">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文件格式</w:t>
            </w:r>
          </w:p>
        </w:tc>
        <w:tc>
          <w:tcPr>
            <w:tcW w:w="4905" w:type="dxa"/>
            <w:tcBorders>
              <w:tl2br w:val="nil"/>
              <w:tr2bl w:val="nil"/>
            </w:tcBorders>
            <w:noWrap w:val="0"/>
            <w:vAlign w:val="center"/>
          </w:tcPr>
          <w:p w14:paraId="6C933C12">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文件按照</w:t>
            </w:r>
            <w:r>
              <w:rPr>
                <w:rFonts w:hint="eastAsia" w:ascii="宋体" w:hAnsi="宋体" w:eastAsia="宋体" w:cs="宋体"/>
                <w:i w:val="0"/>
                <w:iCs w:val="0"/>
                <w:color w:val="auto"/>
                <w:sz w:val="21"/>
                <w:szCs w:val="21"/>
                <w:highlight w:val="none"/>
                <w:u w:val="none"/>
                <w:lang w:val="en-US" w:eastAsia="zh-CN"/>
              </w:rPr>
              <w:t>寻源需求</w:t>
            </w:r>
            <w:r>
              <w:rPr>
                <w:rFonts w:hint="eastAsia" w:ascii="宋体" w:hAnsi="宋体" w:eastAsia="宋体" w:cs="宋体"/>
                <w:i w:val="0"/>
                <w:iCs w:val="0"/>
                <w:color w:val="auto"/>
                <w:sz w:val="21"/>
                <w:szCs w:val="21"/>
                <w:highlight w:val="none"/>
                <w:u w:val="none"/>
              </w:rPr>
              <w:t>文件规定格式要求编制，且未出现实质性要求和条件响应内容缺失。</w:t>
            </w:r>
          </w:p>
        </w:tc>
      </w:tr>
      <w:tr w14:paraId="683E5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restart"/>
            <w:tcBorders>
              <w:tl2br w:val="nil"/>
              <w:tr2bl w:val="nil"/>
            </w:tcBorders>
            <w:noWrap w:val="0"/>
            <w:vAlign w:val="center"/>
          </w:tcPr>
          <w:p w14:paraId="04492F7F">
            <w:pPr>
              <w:keepNext/>
              <w:keepLines/>
              <w:pageBreakBefore w:val="0"/>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2</w:t>
            </w:r>
          </w:p>
        </w:tc>
        <w:tc>
          <w:tcPr>
            <w:tcW w:w="0" w:type="auto"/>
            <w:vMerge w:val="restart"/>
            <w:tcBorders>
              <w:tl2br w:val="nil"/>
              <w:tr2bl w:val="nil"/>
            </w:tcBorders>
            <w:noWrap w:val="0"/>
            <w:vAlign w:val="center"/>
          </w:tcPr>
          <w:p w14:paraId="3F919C31">
            <w:pPr>
              <w:keepNext/>
              <w:keepLines/>
              <w:pageBreakBefore w:val="0"/>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资格评审标准</w:t>
            </w:r>
          </w:p>
        </w:tc>
        <w:tc>
          <w:tcPr>
            <w:tcW w:w="1434" w:type="dxa"/>
            <w:tcBorders>
              <w:tl2br w:val="nil"/>
              <w:tr2bl w:val="nil"/>
            </w:tcBorders>
            <w:noWrap w:val="0"/>
            <w:vAlign w:val="center"/>
          </w:tcPr>
          <w:p w14:paraId="0AF2D008">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资格条件</w:t>
            </w:r>
          </w:p>
        </w:tc>
        <w:tc>
          <w:tcPr>
            <w:tcW w:w="4905" w:type="dxa"/>
            <w:tcBorders>
              <w:tl2br w:val="nil"/>
              <w:tr2bl w:val="nil"/>
            </w:tcBorders>
            <w:noWrap w:val="0"/>
            <w:vAlign w:val="center"/>
          </w:tcPr>
          <w:p w14:paraId="71E5ADC6">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符合本项目通用</w:t>
            </w:r>
            <w:r>
              <w:rPr>
                <w:rFonts w:hint="eastAsia" w:ascii="宋体" w:hAnsi="宋体" w:eastAsia="宋体" w:cs="宋体"/>
                <w:i w:val="0"/>
                <w:iCs w:val="0"/>
                <w:color w:val="auto"/>
                <w:sz w:val="21"/>
                <w:szCs w:val="21"/>
                <w:highlight w:val="none"/>
                <w:u w:val="none"/>
                <w:lang w:val="en-US" w:eastAsia="zh-CN"/>
              </w:rPr>
              <w:t>和专用</w:t>
            </w:r>
            <w:r>
              <w:rPr>
                <w:rFonts w:hint="eastAsia" w:ascii="宋体" w:hAnsi="宋体" w:eastAsia="宋体" w:cs="宋体"/>
                <w:i w:val="0"/>
                <w:iCs w:val="0"/>
                <w:color w:val="auto"/>
                <w:sz w:val="21"/>
                <w:szCs w:val="21"/>
                <w:highlight w:val="none"/>
                <w:u w:val="none"/>
              </w:rPr>
              <w:t>资格</w:t>
            </w:r>
            <w:r>
              <w:rPr>
                <w:rFonts w:hint="eastAsia" w:ascii="宋体" w:hAnsi="宋体" w:eastAsia="宋体" w:cs="宋体"/>
                <w:i w:val="0"/>
                <w:iCs w:val="0"/>
                <w:color w:val="auto"/>
                <w:sz w:val="21"/>
                <w:szCs w:val="21"/>
                <w:highlight w:val="none"/>
                <w:u w:val="none"/>
                <w:lang w:val="en-US" w:eastAsia="zh-CN"/>
              </w:rPr>
              <w:t>各项</w:t>
            </w:r>
            <w:r>
              <w:rPr>
                <w:rFonts w:hint="eastAsia" w:ascii="宋体" w:hAnsi="宋体" w:eastAsia="宋体" w:cs="宋体"/>
                <w:i w:val="0"/>
                <w:iCs w:val="0"/>
                <w:color w:val="auto"/>
                <w:sz w:val="21"/>
                <w:szCs w:val="21"/>
                <w:highlight w:val="none"/>
                <w:u w:val="none"/>
              </w:rPr>
              <w:t>要求。</w:t>
            </w:r>
          </w:p>
        </w:tc>
      </w:tr>
      <w:tr w14:paraId="582D6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continue"/>
            <w:tcBorders>
              <w:tl2br w:val="nil"/>
              <w:tr2bl w:val="nil"/>
            </w:tcBorders>
            <w:noWrap w:val="0"/>
            <w:vAlign w:val="center"/>
          </w:tcPr>
          <w:p w14:paraId="2F78C9A7">
            <w:pPr>
              <w:keepNext/>
              <w:keepLines/>
              <w:pageBreakBefore w:val="0"/>
              <w:shd w:val="clear" w:color="auto" w:fill="auto"/>
              <w:kinsoku/>
              <w:wordWrap/>
              <w:overflowPunct/>
              <w:topLinePunct w:val="0"/>
              <w:bidi w:val="0"/>
              <w:snapToGrid w:val="0"/>
              <w:spacing w:beforeLines="0" w:afterLines="0" w:line="240" w:lineRule="auto"/>
              <w:ind w:left="0" w:leftChars="0" w:right="0" w:rightChars="0" w:firstLine="0" w:firstLineChars="0"/>
              <w:jc w:val="center"/>
              <w:outlineLvl w:val="9"/>
              <w:rPr>
                <w:rFonts w:hint="eastAsia" w:ascii="宋体" w:hAnsi="宋体" w:eastAsia="宋体" w:cs="宋体"/>
                <w:i w:val="0"/>
                <w:iCs w:val="0"/>
                <w:color w:val="auto"/>
                <w:sz w:val="21"/>
                <w:szCs w:val="21"/>
                <w:highlight w:val="none"/>
                <w:u w:val="none"/>
              </w:rPr>
            </w:pPr>
          </w:p>
        </w:tc>
        <w:tc>
          <w:tcPr>
            <w:tcW w:w="0" w:type="auto"/>
            <w:vMerge w:val="continue"/>
            <w:tcBorders>
              <w:tl2br w:val="nil"/>
              <w:tr2bl w:val="nil"/>
            </w:tcBorders>
            <w:noWrap w:val="0"/>
            <w:vAlign w:val="center"/>
          </w:tcPr>
          <w:p w14:paraId="0165FA6B">
            <w:pPr>
              <w:keepNext/>
              <w:keepLines/>
              <w:pageBreakBefore w:val="0"/>
              <w:shd w:val="clear" w:color="auto" w:fill="auto"/>
              <w:kinsoku/>
              <w:wordWrap/>
              <w:overflowPunct/>
              <w:topLinePunct w:val="0"/>
              <w:bidi w:val="0"/>
              <w:snapToGrid w:val="0"/>
              <w:spacing w:beforeLines="0" w:afterLines="0" w:line="240" w:lineRule="auto"/>
              <w:ind w:left="0" w:leftChars="0" w:right="0" w:rightChars="0" w:firstLine="0" w:firstLineChars="0"/>
              <w:jc w:val="center"/>
              <w:outlineLvl w:val="9"/>
              <w:rPr>
                <w:rFonts w:hint="eastAsia" w:ascii="宋体" w:hAnsi="宋体" w:eastAsia="宋体" w:cs="宋体"/>
                <w:i w:val="0"/>
                <w:iCs w:val="0"/>
                <w:color w:val="auto"/>
                <w:sz w:val="21"/>
                <w:szCs w:val="21"/>
                <w:highlight w:val="none"/>
                <w:u w:val="none"/>
              </w:rPr>
            </w:pPr>
          </w:p>
        </w:tc>
        <w:tc>
          <w:tcPr>
            <w:tcW w:w="1434" w:type="dxa"/>
            <w:tcBorders>
              <w:tl2br w:val="nil"/>
              <w:tr2bl w:val="nil"/>
            </w:tcBorders>
            <w:noWrap w:val="0"/>
            <w:vAlign w:val="center"/>
          </w:tcPr>
          <w:p w14:paraId="498FE94D">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不存在禁止响应的情形</w:t>
            </w:r>
          </w:p>
        </w:tc>
        <w:tc>
          <w:tcPr>
            <w:tcW w:w="4905" w:type="dxa"/>
            <w:tcBorders>
              <w:tl2br w:val="nil"/>
              <w:tr2bl w:val="nil"/>
            </w:tcBorders>
            <w:noWrap w:val="0"/>
            <w:vAlign w:val="center"/>
          </w:tcPr>
          <w:p w14:paraId="3BBB4A86">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响应人不得存在下列情形之一：</w:t>
            </w:r>
          </w:p>
          <w:p w14:paraId="59B0B868">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(1)与寻源人存在利害关系且可能影响寻源公正性；</w:t>
            </w:r>
          </w:p>
          <w:p w14:paraId="5944DDE6">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(2)与本寻源项目（同一标包）的其他响应人为同一个单位负责人；</w:t>
            </w:r>
          </w:p>
          <w:p w14:paraId="348D6EC1">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(3)与本寻源项目（同一标包）的其他响应人存在控股、管理关系；</w:t>
            </w:r>
          </w:p>
          <w:p w14:paraId="510CDEC3">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(4)为本寻源项目提供过设计、编制技术规范和其他文件的咨询服务；；</w:t>
            </w:r>
          </w:p>
          <w:p w14:paraId="5C04704B">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(5)被依法暂停或者取消响应资格；</w:t>
            </w:r>
          </w:p>
          <w:p w14:paraId="2C144EF6">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(6)被责令停产停业、暂扣或者吊销许可证、暂扣或者吊销执照；</w:t>
            </w:r>
          </w:p>
          <w:p w14:paraId="2A555B86">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(7)进入清算程序，或被宣告破产，或其他丧失履约能力的情形；</w:t>
            </w:r>
          </w:p>
          <w:p w14:paraId="5139994D">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仿宋_GB2312" w:eastAsia="宋体" w:cs="仿宋_GB2312"/>
                <w:b/>
                <w:bCs/>
                <w:i w:val="0"/>
                <w:iCs w:val="0"/>
                <w:color w:val="auto"/>
                <w:sz w:val="21"/>
                <w:szCs w:val="21"/>
                <w:highlight w:val="none"/>
                <w:u w:val="none"/>
                <w:lang w:val="en-US" w:eastAsia="zh-CN"/>
              </w:rPr>
            </w:pPr>
            <w:r>
              <w:rPr>
                <w:rFonts w:hint="eastAsia" w:ascii="宋体" w:hAnsi="仿宋_GB2312" w:eastAsia="宋体" w:cs="仿宋_GB2312"/>
                <w:b/>
                <w:bCs/>
                <w:i w:val="0"/>
                <w:iCs w:val="0"/>
                <w:color w:val="auto"/>
                <w:sz w:val="21"/>
                <w:szCs w:val="21"/>
                <w:highlight w:val="none"/>
                <w:u w:val="none"/>
                <w:lang w:val="en-US" w:eastAsia="zh-CN"/>
              </w:rPr>
              <w:t>(8)被“国家企业信用信息公示系统”（https://www.gsxt.gov.cn）中列入严重违法失信企业名单；</w:t>
            </w:r>
          </w:p>
          <w:p w14:paraId="3549355A">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仿宋_GB2312" w:eastAsia="宋体" w:cs="仿宋_GB2312"/>
                <w:b/>
                <w:bCs/>
                <w:i w:val="0"/>
                <w:iCs w:val="0"/>
                <w:color w:val="auto"/>
                <w:sz w:val="21"/>
                <w:szCs w:val="21"/>
                <w:highlight w:val="none"/>
                <w:u w:val="none"/>
                <w:lang w:val="en-US" w:eastAsia="zh-CN"/>
              </w:rPr>
            </w:pPr>
            <w:r>
              <w:rPr>
                <w:rFonts w:hint="eastAsia" w:ascii="宋体" w:hAnsi="仿宋_GB2312" w:eastAsia="宋体" w:cs="仿宋_GB2312"/>
                <w:b/>
                <w:bCs/>
                <w:i w:val="0"/>
                <w:iCs w:val="0"/>
                <w:color w:val="auto"/>
                <w:sz w:val="21"/>
                <w:szCs w:val="21"/>
                <w:highlight w:val="none"/>
                <w:u w:val="none"/>
                <w:lang w:val="en-US" w:eastAsia="zh-CN"/>
              </w:rPr>
              <w:t>(9)被“信用中国”网站（www.creditchina.gov.cn）或“中国执行信息公开网”（http://zxgk.court.gov.cn/shixin）等各级信用信息共享平台中列入失信被执行人名单；</w:t>
            </w:r>
          </w:p>
          <w:p w14:paraId="6804FD2E">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仿宋_GB2312" w:eastAsia="宋体" w:cs="仿宋_GB2312"/>
                <w:b/>
                <w:bCs/>
                <w:i w:val="0"/>
                <w:iCs w:val="0"/>
                <w:color w:val="auto"/>
                <w:sz w:val="21"/>
                <w:szCs w:val="21"/>
                <w:highlight w:val="none"/>
                <w:u w:val="none"/>
                <w:lang w:val="en-US" w:eastAsia="zh-CN"/>
              </w:rPr>
            </w:pPr>
            <w:r>
              <w:rPr>
                <w:rFonts w:hint="eastAsia" w:ascii="宋体" w:hAnsi="仿宋_GB2312" w:eastAsia="宋体" w:cs="仿宋_GB2312"/>
                <w:b/>
                <w:bCs/>
                <w:i w:val="0"/>
                <w:iCs w:val="0"/>
                <w:color w:val="auto"/>
                <w:sz w:val="21"/>
                <w:szCs w:val="21"/>
                <w:highlight w:val="none"/>
                <w:u w:val="none"/>
                <w:lang w:val="en-US" w:eastAsia="zh-CN"/>
              </w:rPr>
              <w:t>(10)在近三年内响应人或其法定代表人、拟委任的项目负责人有行贿犯罪行为的；</w:t>
            </w:r>
          </w:p>
          <w:p w14:paraId="6598028E">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(11)被中国南方电网有限责任公司列入供应商处罚黑名单或供应商处罚预警名单的；</w:t>
            </w:r>
          </w:p>
          <w:p w14:paraId="675EDE6D">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(12)法律法规和寻源需求文件规定的其他不得存在的情形；</w:t>
            </w:r>
          </w:p>
          <w:p w14:paraId="3F13B080">
            <w:pPr>
              <w:keepNext/>
              <w:keepLines/>
              <w:pageBreakBefore w:val="0"/>
              <w:numPr>
                <w:ilvl w:val="0"/>
                <w:numId w:val="0"/>
              </w:numPr>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(13）其他：</w:t>
            </w:r>
            <w:r>
              <w:rPr>
                <w:rFonts w:hint="eastAsia" w:ascii="宋体" w:hAnsi="宋体" w:eastAsia="宋体" w:cs="宋体"/>
                <w:color w:val="auto"/>
                <w:sz w:val="21"/>
                <w:szCs w:val="21"/>
                <w:highlight w:val="none"/>
                <w:u w:val="none"/>
              </w:rPr>
              <w:t>技术规范书打“★”号条款为必须满足内容，响应方如有任何一条不响应或不满足（含负偏离），按无效投标处理。</w:t>
            </w:r>
            <w:r>
              <w:rPr>
                <w:rFonts w:hint="eastAsia" w:ascii="宋体" w:hAnsi="宋体" w:eastAsia="宋体" w:cs="宋体"/>
                <w:i w:val="0"/>
                <w:iCs w:val="0"/>
                <w:color w:val="auto"/>
                <w:sz w:val="21"/>
                <w:szCs w:val="21"/>
                <w:highlight w:val="none"/>
                <w:u w:val="none"/>
                <w:lang w:val="en-US" w:eastAsia="zh-CN"/>
              </w:rPr>
              <w:t>。</w:t>
            </w:r>
          </w:p>
        </w:tc>
      </w:tr>
      <w:tr w14:paraId="222E4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restart"/>
            <w:tcBorders>
              <w:tl2br w:val="nil"/>
              <w:tr2bl w:val="nil"/>
            </w:tcBorders>
            <w:noWrap w:val="0"/>
            <w:vAlign w:val="center"/>
          </w:tcPr>
          <w:p w14:paraId="2E54DBC4">
            <w:pPr>
              <w:keepNext/>
              <w:keepLines/>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0" w:type="auto"/>
            <w:vMerge w:val="restart"/>
            <w:tcBorders>
              <w:tl2br w:val="nil"/>
              <w:tr2bl w:val="nil"/>
            </w:tcBorders>
            <w:noWrap w:val="0"/>
            <w:vAlign w:val="center"/>
          </w:tcPr>
          <w:p w14:paraId="748AEF69">
            <w:pPr>
              <w:keepNext/>
              <w:keepLines/>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napToGrid w:val="0"/>
              <w:ind w:left="0" w:leftChars="0" w:right="0" w:rightChars="0" w:firstLine="0" w:firstLineChars="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响应性评审标准</w:t>
            </w:r>
          </w:p>
        </w:tc>
        <w:tc>
          <w:tcPr>
            <w:tcW w:w="1434" w:type="dxa"/>
            <w:tcBorders>
              <w:tl2br w:val="nil"/>
              <w:tr2bl w:val="nil"/>
            </w:tcBorders>
            <w:noWrap w:val="0"/>
            <w:vAlign w:val="center"/>
          </w:tcPr>
          <w:p w14:paraId="5D4BA475">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eastAsia="zh-CN"/>
              </w:rPr>
              <w:t>响应</w:t>
            </w:r>
            <w:r>
              <w:rPr>
                <w:rFonts w:hint="eastAsia" w:ascii="宋体" w:hAnsi="宋体" w:eastAsia="宋体" w:cs="宋体"/>
                <w:i w:val="0"/>
                <w:iCs w:val="0"/>
                <w:color w:val="auto"/>
                <w:sz w:val="21"/>
                <w:szCs w:val="21"/>
                <w:highlight w:val="none"/>
                <w:u w:val="none"/>
              </w:rPr>
              <w:t>报价</w:t>
            </w:r>
          </w:p>
        </w:tc>
        <w:tc>
          <w:tcPr>
            <w:tcW w:w="4905" w:type="dxa"/>
            <w:tcBorders>
              <w:tl2br w:val="nil"/>
              <w:tr2bl w:val="nil"/>
            </w:tcBorders>
            <w:noWrap w:val="0"/>
            <w:vAlign w:val="center"/>
          </w:tcPr>
          <w:p w14:paraId="0F897325">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仿宋_GB2312" w:eastAsia="宋体" w:cs="仿宋_GB2312"/>
                <w:i w:val="0"/>
                <w:iCs w:val="0"/>
                <w:color w:val="auto"/>
                <w:sz w:val="21"/>
                <w:szCs w:val="21"/>
                <w:highlight w:val="none"/>
                <w:u w:val="none"/>
              </w:rPr>
              <w:t>按照</w:t>
            </w:r>
            <w:r>
              <w:rPr>
                <w:rFonts w:hint="eastAsia" w:ascii="宋体" w:hAnsi="仿宋_GB2312" w:eastAsia="宋体" w:cs="仿宋_GB2312"/>
                <w:i w:val="0"/>
                <w:iCs w:val="0"/>
                <w:color w:val="auto"/>
                <w:sz w:val="21"/>
                <w:szCs w:val="21"/>
                <w:highlight w:val="none"/>
                <w:u w:val="none"/>
                <w:lang w:val="en-US" w:eastAsia="zh-CN"/>
              </w:rPr>
              <w:t>寻源需求文件</w:t>
            </w:r>
            <w:r>
              <w:rPr>
                <w:rFonts w:hint="eastAsia" w:ascii="宋体" w:hAnsi="仿宋_GB2312" w:eastAsia="宋体" w:cs="仿宋_GB2312"/>
                <w:i w:val="0"/>
                <w:iCs w:val="0"/>
                <w:color w:val="auto"/>
                <w:sz w:val="21"/>
                <w:szCs w:val="21"/>
                <w:highlight w:val="none"/>
                <w:u w:val="none"/>
              </w:rPr>
              <w:t>报价格式及内容要求报价，且未出现关键价格信息错误或者缺失。未出现同一</w:t>
            </w:r>
            <w:r>
              <w:rPr>
                <w:rFonts w:hint="eastAsia" w:ascii="宋体" w:hAnsi="仿宋_GB2312" w:eastAsia="宋体" w:cs="仿宋_GB2312"/>
                <w:i w:val="0"/>
                <w:iCs w:val="0"/>
                <w:color w:val="auto"/>
                <w:sz w:val="21"/>
                <w:szCs w:val="21"/>
                <w:highlight w:val="none"/>
                <w:u w:val="none"/>
                <w:lang w:val="en-US" w:eastAsia="zh-CN"/>
              </w:rPr>
              <w:t>响应</w:t>
            </w:r>
            <w:r>
              <w:rPr>
                <w:rFonts w:hint="eastAsia" w:ascii="宋体" w:hAnsi="仿宋_GB2312" w:eastAsia="宋体" w:cs="仿宋_GB2312"/>
                <w:i w:val="0"/>
                <w:iCs w:val="0"/>
                <w:color w:val="auto"/>
                <w:sz w:val="21"/>
                <w:szCs w:val="21"/>
                <w:highlight w:val="none"/>
                <w:u w:val="none"/>
              </w:rPr>
              <w:t>人提交两个以上不同的投标报价，按</w:t>
            </w:r>
            <w:r>
              <w:rPr>
                <w:rFonts w:hint="eastAsia" w:ascii="宋体" w:hAnsi="仿宋_GB2312" w:eastAsia="宋体" w:cs="仿宋_GB2312"/>
                <w:i w:val="0"/>
                <w:iCs w:val="0"/>
                <w:color w:val="auto"/>
                <w:sz w:val="21"/>
                <w:szCs w:val="21"/>
                <w:highlight w:val="none"/>
                <w:u w:val="none"/>
                <w:lang w:val="en-US" w:eastAsia="zh-CN"/>
              </w:rPr>
              <w:t>寻源需求</w:t>
            </w:r>
            <w:r>
              <w:rPr>
                <w:rFonts w:hint="eastAsia" w:ascii="宋体" w:hAnsi="仿宋_GB2312" w:eastAsia="宋体" w:cs="仿宋_GB2312"/>
                <w:i w:val="0"/>
                <w:iCs w:val="0"/>
                <w:color w:val="auto"/>
                <w:sz w:val="21"/>
                <w:szCs w:val="21"/>
                <w:highlight w:val="none"/>
                <w:u w:val="none"/>
              </w:rPr>
              <w:t>文件规定提交备选投标方案的除外。</w:t>
            </w:r>
            <w:r>
              <w:rPr>
                <w:rFonts w:hint="eastAsia" w:ascii="宋体" w:hAnsi="仿宋_GB2312" w:eastAsia="宋体" w:cs="仿宋_GB2312"/>
                <w:b/>
                <w:bCs/>
                <w:i w:val="0"/>
                <w:iCs w:val="0"/>
                <w:color w:val="auto"/>
                <w:sz w:val="21"/>
                <w:szCs w:val="21"/>
                <w:highlight w:val="none"/>
                <w:u w:val="none"/>
              </w:rPr>
              <w:t>未出现</w:t>
            </w:r>
            <w:r>
              <w:rPr>
                <w:rFonts w:hint="eastAsia" w:ascii="宋体" w:hAnsi="仿宋_GB2312" w:eastAsia="宋体" w:cs="仿宋_GB2312"/>
                <w:b/>
                <w:bCs/>
                <w:i w:val="0"/>
                <w:iCs w:val="0"/>
                <w:color w:val="auto"/>
                <w:sz w:val="21"/>
                <w:szCs w:val="21"/>
                <w:highlight w:val="none"/>
                <w:u w:val="none"/>
                <w:lang w:val="en-US" w:eastAsia="zh-CN"/>
              </w:rPr>
              <w:t>响应</w:t>
            </w:r>
            <w:r>
              <w:rPr>
                <w:rFonts w:hint="eastAsia" w:ascii="宋体" w:hAnsi="仿宋_GB2312" w:eastAsia="宋体" w:cs="仿宋_GB2312"/>
                <w:b/>
                <w:bCs/>
                <w:i w:val="0"/>
                <w:iCs w:val="0"/>
                <w:color w:val="auto"/>
                <w:sz w:val="21"/>
                <w:szCs w:val="21"/>
                <w:highlight w:val="none"/>
                <w:u w:val="none"/>
              </w:rPr>
              <w:t>价格明显低于其他投标报价，使得可能低于其个别成本，且未作出合理说明或者不能提供相关证明材料（如成本分析报告）的，或者高于</w:t>
            </w:r>
            <w:r>
              <w:rPr>
                <w:rFonts w:hint="eastAsia" w:ascii="宋体" w:hAnsi="仿宋_GB2312" w:eastAsia="宋体" w:cs="仿宋_GB2312"/>
                <w:b/>
                <w:bCs/>
                <w:i w:val="0"/>
                <w:iCs w:val="0"/>
                <w:color w:val="auto"/>
                <w:sz w:val="21"/>
                <w:szCs w:val="21"/>
                <w:highlight w:val="none"/>
                <w:u w:val="none"/>
                <w:lang w:val="en-US" w:eastAsia="zh-CN"/>
              </w:rPr>
              <w:t>寻源需求</w:t>
            </w:r>
            <w:r>
              <w:rPr>
                <w:rFonts w:hint="eastAsia" w:ascii="宋体" w:hAnsi="仿宋_GB2312" w:eastAsia="宋体" w:cs="仿宋_GB2312"/>
                <w:b/>
                <w:bCs/>
                <w:i w:val="0"/>
                <w:iCs w:val="0"/>
                <w:color w:val="auto"/>
                <w:sz w:val="21"/>
                <w:szCs w:val="21"/>
                <w:highlight w:val="none"/>
                <w:u w:val="none"/>
              </w:rPr>
              <w:t>文件设定的最高限价的。</w:t>
            </w:r>
          </w:p>
        </w:tc>
      </w:tr>
      <w:tr w14:paraId="15B82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continue"/>
            <w:tcBorders>
              <w:tl2br w:val="nil"/>
              <w:tr2bl w:val="nil"/>
            </w:tcBorders>
            <w:noWrap w:val="0"/>
            <w:vAlign w:val="center"/>
          </w:tcPr>
          <w:p w14:paraId="3779069D">
            <w:pPr>
              <w:keepNext/>
              <w:keepLines/>
              <w:pageBreakBefore w:val="0"/>
              <w:shd w:val="clear" w:color="auto" w:fill="auto"/>
              <w:kinsoku/>
              <w:wordWrap/>
              <w:overflowPunct/>
              <w:topLinePunct w:val="0"/>
              <w:bidi w:val="0"/>
              <w:snapToGrid w:val="0"/>
              <w:spacing w:beforeLines="0" w:afterLines="0" w:line="240" w:lineRule="auto"/>
              <w:ind w:left="0" w:leftChars="0" w:right="0" w:rightChars="0" w:firstLine="0" w:firstLineChars="0"/>
              <w:jc w:val="center"/>
              <w:outlineLvl w:val="9"/>
              <w:rPr>
                <w:rFonts w:hint="eastAsia" w:ascii="宋体" w:hAnsi="宋体" w:eastAsia="宋体" w:cs="宋体"/>
                <w:i w:val="0"/>
                <w:iCs w:val="0"/>
                <w:color w:val="auto"/>
                <w:sz w:val="21"/>
                <w:szCs w:val="21"/>
                <w:highlight w:val="none"/>
                <w:u w:val="none"/>
              </w:rPr>
            </w:pPr>
          </w:p>
        </w:tc>
        <w:tc>
          <w:tcPr>
            <w:tcW w:w="0" w:type="auto"/>
            <w:vMerge w:val="continue"/>
            <w:tcBorders>
              <w:tl2br w:val="nil"/>
              <w:tr2bl w:val="nil"/>
            </w:tcBorders>
            <w:noWrap w:val="0"/>
            <w:vAlign w:val="center"/>
          </w:tcPr>
          <w:p w14:paraId="79279D33">
            <w:pPr>
              <w:keepNext/>
              <w:keepLines/>
              <w:pageBreakBefore w:val="0"/>
              <w:shd w:val="clear" w:color="auto" w:fill="auto"/>
              <w:kinsoku/>
              <w:wordWrap/>
              <w:overflowPunct/>
              <w:topLinePunct w:val="0"/>
              <w:bidi w:val="0"/>
              <w:snapToGrid w:val="0"/>
              <w:spacing w:beforeLines="0" w:afterLines="0" w:line="240" w:lineRule="auto"/>
              <w:ind w:left="0" w:leftChars="0" w:right="0" w:rightChars="0" w:firstLine="0" w:firstLineChars="0"/>
              <w:jc w:val="center"/>
              <w:outlineLvl w:val="9"/>
              <w:rPr>
                <w:rFonts w:hint="eastAsia" w:ascii="宋体" w:hAnsi="宋体" w:eastAsia="宋体" w:cs="宋体"/>
                <w:i w:val="0"/>
                <w:iCs w:val="0"/>
                <w:color w:val="auto"/>
                <w:sz w:val="21"/>
                <w:szCs w:val="21"/>
                <w:highlight w:val="none"/>
                <w:u w:val="none"/>
              </w:rPr>
            </w:pPr>
          </w:p>
        </w:tc>
        <w:tc>
          <w:tcPr>
            <w:tcW w:w="1434" w:type="dxa"/>
            <w:tcBorders>
              <w:tl2br w:val="nil"/>
              <w:tr2bl w:val="nil"/>
            </w:tcBorders>
            <w:noWrap w:val="0"/>
            <w:vAlign w:val="center"/>
          </w:tcPr>
          <w:p w14:paraId="09A02D28">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内容</w:t>
            </w:r>
          </w:p>
        </w:tc>
        <w:tc>
          <w:tcPr>
            <w:tcW w:w="4905" w:type="dxa"/>
            <w:tcBorders>
              <w:tl2br w:val="nil"/>
              <w:tr2bl w:val="nil"/>
            </w:tcBorders>
            <w:noWrap w:val="0"/>
            <w:vAlign w:val="center"/>
          </w:tcPr>
          <w:p w14:paraId="5F89B2A7">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符合</w:t>
            </w:r>
            <w:r>
              <w:rPr>
                <w:rFonts w:hint="eastAsia" w:ascii="宋体" w:hAnsi="宋体" w:eastAsia="宋体" w:cs="宋体"/>
                <w:i w:val="0"/>
                <w:iCs w:val="0"/>
                <w:color w:val="auto"/>
                <w:sz w:val="21"/>
                <w:szCs w:val="21"/>
                <w:highlight w:val="none"/>
                <w:u w:val="none"/>
                <w:lang w:val="en-US" w:eastAsia="zh-CN"/>
              </w:rPr>
              <w:t>寻源</w:t>
            </w:r>
            <w:r>
              <w:rPr>
                <w:rFonts w:hint="eastAsia" w:ascii="宋体" w:hAnsi="宋体" w:eastAsia="宋体" w:cs="宋体"/>
                <w:i w:val="0"/>
                <w:iCs w:val="0"/>
                <w:color w:val="auto"/>
                <w:sz w:val="21"/>
                <w:szCs w:val="21"/>
                <w:highlight w:val="none"/>
                <w:u w:val="none"/>
              </w:rPr>
              <w:t>范围规定。</w:t>
            </w:r>
          </w:p>
        </w:tc>
      </w:tr>
      <w:tr w14:paraId="411C5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continue"/>
            <w:tcBorders>
              <w:tl2br w:val="nil"/>
              <w:tr2bl w:val="nil"/>
            </w:tcBorders>
            <w:noWrap w:val="0"/>
            <w:vAlign w:val="center"/>
          </w:tcPr>
          <w:p w14:paraId="460FA78B">
            <w:pPr>
              <w:keepNext/>
              <w:keepLines/>
              <w:pageBreakBefore w:val="0"/>
              <w:shd w:val="clear" w:color="auto" w:fill="auto"/>
              <w:kinsoku/>
              <w:wordWrap/>
              <w:overflowPunct/>
              <w:topLinePunct w:val="0"/>
              <w:bidi w:val="0"/>
              <w:snapToGrid w:val="0"/>
              <w:spacing w:beforeLines="0" w:afterLines="0" w:line="240" w:lineRule="auto"/>
              <w:ind w:left="0" w:leftChars="0" w:right="0" w:rightChars="0" w:firstLine="0" w:firstLineChars="0"/>
              <w:jc w:val="center"/>
              <w:outlineLvl w:val="9"/>
              <w:rPr>
                <w:rFonts w:hint="eastAsia" w:ascii="宋体" w:hAnsi="宋体" w:eastAsia="宋体" w:cs="宋体"/>
                <w:i w:val="0"/>
                <w:iCs w:val="0"/>
                <w:color w:val="auto"/>
                <w:sz w:val="21"/>
                <w:szCs w:val="21"/>
                <w:highlight w:val="none"/>
                <w:u w:val="none"/>
              </w:rPr>
            </w:pPr>
          </w:p>
        </w:tc>
        <w:tc>
          <w:tcPr>
            <w:tcW w:w="0" w:type="auto"/>
            <w:vMerge w:val="continue"/>
            <w:tcBorders>
              <w:tl2br w:val="nil"/>
              <w:tr2bl w:val="nil"/>
            </w:tcBorders>
            <w:noWrap w:val="0"/>
            <w:vAlign w:val="center"/>
          </w:tcPr>
          <w:p w14:paraId="71AF5C59">
            <w:pPr>
              <w:keepNext/>
              <w:keepLines/>
              <w:pageBreakBefore w:val="0"/>
              <w:shd w:val="clear" w:color="auto" w:fill="auto"/>
              <w:kinsoku/>
              <w:wordWrap/>
              <w:overflowPunct/>
              <w:topLinePunct w:val="0"/>
              <w:bidi w:val="0"/>
              <w:snapToGrid w:val="0"/>
              <w:spacing w:beforeLines="0" w:afterLines="0" w:line="240" w:lineRule="auto"/>
              <w:ind w:left="0" w:leftChars="0" w:right="0" w:rightChars="0" w:firstLine="0" w:firstLineChars="0"/>
              <w:jc w:val="center"/>
              <w:outlineLvl w:val="9"/>
              <w:rPr>
                <w:rFonts w:hint="eastAsia" w:ascii="宋体" w:hAnsi="宋体" w:eastAsia="宋体" w:cs="宋体"/>
                <w:i w:val="0"/>
                <w:iCs w:val="0"/>
                <w:color w:val="auto"/>
                <w:sz w:val="21"/>
                <w:szCs w:val="21"/>
                <w:highlight w:val="none"/>
                <w:u w:val="none"/>
              </w:rPr>
            </w:pPr>
          </w:p>
        </w:tc>
        <w:tc>
          <w:tcPr>
            <w:tcW w:w="1434" w:type="dxa"/>
            <w:tcBorders>
              <w:tl2br w:val="nil"/>
              <w:tr2bl w:val="nil"/>
            </w:tcBorders>
            <w:noWrap w:val="0"/>
            <w:vAlign w:val="center"/>
          </w:tcPr>
          <w:p w14:paraId="3640EEE3">
            <w:pPr>
              <w:keepNext/>
              <w:keepLines/>
              <w:pageBreakBefore w:val="0"/>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时间要求</w:t>
            </w:r>
          </w:p>
        </w:tc>
        <w:tc>
          <w:tcPr>
            <w:tcW w:w="4905" w:type="dxa"/>
            <w:tcBorders>
              <w:tl2br w:val="nil"/>
              <w:tr2bl w:val="nil"/>
            </w:tcBorders>
            <w:noWrap w:val="0"/>
            <w:vAlign w:val="center"/>
          </w:tcPr>
          <w:p w14:paraId="0BD2C65E">
            <w:pPr>
              <w:keepNext/>
              <w:keepLines/>
              <w:pageBreakBefore w:val="0"/>
              <w:shd w:val="clear" w:color="auto" w:fill="auto"/>
              <w:kinsoku/>
              <w:wordWrap/>
              <w:overflowPunct/>
              <w:topLinePunct w:val="0"/>
              <w:autoSpaceDE w:val="0"/>
              <w:autoSpaceDN w:val="0"/>
              <w:bidi w:val="0"/>
              <w:adjustRightInd w:val="0"/>
              <w:snapToGrid w:val="0"/>
              <w:spacing w:before="48"/>
              <w:ind w:left="0" w:leftChars="0" w:right="0" w:rightChars="0" w:firstLine="0" w:firstLineChars="0"/>
              <w:jc w:val="left"/>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kern w:val="0"/>
                <w:sz w:val="21"/>
                <w:szCs w:val="21"/>
                <w:highlight w:val="none"/>
                <w:u w:val="none"/>
              </w:rPr>
              <w:t>工作（或服务、交货）时间符合</w:t>
            </w:r>
            <w:r>
              <w:rPr>
                <w:rFonts w:hint="eastAsia" w:ascii="宋体" w:hAnsi="宋体" w:eastAsia="宋体" w:cs="宋体"/>
                <w:i w:val="0"/>
                <w:iCs w:val="0"/>
                <w:color w:val="auto"/>
                <w:kern w:val="0"/>
                <w:sz w:val="21"/>
                <w:szCs w:val="21"/>
                <w:highlight w:val="none"/>
                <w:u w:val="none"/>
                <w:lang w:val="en-US" w:eastAsia="zh-CN"/>
              </w:rPr>
              <w:t>寻源需求</w:t>
            </w:r>
            <w:r>
              <w:rPr>
                <w:rFonts w:hint="eastAsia" w:ascii="宋体" w:hAnsi="宋体" w:eastAsia="宋体" w:cs="宋体"/>
                <w:i w:val="0"/>
                <w:iCs w:val="0"/>
                <w:color w:val="auto"/>
                <w:kern w:val="0"/>
                <w:sz w:val="21"/>
                <w:szCs w:val="21"/>
                <w:highlight w:val="none"/>
                <w:u w:val="none"/>
              </w:rPr>
              <w:t>文件要求。</w:t>
            </w:r>
          </w:p>
        </w:tc>
      </w:tr>
      <w:tr w14:paraId="64273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0" w:type="auto"/>
            <w:vMerge w:val="continue"/>
            <w:tcBorders>
              <w:tl2br w:val="nil"/>
              <w:tr2bl w:val="nil"/>
            </w:tcBorders>
            <w:noWrap w:val="0"/>
            <w:vAlign w:val="center"/>
          </w:tcPr>
          <w:p w14:paraId="221C57DC">
            <w:pPr>
              <w:keepNext/>
              <w:keepLines/>
              <w:pageBreakBefore w:val="0"/>
              <w:shd w:val="clear" w:color="auto" w:fill="auto"/>
              <w:kinsoku/>
              <w:wordWrap/>
              <w:overflowPunct/>
              <w:topLinePunct w:val="0"/>
              <w:bidi w:val="0"/>
              <w:snapToGrid w:val="0"/>
              <w:spacing w:beforeLines="0" w:afterLines="0" w:line="240" w:lineRule="auto"/>
              <w:ind w:left="0" w:leftChars="0" w:right="0" w:rightChars="0" w:firstLine="0" w:firstLineChars="0"/>
              <w:jc w:val="center"/>
              <w:outlineLvl w:val="9"/>
              <w:rPr>
                <w:rFonts w:hint="eastAsia" w:ascii="宋体" w:hAnsi="宋体" w:eastAsia="宋体" w:cs="宋体"/>
                <w:i w:val="0"/>
                <w:iCs w:val="0"/>
                <w:color w:val="auto"/>
                <w:sz w:val="21"/>
                <w:szCs w:val="21"/>
                <w:highlight w:val="none"/>
                <w:u w:val="none"/>
              </w:rPr>
            </w:pPr>
          </w:p>
        </w:tc>
        <w:tc>
          <w:tcPr>
            <w:tcW w:w="0" w:type="auto"/>
            <w:vMerge w:val="continue"/>
            <w:tcBorders>
              <w:tl2br w:val="nil"/>
              <w:tr2bl w:val="nil"/>
            </w:tcBorders>
            <w:noWrap w:val="0"/>
            <w:vAlign w:val="center"/>
          </w:tcPr>
          <w:p w14:paraId="2EADF55A">
            <w:pPr>
              <w:keepNext/>
              <w:keepLines/>
              <w:pageBreakBefore w:val="0"/>
              <w:shd w:val="clear" w:color="auto" w:fill="auto"/>
              <w:kinsoku/>
              <w:wordWrap/>
              <w:overflowPunct/>
              <w:topLinePunct w:val="0"/>
              <w:bidi w:val="0"/>
              <w:snapToGrid w:val="0"/>
              <w:spacing w:beforeLines="0" w:afterLines="0" w:line="240" w:lineRule="auto"/>
              <w:ind w:left="0" w:leftChars="0" w:right="0" w:rightChars="0" w:firstLine="0" w:firstLineChars="0"/>
              <w:jc w:val="center"/>
              <w:outlineLvl w:val="9"/>
              <w:rPr>
                <w:rFonts w:hint="eastAsia" w:ascii="宋体" w:hAnsi="宋体" w:eastAsia="宋体" w:cs="宋体"/>
                <w:i w:val="0"/>
                <w:iCs w:val="0"/>
                <w:color w:val="auto"/>
                <w:sz w:val="21"/>
                <w:szCs w:val="21"/>
                <w:highlight w:val="none"/>
                <w:u w:val="none"/>
              </w:rPr>
            </w:pPr>
          </w:p>
        </w:tc>
        <w:tc>
          <w:tcPr>
            <w:tcW w:w="1434" w:type="dxa"/>
            <w:tcBorders>
              <w:tl2br w:val="nil"/>
              <w:tr2bl w:val="nil"/>
            </w:tcBorders>
            <w:noWrap w:val="0"/>
            <w:vAlign w:val="center"/>
          </w:tcPr>
          <w:p w14:paraId="35298200">
            <w:pPr>
              <w:keepNext/>
              <w:keepLines/>
              <w:pageBreakBefore w:val="0"/>
              <w:shd w:val="clear" w:color="auto" w:fill="auto"/>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质量要求</w:t>
            </w:r>
          </w:p>
        </w:tc>
        <w:tc>
          <w:tcPr>
            <w:tcW w:w="4905" w:type="dxa"/>
            <w:tcBorders>
              <w:tl2br w:val="nil"/>
              <w:tr2bl w:val="nil"/>
            </w:tcBorders>
            <w:noWrap w:val="0"/>
            <w:vAlign w:val="center"/>
          </w:tcPr>
          <w:p w14:paraId="680BF8F6">
            <w:pPr>
              <w:keepNext/>
              <w:keepLines/>
              <w:pageBreakBefore w:val="0"/>
              <w:shd w:val="clear" w:color="auto" w:fill="auto"/>
              <w:kinsoku/>
              <w:wordWrap/>
              <w:overflowPunct/>
              <w:topLinePunct w:val="0"/>
              <w:autoSpaceDE w:val="0"/>
              <w:autoSpaceDN w:val="0"/>
              <w:bidi w:val="0"/>
              <w:adjustRightInd w:val="0"/>
              <w:snapToGrid w:val="0"/>
              <w:spacing w:before="48"/>
              <w:ind w:left="0" w:leftChars="0" w:right="0" w:rightChars="0" w:firstLine="0" w:firstLineChars="0"/>
              <w:jc w:val="left"/>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kern w:val="0"/>
                <w:sz w:val="21"/>
                <w:szCs w:val="21"/>
                <w:highlight w:val="none"/>
                <w:u w:val="none"/>
              </w:rPr>
              <w:t>标的物质量符合</w:t>
            </w:r>
            <w:r>
              <w:rPr>
                <w:rFonts w:hint="eastAsia" w:ascii="宋体" w:hAnsi="宋体" w:eastAsia="宋体" w:cs="宋体"/>
                <w:i w:val="0"/>
                <w:iCs w:val="0"/>
                <w:color w:val="auto"/>
                <w:kern w:val="0"/>
                <w:sz w:val="21"/>
                <w:szCs w:val="21"/>
                <w:highlight w:val="none"/>
                <w:u w:val="none"/>
                <w:lang w:val="en-US" w:eastAsia="zh-CN"/>
              </w:rPr>
              <w:t>寻源需求文件的</w:t>
            </w:r>
            <w:r>
              <w:rPr>
                <w:rFonts w:hint="eastAsia" w:ascii="宋体" w:hAnsi="宋体" w:eastAsia="宋体" w:cs="宋体"/>
                <w:i w:val="0"/>
                <w:iCs w:val="0"/>
                <w:color w:val="auto"/>
                <w:kern w:val="0"/>
                <w:sz w:val="21"/>
                <w:szCs w:val="21"/>
                <w:highlight w:val="none"/>
                <w:u w:val="none"/>
              </w:rPr>
              <w:t>要求。</w:t>
            </w:r>
          </w:p>
        </w:tc>
      </w:tr>
      <w:tr w14:paraId="2D03A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71" w:type="dxa"/>
            <w:vMerge w:val="continue"/>
            <w:tcBorders>
              <w:tl2br w:val="nil"/>
              <w:tr2bl w:val="nil"/>
            </w:tcBorders>
            <w:noWrap w:val="0"/>
            <w:vAlign w:val="center"/>
          </w:tcPr>
          <w:p w14:paraId="5E01C431">
            <w:pPr>
              <w:keepNext/>
              <w:keepLines/>
              <w:pageBreakBefore w:val="0"/>
              <w:kinsoku/>
              <w:wordWrap/>
              <w:overflowPunct/>
              <w:topLinePunct w:val="0"/>
              <w:autoSpaceDE w:val="0"/>
              <w:autoSpaceDN w:val="0"/>
              <w:bidi w:val="0"/>
              <w:adjustRightInd w:val="0"/>
              <w:snapToGrid w:val="0"/>
              <w:spacing w:before="48"/>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rPr>
            </w:pPr>
          </w:p>
        </w:tc>
        <w:tc>
          <w:tcPr>
            <w:tcW w:w="1912" w:type="dxa"/>
            <w:vMerge w:val="continue"/>
            <w:tcBorders>
              <w:tl2br w:val="nil"/>
              <w:tr2bl w:val="nil"/>
            </w:tcBorders>
            <w:noWrap w:val="0"/>
            <w:vAlign w:val="center"/>
          </w:tcPr>
          <w:p w14:paraId="36B121B6">
            <w:pPr>
              <w:keepNext/>
              <w:keepLines/>
              <w:pageBreakBefore w:val="0"/>
              <w:kinsoku/>
              <w:wordWrap/>
              <w:overflowPunct/>
              <w:topLinePunct w:val="0"/>
              <w:autoSpaceDE w:val="0"/>
              <w:autoSpaceDN w:val="0"/>
              <w:bidi w:val="0"/>
              <w:adjustRightInd w:val="0"/>
              <w:snapToGrid w:val="0"/>
              <w:spacing w:before="48"/>
              <w:ind w:left="0" w:leftChars="0" w:right="0" w:rightChars="0" w:firstLine="0" w:firstLineChars="0"/>
              <w:jc w:val="center"/>
              <w:rPr>
                <w:rFonts w:hint="eastAsia" w:ascii="宋体" w:hAnsi="宋体" w:eastAsia="宋体" w:cs="宋体"/>
                <w:i w:val="0"/>
                <w:iCs w:val="0"/>
                <w:color w:val="auto"/>
                <w:sz w:val="21"/>
                <w:szCs w:val="21"/>
                <w:highlight w:val="none"/>
                <w:u w:val="none"/>
              </w:rPr>
            </w:pPr>
          </w:p>
        </w:tc>
        <w:tc>
          <w:tcPr>
            <w:tcW w:w="1434" w:type="dxa"/>
            <w:tcBorders>
              <w:tl2br w:val="nil"/>
              <w:tr2bl w:val="nil"/>
            </w:tcBorders>
            <w:noWrap w:val="0"/>
            <w:vAlign w:val="center"/>
          </w:tcPr>
          <w:p w14:paraId="4FDE997F">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sz w:val="21"/>
                <w:szCs w:val="21"/>
                <w:highlight w:val="none"/>
                <w:u w:val="none"/>
              </w:rPr>
              <w:t>其他否决条款</w:t>
            </w:r>
          </w:p>
        </w:tc>
        <w:tc>
          <w:tcPr>
            <w:tcW w:w="4905" w:type="dxa"/>
            <w:tcBorders>
              <w:tl2br w:val="nil"/>
              <w:tr2bl w:val="nil"/>
            </w:tcBorders>
            <w:noWrap w:val="0"/>
            <w:vAlign w:val="center"/>
          </w:tcPr>
          <w:p w14:paraId="401E53E9">
            <w:pPr>
              <w:keepNext/>
              <w:keepLines/>
              <w:pageBreakBefore w:val="0"/>
              <w:kinsoku/>
              <w:wordWrap/>
              <w:overflowPunct/>
              <w:topLinePunct w:val="0"/>
              <w:bidi w:val="0"/>
              <w:snapToGrid w:val="0"/>
              <w:ind w:left="0" w:leftChars="0" w:right="0" w:rightChars="0" w:firstLine="0" w:firstLineChars="0"/>
              <w:jc w:val="left"/>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auto"/>
                <w:sz w:val="21"/>
                <w:szCs w:val="21"/>
                <w:highlight w:val="none"/>
                <w:u w:val="none"/>
              </w:rPr>
              <w:t>没有出现串通</w:t>
            </w:r>
            <w:r>
              <w:rPr>
                <w:rFonts w:hint="eastAsia" w:ascii="宋体" w:hAnsi="宋体" w:eastAsia="宋体" w:cs="宋体"/>
                <w:i w:val="0"/>
                <w:iCs w:val="0"/>
                <w:color w:val="auto"/>
                <w:sz w:val="21"/>
                <w:szCs w:val="21"/>
                <w:highlight w:val="none"/>
                <w:u w:val="none"/>
                <w:lang w:eastAsia="zh-CN"/>
              </w:rPr>
              <w:t>响应</w:t>
            </w:r>
            <w:r>
              <w:rPr>
                <w:rFonts w:hint="eastAsia" w:ascii="宋体" w:hAnsi="宋体" w:eastAsia="宋体" w:cs="宋体"/>
                <w:i w:val="0"/>
                <w:iCs w:val="0"/>
                <w:color w:val="auto"/>
                <w:sz w:val="21"/>
                <w:szCs w:val="21"/>
                <w:highlight w:val="none"/>
                <w:u w:val="none"/>
              </w:rPr>
              <w:t>、弄虚作假、行贿等其他违法违规行为</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没有出现法律法规规章</w:t>
            </w:r>
            <w:r>
              <w:rPr>
                <w:rFonts w:hint="eastAsia" w:ascii="宋体" w:hAnsi="宋体" w:eastAsia="宋体" w:cs="宋体"/>
                <w:i w:val="0"/>
                <w:iCs w:val="0"/>
                <w:color w:val="auto"/>
                <w:sz w:val="21"/>
                <w:szCs w:val="21"/>
                <w:highlight w:val="none"/>
                <w:u w:val="none"/>
                <w:lang w:val="en-US" w:eastAsia="zh-CN"/>
              </w:rPr>
              <w:t>或寻源需求文件</w:t>
            </w:r>
            <w:r>
              <w:rPr>
                <w:rFonts w:hint="eastAsia" w:ascii="宋体" w:hAnsi="宋体" w:eastAsia="宋体" w:cs="宋体"/>
                <w:i w:val="0"/>
                <w:iCs w:val="0"/>
                <w:color w:val="auto"/>
                <w:sz w:val="21"/>
                <w:szCs w:val="21"/>
                <w:highlight w:val="none"/>
                <w:u w:val="none"/>
              </w:rPr>
              <w:t>规定的</w:t>
            </w:r>
            <w:r>
              <w:rPr>
                <w:rFonts w:hint="eastAsia" w:ascii="宋体" w:hAnsi="宋体" w:eastAsia="宋体" w:cs="宋体"/>
                <w:i w:val="0"/>
                <w:iCs w:val="0"/>
                <w:color w:val="auto"/>
                <w:sz w:val="21"/>
                <w:szCs w:val="21"/>
                <w:highlight w:val="none"/>
                <w:u w:val="none"/>
                <w:lang w:val="en-US" w:eastAsia="zh-CN"/>
              </w:rPr>
              <w:t>其他</w:t>
            </w:r>
            <w:r>
              <w:rPr>
                <w:rFonts w:hint="eastAsia" w:ascii="宋体" w:hAnsi="宋体" w:eastAsia="宋体" w:cs="宋体"/>
                <w:i w:val="0"/>
                <w:iCs w:val="0"/>
                <w:color w:val="auto"/>
                <w:sz w:val="21"/>
                <w:szCs w:val="21"/>
                <w:highlight w:val="none"/>
                <w:u w:val="none"/>
              </w:rPr>
              <w:t>应当否决</w:t>
            </w: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或</w:t>
            </w:r>
            <w:r>
              <w:rPr>
                <w:rFonts w:hint="eastAsia" w:ascii="宋体" w:hAnsi="宋体" w:eastAsia="宋体" w:cs="宋体"/>
                <w:i w:val="0"/>
                <w:iCs w:val="0"/>
                <w:color w:val="auto"/>
                <w:sz w:val="21"/>
                <w:szCs w:val="21"/>
                <w:highlight w:val="none"/>
                <w:u w:val="none"/>
                <w:lang w:val="en-US" w:eastAsia="zh-CN"/>
              </w:rPr>
              <w:t>响应</w:t>
            </w:r>
            <w:r>
              <w:rPr>
                <w:rFonts w:hint="eastAsia" w:ascii="宋体" w:hAnsi="宋体" w:eastAsia="宋体" w:cs="宋体"/>
                <w:i w:val="0"/>
                <w:iCs w:val="0"/>
                <w:color w:val="auto"/>
                <w:sz w:val="21"/>
                <w:szCs w:val="21"/>
                <w:highlight w:val="none"/>
                <w:u w:val="none"/>
              </w:rPr>
              <w:t>无效的情形。</w:t>
            </w:r>
          </w:p>
        </w:tc>
      </w:tr>
    </w:tbl>
    <w:p w14:paraId="4123941B">
      <w:pPr>
        <w:pStyle w:val="6"/>
        <w:keepNext/>
        <w:keepLines/>
        <w:pageBreakBefore w:val="0"/>
        <w:kinsoku/>
        <w:wordWrap/>
        <w:overflowPunct/>
        <w:topLinePunct w:val="0"/>
        <w:bidi w:val="0"/>
        <w:adjustRightInd w:val="0"/>
        <w:snapToGrid w:val="0"/>
        <w:ind w:firstLine="480"/>
        <w:rPr>
          <w:color w:val="000000"/>
        </w:rPr>
      </w:pPr>
      <w:r>
        <w:rPr>
          <w:rFonts w:hint="eastAsia"/>
          <w:color w:val="000000"/>
        </w:rPr>
        <w:t>寻源评审组按响应文件未实质性响应</w:t>
      </w:r>
      <w:r>
        <w:rPr>
          <w:rFonts w:hint="eastAsia"/>
          <w:color w:val="000000"/>
          <w:lang w:val="en-US" w:eastAsia="zh-CN"/>
        </w:rPr>
        <w:t>寻源</w:t>
      </w:r>
      <w:r>
        <w:rPr>
          <w:rFonts w:hint="eastAsia"/>
          <w:color w:val="000000"/>
        </w:rPr>
        <w:t>要求，或响应文件中有含义不明确、同类问题表述不一致或有明显文字和计算错误的内容，评审工作组应要求供应商在规定时间内进行补充完善，并确保出现同类问题的供应商得到公平的修正机会。供应商的澄清、说明应当采用书面形式。供应商补充完善的内容应由法定代表人或其授权代表签字或盖章确认，并作为响应文件的组成部分。照以下规定的方法、评审因素、标准和程序对响应文件进行评审。</w:t>
      </w:r>
    </w:p>
    <w:p w14:paraId="6120F0F6">
      <w:pPr>
        <w:keepNext/>
        <w:keepLines/>
        <w:pageBreakBefore w:val="0"/>
        <w:kinsoku/>
        <w:wordWrap/>
        <w:overflowPunct/>
        <w:topLinePunct w:val="0"/>
        <w:bidi w:val="0"/>
        <w:adjustRightInd w:val="0"/>
        <w:snapToGrid w:val="0"/>
        <w:spacing w:line="360" w:lineRule="auto"/>
        <w:ind w:firstLine="480" w:firstLineChars="200"/>
        <w:rPr>
          <w:color w:val="000000"/>
          <w:kern w:val="0"/>
          <w:sz w:val="24"/>
          <w:szCs w:val="24"/>
        </w:rPr>
      </w:pPr>
      <w:r>
        <w:rPr>
          <w:color w:val="000000"/>
          <w:kern w:val="0"/>
          <w:sz w:val="24"/>
          <w:szCs w:val="24"/>
        </w:rPr>
        <w:t>1</w:t>
      </w:r>
      <w:r>
        <w:rPr>
          <w:rFonts w:hint="eastAsia"/>
          <w:color w:val="000000"/>
          <w:kern w:val="0"/>
          <w:sz w:val="24"/>
          <w:szCs w:val="24"/>
        </w:rPr>
        <w:t>、寻源评审组对参与供应商提交的响应文件的有效性、完整性等进行确认。</w:t>
      </w:r>
    </w:p>
    <w:p w14:paraId="54B02C79">
      <w:pPr>
        <w:keepNext/>
        <w:keepLines/>
        <w:pageBreakBefore w:val="0"/>
        <w:kinsoku/>
        <w:wordWrap/>
        <w:overflowPunct/>
        <w:topLinePunct w:val="0"/>
        <w:bidi w:val="0"/>
        <w:adjustRightInd w:val="0"/>
        <w:snapToGrid w:val="0"/>
        <w:spacing w:line="360" w:lineRule="auto"/>
        <w:ind w:firstLine="480" w:firstLineChars="200"/>
        <w:rPr>
          <w:color w:val="000000"/>
          <w:kern w:val="0"/>
          <w:sz w:val="24"/>
          <w:szCs w:val="24"/>
        </w:rPr>
      </w:pPr>
      <w:r>
        <w:rPr>
          <w:rFonts w:hint="eastAsia"/>
          <w:color w:val="000000"/>
          <w:kern w:val="0"/>
          <w:sz w:val="24"/>
          <w:szCs w:val="24"/>
        </w:rPr>
        <w:t>2、寻源评审组对供应商的商务条件、技术条件和报价进行确认。</w:t>
      </w:r>
    </w:p>
    <w:p w14:paraId="7464A8BB">
      <w:pPr>
        <w:keepNext/>
        <w:keepLines/>
        <w:pageBreakBefore w:val="0"/>
        <w:kinsoku/>
        <w:wordWrap/>
        <w:overflowPunct/>
        <w:topLinePunct w:val="0"/>
        <w:bidi w:val="0"/>
        <w:adjustRightInd w:val="0"/>
        <w:snapToGrid w:val="0"/>
        <w:spacing w:line="360" w:lineRule="auto"/>
        <w:ind w:firstLine="480" w:firstLineChars="200"/>
        <w:rPr>
          <w:color w:val="000000"/>
          <w:kern w:val="0"/>
          <w:sz w:val="24"/>
          <w:szCs w:val="24"/>
        </w:rPr>
      </w:pPr>
      <w:r>
        <w:rPr>
          <w:rFonts w:hint="eastAsia"/>
          <w:color w:val="000000"/>
          <w:kern w:val="0"/>
          <w:sz w:val="24"/>
          <w:szCs w:val="24"/>
        </w:rPr>
        <w:t>3、寻源评审组应对报价进行详细复核，包括检查是否有计算上的错误或报价范围上的错误。如发现有错误的，将进行修正。</w:t>
      </w:r>
    </w:p>
    <w:p w14:paraId="481352D3">
      <w:pPr>
        <w:pStyle w:val="6"/>
        <w:keepNext/>
        <w:keepLines/>
        <w:pageBreakBefore w:val="0"/>
        <w:kinsoku/>
        <w:wordWrap/>
        <w:overflowPunct/>
        <w:topLinePunct w:val="0"/>
        <w:bidi w:val="0"/>
        <w:adjustRightInd w:val="0"/>
        <w:snapToGrid w:val="0"/>
        <w:ind w:firstLine="480"/>
        <w:rPr>
          <w:color w:val="000000"/>
        </w:rPr>
      </w:pPr>
      <w:r>
        <w:rPr>
          <w:rFonts w:hint="eastAsia"/>
          <w:color w:val="000000"/>
        </w:rPr>
        <w:t>报价错误修正的原则如下：</w:t>
      </w:r>
    </w:p>
    <w:p w14:paraId="13B8D1D2">
      <w:pPr>
        <w:pStyle w:val="6"/>
        <w:keepNext/>
        <w:keepLines/>
        <w:pageBreakBefore w:val="0"/>
        <w:kinsoku/>
        <w:wordWrap/>
        <w:overflowPunct/>
        <w:topLinePunct w:val="0"/>
        <w:bidi w:val="0"/>
        <w:adjustRightInd w:val="0"/>
        <w:snapToGrid w:val="0"/>
        <w:ind w:firstLine="480"/>
        <w:rPr>
          <w:color w:val="000000"/>
        </w:rPr>
      </w:pPr>
      <w:r>
        <w:rPr>
          <w:color w:val="000000"/>
        </w:rPr>
        <w:t xml:space="preserve">a. </w:t>
      </w:r>
      <w:r>
        <w:rPr>
          <w:rFonts w:hint="eastAsia"/>
          <w:color w:val="000000"/>
        </w:rPr>
        <w:t>总价金额与依据单价计算出的结果不一致的，以单价金额为准修正总价，但单价金额小数点有明显错误的除外。</w:t>
      </w:r>
    </w:p>
    <w:p w14:paraId="6C08FC93">
      <w:pPr>
        <w:pStyle w:val="6"/>
        <w:keepNext/>
        <w:keepLines/>
        <w:pageBreakBefore w:val="0"/>
        <w:kinsoku/>
        <w:wordWrap/>
        <w:overflowPunct/>
        <w:topLinePunct w:val="0"/>
        <w:bidi w:val="0"/>
        <w:adjustRightInd w:val="0"/>
        <w:snapToGrid w:val="0"/>
        <w:ind w:firstLine="480"/>
        <w:rPr>
          <w:rFonts w:hint="eastAsia"/>
          <w:color w:val="000000"/>
        </w:rPr>
      </w:pPr>
      <w:r>
        <w:rPr>
          <w:color w:val="000000"/>
        </w:rPr>
        <w:t>b.</w:t>
      </w:r>
      <w:r>
        <w:rPr>
          <w:rFonts w:hint="eastAsia"/>
          <w:color w:val="000000"/>
        </w:rPr>
        <w:t>如果用数字表示的金额与用文字表示的金额不一致，应以文字表示的金额为准。</w:t>
      </w:r>
    </w:p>
    <w:p w14:paraId="0A329C0B">
      <w:pPr>
        <w:pStyle w:val="6"/>
        <w:keepNext/>
        <w:keepLines/>
        <w:pageBreakBefore w:val="0"/>
        <w:kinsoku/>
        <w:wordWrap/>
        <w:overflowPunct/>
        <w:topLinePunct w:val="0"/>
        <w:bidi w:val="0"/>
        <w:adjustRightInd w:val="0"/>
        <w:snapToGrid w:val="0"/>
        <w:ind w:left="0" w:leftChars="0" w:firstLine="0" w:firstLineChars="0"/>
        <w:rPr>
          <w:rFonts w:hint="eastAsia"/>
          <w:color w:val="000000"/>
        </w:rPr>
      </w:pPr>
    </w:p>
    <w:p w14:paraId="04D52F64">
      <w:pPr>
        <w:keepNext/>
        <w:keepLines/>
        <w:pageBreakBefore w:val="0"/>
        <w:widowControl/>
        <w:kinsoku/>
        <w:wordWrap/>
        <w:overflowPunct/>
        <w:topLinePunct w:val="0"/>
        <w:bidi w:val="0"/>
        <w:adjustRightInd w:val="0"/>
        <w:snapToGrid w:val="0"/>
        <w:spacing w:line="360" w:lineRule="auto"/>
        <w:rPr>
          <w:rFonts w:hint="default"/>
          <w:b/>
          <w:color w:val="000000"/>
          <w:sz w:val="28"/>
          <w:szCs w:val="28"/>
          <w:lang w:val="en-US" w:eastAsia="zh-CN"/>
        </w:rPr>
      </w:pPr>
      <w:r>
        <w:rPr>
          <w:rFonts w:hint="eastAsia"/>
          <w:b/>
          <w:color w:val="000000"/>
          <w:sz w:val="28"/>
          <w:szCs w:val="28"/>
        </w:rPr>
        <w:t>附件</w:t>
      </w:r>
      <w:r>
        <w:rPr>
          <w:rFonts w:hint="eastAsia"/>
          <w:b/>
          <w:color w:val="000000"/>
          <w:sz w:val="28"/>
          <w:szCs w:val="28"/>
          <w:lang w:val="en-US" w:eastAsia="zh-CN"/>
        </w:rPr>
        <w:t>3</w:t>
      </w:r>
      <w:r>
        <w:rPr>
          <w:rFonts w:hint="eastAsia"/>
          <w:b/>
          <w:color w:val="000000"/>
          <w:sz w:val="28"/>
          <w:szCs w:val="28"/>
        </w:rPr>
        <w:t xml:space="preserve">: </w:t>
      </w:r>
      <w:r>
        <w:rPr>
          <w:rFonts w:hint="eastAsia"/>
          <w:b/>
          <w:color w:val="000000"/>
          <w:sz w:val="28"/>
          <w:szCs w:val="28"/>
          <w:lang w:val="en-US" w:eastAsia="zh-CN"/>
        </w:rPr>
        <w:t>详细评审</w:t>
      </w:r>
    </w:p>
    <w:tbl>
      <w:tblPr>
        <w:tblStyle w:val="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665"/>
        <w:gridCol w:w="1094"/>
        <w:gridCol w:w="714"/>
        <w:gridCol w:w="5323"/>
        <w:gridCol w:w="540"/>
      </w:tblGrid>
      <w:tr w14:paraId="6CEAC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0" w:hRule="atLeast"/>
          <w:jc w:val="center"/>
        </w:trPr>
        <w:tc>
          <w:tcPr>
            <w:tcW w:w="5000" w:type="pct"/>
            <w:gridSpan w:val="5"/>
            <w:tcBorders>
              <w:tl2br w:val="nil"/>
              <w:tr2bl w:val="nil"/>
            </w:tcBorders>
            <w:noWrap w:val="0"/>
            <w:vAlign w:val="center"/>
          </w:tcPr>
          <w:p w14:paraId="68728963">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i w:val="0"/>
                <w:color w:val="auto"/>
                <w:kern w:val="0"/>
                <w:sz w:val="21"/>
                <w:szCs w:val="21"/>
                <w:u w:val="none"/>
                <w:lang w:val="en-US" w:eastAsia="zh-CN" w:bidi="ar"/>
              </w:rPr>
            </w:pPr>
            <w:r>
              <w:rPr>
                <w:rFonts w:hint="default" w:cs="Times New Roman"/>
                <w:color w:val="000000"/>
                <w:sz w:val="24"/>
                <w:szCs w:val="24"/>
                <w:lang w:val="en-US" w:eastAsia="zh-CN"/>
              </w:rPr>
              <w:t>详细评审</w:t>
            </w:r>
            <w:r>
              <w:rPr>
                <w:rFonts w:hint="eastAsia" w:ascii="宋体" w:hAnsi="宋体" w:eastAsia="宋体" w:cs="宋体"/>
                <w:i w:val="0"/>
                <w:color w:val="auto"/>
                <w:kern w:val="0"/>
                <w:sz w:val="21"/>
                <w:szCs w:val="21"/>
                <w:u w:val="none"/>
                <w:lang w:val="en-US" w:eastAsia="zh-CN" w:bidi="ar"/>
              </w:rPr>
              <w:t>评分办法名称：综合评估法</w:t>
            </w:r>
          </w:p>
        </w:tc>
      </w:tr>
      <w:tr w14:paraId="0F88F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0" w:hRule="atLeast"/>
          <w:jc w:val="center"/>
        </w:trPr>
        <w:tc>
          <w:tcPr>
            <w:tcW w:w="5000" w:type="pct"/>
            <w:gridSpan w:val="5"/>
            <w:tcBorders>
              <w:tl2br w:val="nil"/>
              <w:tr2bl w:val="nil"/>
            </w:tcBorders>
            <w:noWrap w:val="0"/>
            <w:vAlign w:val="center"/>
          </w:tcPr>
          <w:p w14:paraId="1EA20C09">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sz w:val="28"/>
              </w:rPr>
              <w:t>（</w:t>
            </w:r>
            <w:r>
              <w:rPr>
                <w:rFonts w:hint="eastAsia" w:ascii="宋体" w:hAnsi="宋体" w:eastAsia="宋体" w:cs="宋体"/>
                <w:sz w:val="28"/>
                <w:lang w:val="en-US" w:eastAsia="zh-CN"/>
              </w:rPr>
              <w:t>一</w:t>
            </w:r>
            <w:r>
              <w:rPr>
                <w:rFonts w:hint="eastAsia" w:ascii="宋体" w:hAnsi="宋体" w:eastAsia="宋体" w:cs="宋体"/>
                <w:sz w:val="28"/>
              </w:rPr>
              <w:t>）</w:t>
            </w:r>
            <w:r>
              <w:rPr>
                <w:rFonts w:hint="eastAsia" w:ascii="宋体" w:hAnsi="宋体" w:eastAsia="宋体" w:cs="宋体"/>
                <w:b/>
                <w:sz w:val="28"/>
                <w:lang w:val="en-US" w:eastAsia="zh-CN"/>
              </w:rPr>
              <w:t>商务</w:t>
            </w:r>
            <w:r>
              <w:rPr>
                <w:rFonts w:hint="eastAsia" w:ascii="宋体" w:hAnsi="宋体" w:eastAsia="宋体" w:cs="宋体"/>
                <w:b/>
                <w:sz w:val="28"/>
              </w:rPr>
              <w:t>评审（</w:t>
            </w:r>
            <w:r>
              <w:rPr>
                <w:rFonts w:hint="eastAsia" w:ascii="宋体" w:hAnsi="宋体" w:eastAsia="宋体" w:cs="宋体"/>
                <w:b/>
                <w:sz w:val="28"/>
                <w:lang w:val="en-US" w:eastAsia="zh-CN"/>
              </w:rPr>
              <w:t>100</w:t>
            </w:r>
            <w:r>
              <w:rPr>
                <w:rFonts w:hint="eastAsia" w:ascii="宋体" w:hAnsi="宋体" w:eastAsia="宋体" w:cs="宋体"/>
                <w:b/>
                <w:sz w:val="28"/>
              </w:rPr>
              <w:t>）分</w:t>
            </w:r>
          </w:p>
        </w:tc>
      </w:tr>
      <w:tr w14:paraId="56839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0" w:hRule="atLeast"/>
          <w:jc w:val="center"/>
        </w:trPr>
        <w:tc>
          <w:tcPr>
            <w:tcW w:w="399" w:type="pct"/>
            <w:tcBorders>
              <w:tl2br w:val="nil"/>
              <w:tr2bl w:val="nil"/>
            </w:tcBorders>
            <w:noWrap w:val="0"/>
            <w:vAlign w:val="center"/>
          </w:tcPr>
          <w:p w14:paraId="77438591">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b/>
                <w:bCs/>
                <w:i w:val="0"/>
                <w:color w:val="auto"/>
                <w:kern w:val="0"/>
                <w:sz w:val="21"/>
                <w:szCs w:val="21"/>
                <w:u w:val="none"/>
                <w:lang w:val="en-US" w:eastAsia="zh-CN" w:bidi="ar"/>
              </w:rPr>
            </w:pPr>
            <w:r>
              <w:rPr>
                <w:rFonts w:hint="eastAsia" w:ascii="宋体" w:hAnsi="宋体" w:eastAsia="宋体" w:cs="宋体"/>
                <w:b/>
                <w:bCs/>
                <w:i w:val="0"/>
                <w:color w:val="auto"/>
                <w:kern w:val="0"/>
                <w:sz w:val="21"/>
                <w:szCs w:val="21"/>
                <w:u w:val="none"/>
                <w:lang w:val="en-US" w:eastAsia="zh-CN" w:bidi="ar"/>
              </w:rPr>
              <w:t>序号</w:t>
            </w:r>
          </w:p>
        </w:tc>
        <w:tc>
          <w:tcPr>
            <w:tcW w:w="656" w:type="pct"/>
            <w:tcBorders>
              <w:tl2br w:val="nil"/>
              <w:tr2bl w:val="nil"/>
            </w:tcBorders>
            <w:noWrap w:val="0"/>
            <w:vAlign w:val="center"/>
          </w:tcPr>
          <w:p w14:paraId="65079DF3">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b/>
                <w:bCs/>
                <w:i w:val="0"/>
                <w:color w:val="auto"/>
                <w:kern w:val="0"/>
                <w:sz w:val="21"/>
                <w:szCs w:val="21"/>
                <w:u w:val="none"/>
                <w:lang w:val="en-US" w:eastAsia="zh-CN" w:bidi="ar"/>
              </w:rPr>
            </w:pPr>
            <w:r>
              <w:rPr>
                <w:rFonts w:hint="eastAsia" w:ascii="宋体" w:hAnsi="宋体" w:eastAsia="宋体" w:cs="宋体"/>
                <w:b/>
                <w:bCs/>
                <w:i w:val="0"/>
                <w:color w:val="auto"/>
                <w:kern w:val="0"/>
                <w:sz w:val="21"/>
                <w:szCs w:val="21"/>
                <w:u w:val="none"/>
                <w:lang w:val="en-US" w:eastAsia="zh-CN" w:bidi="ar"/>
              </w:rPr>
              <w:t>评审</w:t>
            </w:r>
          </w:p>
          <w:p w14:paraId="6470939B">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b/>
                <w:bCs/>
                <w:i w:val="0"/>
                <w:color w:val="auto"/>
                <w:kern w:val="0"/>
                <w:sz w:val="21"/>
                <w:szCs w:val="21"/>
                <w:u w:val="none"/>
                <w:lang w:val="en-US" w:eastAsia="zh-CN" w:bidi="ar"/>
              </w:rPr>
            </w:pPr>
            <w:r>
              <w:rPr>
                <w:rFonts w:hint="eastAsia" w:ascii="宋体" w:hAnsi="宋体" w:eastAsia="宋体" w:cs="宋体"/>
                <w:b/>
                <w:bCs/>
                <w:i w:val="0"/>
                <w:color w:val="auto"/>
                <w:kern w:val="0"/>
                <w:sz w:val="21"/>
                <w:szCs w:val="21"/>
                <w:u w:val="none"/>
                <w:lang w:val="en-US" w:eastAsia="zh-CN" w:bidi="ar"/>
              </w:rPr>
              <w:t>要素</w:t>
            </w:r>
          </w:p>
        </w:tc>
        <w:tc>
          <w:tcPr>
            <w:tcW w:w="428" w:type="pct"/>
            <w:tcBorders>
              <w:tl2br w:val="nil"/>
              <w:tr2bl w:val="nil"/>
            </w:tcBorders>
            <w:noWrap w:val="0"/>
            <w:vAlign w:val="center"/>
          </w:tcPr>
          <w:p w14:paraId="3CECE716">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b/>
                <w:bCs/>
                <w:i w:val="0"/>
                <w:color w:val="auto"/>
                <w:kern w:val="0"/>
                <w:sz w:val="21"/>
                <w:szCs w:val="21"/>
                <w:u w:val="none"/>
                <w:lang w:val="en-US" w:eastAsia="zh-CN" w:bidi="ar"/>
              </w:rPr>
            </w:pPr>
            <w:r>
              <w:rPr>
                <w:rFonts w:hint="eastAsia" w:ascii="宋体" w:hAnsi="宋体" w:eastAsia="宋体" w:cs="宋体"/>
                <w:b/>
                <w:bCs/>
                <w:i w:val="0"/>
                <w:color w:val="auto"/>
                <w:kern w:val="0"/>
                <w:sz w:val="21"/>
                <w:szCs w:val="21"/>
                <w:u w:val="none"/>
                <w:lang w:val="en-US" w:eastAsia="zh-CN" w:bidi="ar"/>
              </w:rPr>
              <w:t>详细评审项</w:t>
            </w:r>
          </w:p>
        </w:tc>
        <w:tc>
          <w:tcPr>
            <w:tcW w:w="3192" w:type="pct"/>
            <w:tcBorders>
              <w:tl2br w:val="nil"/>
              <w:tr2bl w:val="nil"/>
            </w:tcBorders>
            <w:noWrap w:val="0"/>
            <w:vAlign w:val="center"/>
          </w:tcPr>
          <w:p w14:paraId="08FBFF8A">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b/>
                <w:bCs/>
                <w:i w:val="0"/>
                <w:color w:val="auto"/>
                <w:kern w:val="0"/>
                <w:sz w:val="21"/>
                <w:szCs w:val="21"/>
                <w:u w:val="none"/>
                <w:lang w:val="en-US" w:eastAsia="zh-CN" w:bidi="ar"/>
              </w:rPr>
            </w:pPr>
            <w:r>
              <w:rPr>
                <w:rFonts w:hint="eastAsia" w:ascii="宋体" w:hAnsi="宋体" w:eastAsia="宋体" w:cs="宋体"/>
                <w:b/>
                <w:bCs/>
                <w:i w:val="0"/>
                <w:color w:val="auto"/>
                <w:kern w:val="0"/>
                <w:sz w:val="21"/>
                <w:szCs w:val="21"/>
                <w:u w:val="none"/>
                <w:lang w:val="en-US" w:eastAsia="zh-CN" w:bidi="ar"/>
              </w:rPr>
              <w:t>评审标准</w:t>
            </w:r>
          </w:p>
        </w:tc>
        <w:tc>
          <w:tcPr>
            <w:tcW w:w="323" w:type="pct"/>
            <w:tcBorders>
              <w:tl2br w:val="nil"/>
              <w:tr2bl w:val="nil"/>
            </w:tcBorders>
            <w:noWrap w:val="0"/>
            <w:vAlign w:val="center"/>
          </w:tcPr>
          <w:p w14:paraId="5A08D334">
            <w:pPr>
              <w:keepNext/>
              <w:keepLines/>
              <w:pageBreakBefore w:val="0"/>
              <w:widowControl/>
              <w:suppressLineNumbers w:val="0"/>
              <w:kinsoku/>
              <w:wordWrap/>
              <w:overflowPunct/>
              <w:topLinePunct w:val="0"/>
              <w:autoSpaceDE/>
              <w:autoSpaceDN/>
              <w:bidi w:val="0"/>
              <w:snapToGrid w:val="0"/>
              <w:jc w:val="left"/>
              <w:textAlignment w:val="center"/>
              <w:rPr>
                <w:rFonts w:hint="default" w:ascii="宋体" w:hAnsi="宋体" w:eastAsia="宋体" w:cs="宋体"/>
                <w:b/>
                <w:bCs/>
                <w:i w:val="0"/>
                <w:color w:val="auto"/>
                <w:kern w:val="0"/>
                <w:sz w:val="21"/>
                <w:szCs w:val="21"/>
                <w:u w:val="none"/>
                <w:lang w:val="en-US" w:eastAsia="zh-CN" w:bidi="ar"/>
              </w:rPr>
            </w:pPr>
            <w:r>
              <w:rPr>
                <w:rFonts w:hint="eastAsia" w:ascii="宋体" w:hAnsi="宋体" w:eastAsia="宋体" w:cs="宋体"/>
                <w:b/>
                <w:bCs/>
                <w:i w:val="0"/>
                <w:color w:val="auto"/>
                <w:kern w:val="0"/>
                <w:sz w:val="21"/>
                <w:szCs w:val="21"/>
                <w:u w:val="none"/>
                <w:lang w:val="en-US" w:eastAsia="zh-CN" w:bidi="ar"/>
              </w:rPr>
              <w:t>分值</w:t>
            </w:r>
          </w:p>
        </w:tc>
      </w:tr>
      <w:tr w14:paraId="6E3A4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0" w:hRule="atLeast"/>
          <w:jc w:val="center"/>
        </w:trPr>
        <w:tc>
          <w:tcPr>
            <w:tcW w:w="399" w:type="pct"/>
            <w:tcBorders>
              <w:tl2br w:val="nil"/>
              <w:tr2bl w:val="nil"/>
            </w:tcBorders>
            <w:noWrap w:val="0"/>
            <w:vAlign w:val="center"/>
          </w:tcPr>
          <w:p w14:paraId="70DEBF77">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1</w:t>
            </w:r>
          </w:p>
        </w:tc>
        <w:tc>
          <w:tcPr>
            <w:tcW w:w="656" w:type="pct"/>
            <w:vMerge w:val="restart"/>
            <w:tcBorders>
              <w:tl2br w:val="nil"/>
              <w:tr2bl w:val="nil"/>
            </w:tcBorders>
            <w:noWrap w:val="0"/>
            <w:vAlign w:val="center"/>
          </w:tcPr>
          <w:p w14:paraId="10EFBD21">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企业资质证书情况</w:t>
            </w:r>
          </w:p>
        </w:tc>
        <w:tc>
          <w:tcPr>
            <w:tcW w:w="428" w:type="pct"/>
            <w:tcBorders>
              <w:tl2br w:val="nil"/>
              <w:tr2bl w:val="nil"/>
            </w:tcBorders>
            <w:noWrap w:val="0"/>
            <w:vAlign w:val="center"/>
          </w:tcPr>
          <w:p w14:paraId="5DBA2E82">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质量管理体系</w:t>
            </w:r>
          </w:p>
        </w:tc>
        <w:tc>
          <w:tcPr>
            <w:tcW w:w="3192" w:type="pct"/>
            <w:tcBorders>
              <w:tl2br w:val="nil"/>
              <w:tr2bl w:val="nil"/>
            </w:tcBorders>
            <w:noWrap w:val="0"/>
            <w:vAlign w:val="center"/>
          </w:tcPr>
          <w:p w14:paraId="6D358129">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通过质量管理体系认证，认证范围覆盖采购物资，证书在有效期内。是得满分，否或未提供相关佐证材料得 0 分。</w:t>
            </w:r>
          </w:p>
          <w:p w14:paraId="350AC68C">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佐证材料说明：提供相关证书的扫描件或照片。</w:t>
            </w:r>
          </w:p>
        </w:tc>
        <w:tc>
          <w:tcPr>
            <w:tcW w:w="323" w:type="pct"/>
            <w:tcBorders>
              <w:tl2br w:val="nil"/>
              <w:tr2bl w:val="nil"/>
            </w:tcBorders>
            <w:noWrap w:val="0"/>
            <w:vAlign w:val="center"/>
          </w:tcPr>
          <w:p w14:paraId="02C4B13E">
            <w:pPr>
              <w:keepNext/>
              <w:keepLines/>
              <w:pageBreakBefore w:val="0"/>
              <w:widowControl/>
              <w:suppressLineNumbers w:val="0"/>
              <w:kinsoku/>
              <w:wordWrap/>
              <w:overflowPunct/>
              <w:topLinePunct w:val="0"/>
              <w:autoSpaceDE/>
              <w:autoSpaceDN/>
              <w:bidi w:val="0"/>
              <w:snapToGrid w:val="0"/>
              <w:jc w:val="center"/>
              <w:textAlignment w:val="auto"/>
              <w:rPr>
                <w:rFonts w:hint="default" w:ascii="宋体" w:hAnsi="宋体" w:eastAsia="宋体" w:cs="宋体"/>
                <w:i w:val="0"/>
                <w:color w:val="auto"/>
                <w:kern w:val="0"/>
                <w:sz w:val="21"/>
                <w:szCs w:val="21"/>
                <w:u w:val="none"/>
                <w:lang w:val="en-US" w:eastAsia="zh-CN" w:bidi="ar"/>
              </w:rPr>
            </w:pPr>
            <w:r>
              <w:rPr>
                <w:rFonts w:hint="eastAsia" w:ascii="仿宋" w:hAnsi="仿宋" w:eastAsia="仿宋" w:cs="仿宋"/>
                <w:color w:val="auto"/>
                <w:kern w:val="0"/>
                <w:sz w:val="21"/>
                <w:szCs w:val="21"/>
                <w:highlight w:val="none"/>
              </w:rPr>
              <w:t>5</w:t>
            </w:r>
          </w:p>
        </w:tc>
      </w:tr>
      <w:tr w14:paraId="7D591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0" w:hRule="atLeast"/>
          <w:jc w:val="center"/>
        </w:trPr>
        <w:tc>
          <w:tcPr>
            <w:tcW w:w="399" w:type="pct"/>
            <w:tcBorders>
              <w:tl2br w:val="nil"/>
              <w:tr2bl w:val="nil"/>
            </w:tcBorders>
            <w:noWrap w:val="0"/>
            <w:vAlign w:val="center"/>
          </w:tcPr>
          <w:p w14:paraId="1E18FE56">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2</w:t>
            </w:r>
          </w:p>
        </w:tc>
        <w:tc>
          <w:tcPr>
            <w:tcW w:w="656" w:type="pct"/>
            <w:vMerge w:val="continue"/>
            <w:tcBorders>
              <w:tl2br w:val="nil"/>
              <w:tr2bl w:val="nil"/>
            </w:tcBorders>
            <w:noWrap w:val="0"/>
            <w:vAlign w:val="center"/>
          </w:tcPr>
          <w:p w14:paraId="0ECED7DE">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p>
        </w:tc>
        <w:tc>
          <w:tcPr>
            <w:tcW w:w="428" w:type="pct"/>
            <w:tcBorders>
              <w:tl2br w:val="nil"/>
              <w:tr2bl w:val="nil"/>
            </w:tcBorders>
            <w:noWrap w:val="0"/>
            <w:vAlign w:val="center"/>
          </w:tcPr>
          <w:p w14:paraId="52409ACB">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环境管理体系</w:t>
            </w:r>
          </w:p>
        </w:tc>
        <w:tc>
          <w:tcPr>
            <w:tcW w:w="3192" w:type="pct"/>
            <w:tcBorders>
              <w:tl2br w:val="nil"/>
              <w:tr2bl w:val="nil"/>
            </w:tcBorders>
            <w:noWrap w:val="0"/>
            <w:vAlign w:val="center"/>
          </w:tcPr>
          <w:p w14:paraId="7C2B14CC">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通过环境管理体系认证，认证范围覆盖采购物资，证书在有效期内。是得满分，否或未提供相关佐证材料得 0 分。</w:t>
            </w:r>
          </w:p>
          <w:p w14:paraId="4D65531C">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佐证材料说明：提供相关证书的扫描件或照片。</w:t>
            </w:r>
          </w:p>
        </w:tc>
        <w:tc>
          <w:tcPr>
            <w:tcW w:w="323" w:type="pct"/>
            <w:tcBorders>
              <w:tl2br w:val="nil"/>
              <w:tr2bl w:val="nil"/>
            </w:tcBorders>
            <w:noWrap w:val="0"/>
            <w:vAlign w:val="center"/>
          </w:tcPr>
          <w:p w14:paraId="3404EE7B">
            <w:pPr>
              <w:keepNext/>
              <w:keepLines/>
              <w:pageBreakBefore w:val="0"/>
              <w:widowControl/>
              <w:suppressLineNumbers w:val="0"/>
              <w:kinsoku/>
              <w:wordWrap/>
              <w:overflowPunct/>
              <w:topLinePunct w:val="0"/>
              <w:autoSpaceDE/>
              <w:autoSpaceDN/>
              <w:bidi w:val="0"/>
              <w:snapToGrid w:val="0"/>
              <w:jc w:val="center"/>
              <w:textAlignment w:val="auto"/>
              <w:rPr>
                <w:rFonts w:hint="default" w:ascii="宋体" w:hAnsi="宋体" w:eastAsia="宋体" w:cs="宋体"/>
                <w:i w:val="0"/>
                <w:color w:val="auto"/>
                <w:kern w:val="0"/>
                <w:sz w:val="21"/>
                <w:szCs w:val="21"/>
                <w:u w:val="none"/>
                <w:lang w:val="en-US" w:eastAsia="zh-CN" w:bidi="ar"/>
              </w:rPr>
            </w:pPr>
            <w:r>
              <w:rPr>
                <w:rFonts w:hint="eastAsia" w:ascii="仿宋" w:hAnsi="仿宋" w:eastAsia="仿宋" w:cs="仿宋"/>
                <w:color w:val="auto"/>
                <w:kern w:val="0"/>
                <w:sz w:val="21"/>
                <w:szCs w:val="21"/>
                <w:highlight w:val="none"/>
              </w:rPr>
              <w:t>5</w:t>
            </w:r>
          </w:p>
        </w:tc>
      </w:tr>
      <w:tr w14:paraId="5ABD3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0" w:hRule="atLeast"/>
          <w:jc w:val="center"/>
        </w:trPr>
        <w:tc>
          <w:tcPr>
            <w:tcW w:w="399" w:type="pct"/>
            <w:tcBorders>
              <w:tl2br w:val="nil"/>
              <w:tr2bl w:val="nil"/>
            </w:tcBorders>
            <w:noWrap w:val="0"/>
            <w:vAlign w:val="center"/>
          </w:tcPr>
          <w:p w14:paraId="7AC00A59">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3</w:t>
            </w:r>
          </w:p>
        </w:tc>
        <w:tc>
          <w:tcPr>
            <w:tcW w:w="656" w:type="pct"/>
            <w:vMerge w:val="continue"/>
            <w:tcBorders>
              <w:tl2br w:val="nil"/>
              <w:tr2bl w:val="nil"/>
            </w:tcBorders>
            <w:noWrap w:val="0"/>
            <w:vAlign w:val="center"/>
          </w:tcPr>
          <w:p w14:paraId="5A65149F">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p>
        </w:tc>
        <w:tc>
          <w:tcPr>
            <w:tcW w:w="428" w:type="pct"/>
            <w:tcBorders>
              <w:tl2br w:val="nil"/>
              <w:tr2bl w:val="nil"/>
            </w:tcBorders>
            <w:noWrap w:val="0"/>
            <w:vAlign w:val="center"/>
          </w:tcPr>
          <w:p w14:paraId="5ED89F9B">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职业健康安全管理体系</w:t>
            </w:r>
          </w:p>
        </w:tc>
        <w:tc>
          <w:tcPr>
            <w:tcW w:w="3192" w:type="pct"/>
            <w:tcBorders>
              <w:tl2br w:val="nil"/>
              <w:tr2bl w:val="nil"/>
            </w:tcBorders>
            <w:noWrap w:val="0"/>
            <w:vAlign w:val="center"/>
          </w:tcPr>
          <w:p w14:paraId="106D1B37">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通过职业健康安全管理体系认证，认证范围覆盖采购物资，证书在有效期内。是得满分，否或未提供相关佐证材料得 0 分。</w:t>
            </w:r>
          </w:p>
          <w:p w14:paraId="4A772F4A">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佐证材料说明：提供相关证书的扫描件或照片。</w:t>
            </w:r>
          </w:p>
        </w:tc>
        <w:tc>
          <w:tcPr>
            <w:tcW w:w="323" w:type="pct"/>
            <w:tcBorders>
              <w:tl2br w:val="nil"/>
              <w:tr2bl w:val="nil"/>
            </w:tcBorders>
            <w:noWrap w:val="0"/>
            <w:vAlign w:val="center"/>
          </w:tcPr>
          <w:p w14:paraId="53D83DC9">
            <w:pPr>
              <w:keepNext/>
              <w:keepLines/>
              <w:pageBreakBefore w:val="0"/>
              <w:widowControl/>
              <w:suppressLineNumbers w:val="0"/>
              <w:kinsoku/>
              <w:wordWrap/>
              <w:overflowPunct/>
              <w:topLinePunct w:val="0"/>
              <w:autoSpaceDE/>
              <w:autoSpaceDN/>
              <w:bidi w:val="0"/>
              <w:snapToGrid w:val="0"/>
              <w:jc w:val="center"/>
              <w:textAlignment w:val="auto"/>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color w:val="auto"/>
                <w:kern w:val="0"/>
                <w:sz w:val="21"/>
                <w:szCs w:val="21"/>
                <w:highlight w:val="none"/>
              </w:rPr>
              <w:t>5</w:t>
            </w:r>
          </w:p>
        </w:tc>
      </w:tr>
      <w:tr w14:paraId="42474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0" w:hRule="atLeast"/>
          <w:jc w:val="center"/>
        </w:trPr>
        <w:tc>
          <w:tcPr>
            <w:tcW w:w="399" w:type="pct"/>
            <w:tcBorders>
              <w:tl2br w:val="nil"/>
              <w:tr2bl w:val="nil"/>
            </w:tcBorders>
            <w:noWrap w:val="0"/>
            <w:vAlign w:val="center"/>
          </w:tcPr>
          <w:p w14:paraId="697DB839">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sz w:val="21"/>
                <w:szCs w:val="21"/>
                <w:u w:val="none"/>
              </w:rPr>
            </w:pPr>
            <w:r>
              <w:rPr>
                <w:rFonts w:hint="eastAsia" w:ascii="仿宋" w:hAnsi="仿宋" w:eastAsia="仿宋" w:cs="仿宋"/>
                <w:i w:val="0"/>
                <w:color w:val="auto"/>
                <w:kern w:val="0"/>
                <w:sz w:val="21"/>
                <w:szCs w:val="21"/>
                <w:u w:val="none"/>
                <w:lang w:val="en-US" w:eastAsia="zh-CN" w:bidi="ar"/>
              </w:rPr>
              <w:t>4</w:t>
            </w:r>
          </w:p>
        </w:tc>
        <w:tc>
          <w:tcPr>
            <w:tcW w:w="656" w:type="pct"/>
            <w:vMerge w:val="continue"/>
            <w:tcBorders>
              <w:tl2br w:val="nil"/>
              <w:tr2bl w:val="nil"/>
            </w:tcBorders>
            <w:noWrap w:val="0"/>
            <w:vAlign w:val="center"/>
          </w:tcPr>
          <w:p w14:paraId="6FF8004E">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sz w:val="21"/>
                <w:szCs w:val="21"/>
                <w:u w:val="none"/>
              </w:rPr>
            </w:pPr>
          </w:p>
        </w:tc>
        <w:tc>
          <w:tcPr>
            <w:tcW w:w="428" w:type="pct"/>
            <w:tcBorders>
              <w:tl2br w:val="nil"/>
              <w:tr2bl w:val="nil"/>
            </w:tcBorders>
            <w:noWrap w:val="0"/>
            <w:vAlign w:val="center"/>
          </w:tcPr>
          <w:p w14:paraId="629D972A">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sz w:val="21"/>
                <w:szCs w:val="21"/>
                <w:u w:val="none"/>
              </w:rPr>
            </w:pPr>
            <w:r>
              <w:rPr>
                <w:rFonts w:hint="eastAsia" w:ascii="仿宋" w:hAnsi="仿宋" w:eastAsia="仿宋" w:cs="仿宋"/>
                <w:i w:val="0"/>
                <w:color w:val="auto"/>
                <w:kern w:val="0"/>
                <w:sz w:val="21"/>
                <w:szCs w:val="21"/>
                <w:u w:val="none"/>
                <w:lang w:val="en-US" w:eastAsia="zh-CN" w:bidi="ar"/>
              </w:rPr>
              <w:t>信息安全管理体系</w:t>
            </w:r>
          </w:p>
        </w:tc>
        <w:tc>
          <w:tcPr>
            <w:tcW w:w="3192" w:type="pct"/>
            <w:tcBorders>
              <w:tl2br w:val="nil"/>
              <w:tr2bl w:val="nil"/>
            </w:tcBorders>
            <w:noWrap w:val="0"/>
            <w:vAlign w:val="center"/>
          </w:tcPr>
          <w:p w14:paraId="3D87BB2F">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通过信息安全管理体系认证，认证范围覆盖采购物资，证书在有效期内。是得满分，否或未提供相关佐证材料得 0 分。</w:t>
            </w:r>
          </w:p>
          <w:p w14:paraId="18A4BE27">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i w:val="0"/>
                <w:color w:val="auto"/>
                <w:sz w:val="21"/>
                <w:szCs w:val="21"/>
                <w:u w:val="none"/>
                <w:lang w:val="en-US"/>
              </w:rPr>
            </w:pPr>
            <w:r>
              <w:rPr>
                <w:rFonts w:hint="eastAsia" w:ascii="仿宋" w:hAnsi="仿宋" w:eastAsia="仿宋" w:cs="仿宋"/>
                <w:i w:val="0"/>
                <w:color w:val="auto"/>
                <w:kern w:val="0"/>
                <w:sz w:val="21"/>
                <w:szCs w:val="21"/>
                <w:u w:val="none"/>
                <w:lang w:val="en-US" w:eastAsia="zh-CN" w:bidi="ar"/>
              </w:rPr>
              <w:t>佐证材料说明：提供相关证书的扫描件或照片。</w:t>
            </w:r>
          </w:p>
        </w:tc>
        <w:tc>
          <w:tcPr>
            <w:tcW w:w="323" w:type="pct"/>
            <w:tcBorders>
              <w:tl2br w:val="nil"/>
              <w:tr2bl w:val="nil"/>
            </w:tcBorders>
            <w:noWrap w:val="0"/>
            <w:vAlign w:val="center"/>
          </w:tcPr>
          <w:p w14:paraId="4D2AB1D4">
            <w:pPr>
              <w:keepNext/>
              <w:keepLines/>
              <w:pageBreakBefore w:val="0"/>
              <w:widowControl/>
              <w:suppressLineNumbers w:val="0"/>
              <w:kinsoku/>
              <w:wordWrap/>
              <w:overflowPunct/>
              <w:topLinePunct w:val="0"/>
              <w:autoSpaceDE/>
              <w:autoSpaceDN/>
              <w:bidi w:val="0"/>
              <w:snapToGrid w:val="0"/>
              <w:jc w:val="center"/>
              <w:textAlignment w:val="auto"/>
            </w:pPr>
            <w:r>
              <w:rPr>
                <w:rFonts w:hint="eastAsia" w:ascii="仿宋" w:hAnsi="仿宋" w:eastAsia="仿宋" w:cs="仿宋"/>
                <w:color w:val="auto"/>
                <w:kern w:val="0"/>
                <w:sz w:val="21"/>
                <w:szCs w:val="21"/>
                <w:highlight w:val="none"/>
              </w:rPr>
              <w:t>5</w:t>
            </w:r>
          </w:p>
        </w:tc>
      </w:tr>
      <w:tr w14:paraId="6991B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0" w:hRule="atLeast"/>
          <w:jc w:val="center"/>
        </w:trPr>
        <w:tc>
          <w:tcPr>
            <w:tcW w:w="399" w:type="pct"/>
            <w:tcBorders>
              <w:tl2br w:val="nil"/>
              <w:tr2bl w:val="nil"/>
            </w:tcBorders>
            <w:noWrap w:val="0"/>
            <w:vAlign w:val="center"/>
          </w:tcPr>
          <w:p w14:paraId="39207E63">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sz w:val="21"/>
                <w:szCs w:val="21"/>
                <w:u w:val="none"/>
                <w:lang w:val="en-US" w:eastAsia="zh-CN"/>
              </w:rPr>
            </w:pPr>
            <w:r>
              <w:rPr>
                <w:rFonts w:hint="eastAsia" w:ascii="仿宋" w:hAnsi="仿宋" w:eastAsia="仿宋" w:cs="仿宋"/>
                <w:i w:val="0"/>
                <w:color w:val="auto"/>
                <w:kern w:val="0"/>
                <w:sz w:val="21"/>
                <w:szCs w:val="21"/>
                <w:u w:val="none"/>
                <w:lang w:val="en-US" w:eastAsia="zh-CN" w:bidi="ar"/>
              </w:rPr>
              <w:t>5</w:t>
            </w:r>
          </w:p>
        </w:tc>
        <w:tc>
          <w:tcPr>
            <w:tcW w:w="656" w:type="pct"/>
            <w:vMerge w:val="continue"/>
            <w:tcBorders>
              <w:tl2br w:val="nil"/>
              <w:tr2bl w:val="nil"/>
            </w:tcBorders>
            <w:noWrap w:val="0"/>
            <w:vAlign w:val="center"/>
          </w:tcPr>
          <w:p w14:paraId="7AB86C3D">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2"/>
                <w:sz w:val="21"/>
                <w:szCs w:val="21"/>
                <w:u w:val="none"/>
                <w:lang w:val="en-US" w:eastAsia="zh-CN" w:bidi="ar-SA"/>
              </w:rPr>
            </w:pPr>
          </w:p>
        </w:tc>
        <w:tc>
          <w:tcPr>
            <w:tcW w:w="428" w:type="pct"/>
            <w:tcBorders>
              <w:tl2br w:val="nil"/>
              <w:tr2bl w:val="nil"/>
            </w:tcBorders>
            <w:noWrap w:val="0"/>
            <w:vAlign w:val="center"/>
          </w:tcPr>
          <w:p w14:paraId="5C0B54E8">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2"/>
                <w:sz w:val="21"/>
                <w:szCs w:val="21"/>
                <w:u w:val="none"/>
                <w:lang w:val="en-US" w:eastAsia="zh-CN" w:bidi="ar-SA"/>
              </w:rPr>
            </w:pPr>
            <w:r>
              <w:rPr>
                <w:rFonts w:hint="eastAsia" w:ascii="仿宋" w:hAnsi="仿宋" w:eastAsia="仿宋" w:cs="仿宋"/>
                <w:i w:val="0"/>
                <w:color w:val="auto"/>
                <w:kern w:val="0"/>
                <w:sz w:val="21"/>
                <w:szCs w:val="21"/>
                <w:u w:val="none"/>
                <w:lang w:val="en-US" w:eastAsia="zh-CN" w:bidi="ar"/>
              </w:rPr>
              <w:t>软件成熟度认证</w:t>
            </w:r>
          </w:p>
        </w:tc>
        <w:tc>
          <w:tcPr>
            <w:tcW w:w="3192" w:type="pct"/>
            <w:tcBorders>
              <w:tl2br w:val="nil"/>
              <w:tr2bl w:val="nil"/>
            </w:tcBorders>
            <w:noWrap w:val="0"/>
            <w:vAlign w:val="center"/>
          </w:tcPr>
          <w:p w14:paraId="431A3685">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具有软件能力成熟度 CMMI5 认证，得 5 分；</w:t>
            </w:r>
          </w:p>
          <w:p w14:paraId="4391F595">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具有软件能力成熟度 CMMI4 认证，得 4 分；</w:t>
            </w:r>
          </w:p>
          <w:p w14:paraId="0B0E3555">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具有软件能力成熟度 CMMI3 认证，得 3 分；</w:t>
            </w:r>
          </w:p>
          <w:p w14:paraId="6CA21F0C">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具有软件能力成熟度 CMMI2 认证，得 2 分；</w:t>
            </w:r>
          </w:p>
          <w:p w14:paraId="0015F49A">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具有软件能力成熟度 CMMI1 认证，得 1 分；</w:t>
            </w:r>
          </w:p>
          <w:p w14:paraId="037D9CCD">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无或未提供相关证明材料，不得分。</w:t>
            </w:r>
          </w:p>
          <w:p w14:paraId="521635C8">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i w:val="0"/>
                <w:color w:val="auto"/>
                <w:kern w:val="2"/>
                <w:sz w:val="21"/>
                <w:szCs w:val="21"/>
                <w:u w:val="none"/>
                <w:lang w:val="en-US" w:eastAsia="zh-CN" w:bidi="ar-SA"/>
              </w:rPr>
            </w:pPr>
            <w:r>
              <w:rPr>
                <w:rFonts w:hint="eastAsia" w:ascii="仿宋" w:hAnsi="仿宋" w:eastAsia="仿宋" w:cs="仿宋"/>
                <w:i w:val="0"/>
                <w:color w:val="auto"/>
                <w:kern w:val="0"/>
                <w:sz w:val="21"/>
                <w:szCs w:val="21"/>
                <w:u w:val="none"/>
                <w:lang w:val="en-US" w:eastAsia="zh-CN" w:bidi="ar"/>
              </w:rPr>
              <w:t>佐证材料说明：提供相关证书的扫描件或照片。</w:t>
            </w:r>
          </w:p>
        </w:tc>
        <w:tc>
          <w:tcPr>
            <w:tcW w:w="323" w:type="pct"/>
            <w:tcBorders>
              <w:tl2br w:val="nil"/>
              <w:tr2bl w:val="nil"/>
            </w:tcBorders>
            <w:noWrap w:val="0"/>
            <w:vAlign w:val="center"/>
          </w:tcPr>
          <w:p w14:paraId="30F1C51F">
            <w:pPr>
              <w:keepNext/>
              <w:keepLines/>
              <w:pageBreakBefore w:val="0"/>
              <w:widowControl/>
              <w:suppressLineNumbers w:val="0"/>
              <w:kinsoku/>
              <w:wordWrap/>
              <w:overflowPunct/>
              <w:topLinePunct w:val="0"/>
              <w:autoSpaceDE/>
              <w:autoSpaceDN/>
              <w:bidi w:val="0"/>
              <w:snapToGrid w:val="0"/>
              <w:jc w:val="center"/>
              <w:textAlignment w:val="auto"/>
            </w:pPr>
            <w:r>
              <w:rPr>
                <w:rFonts w:hint="eastAsia" w:ascii="仿宋" w:hAnsi="仿宋" w:eastAsia="仿宋" w:cs="仿宋"/>
                <w:color w:val="auto"/>
                <w:kern w:val="0"/>
                <w:sz w:val="21"/>
                <w:szCs w:val="21"/>
                <w:highlight w:val="none"/>
              </w:rPr>
              <w:t>5</w:t>
            </w:r>
          </w:p>
        </w:tc>
      </w:tr>
      <w:tr w14:paraId="24C47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0" w:hRule="atLeast"/>
          <w:jc w:val="center"/>
        </w:trPr>
        <w:tc>
          <w:tcPr>
            <w:tcW w:w="399" w:type="pct"/>
            <w:tcBorders>
              <w:tl2br w:val="nil"/>
              <w:tr2bl w:val="nil"/>
            </w:tcBorders>
            <w:noWrap w:val="0"/>
            <w:vAlign w:val="center"/>
          </w:tcPr>
          <w:p w14:paraId="31AEB094">
            <w:pPr>
              <w:keepNext/>
              <w:keepLines/>
              <w:pageBreakBefore w:val="0"/>
              <w:widowControl/>
              <w:suppressLineNumbers w:val="0"/>
              <w:kinsoku/>
              <w:wordWrap/>
              <w:overflowPunct/>
              <w:topLinePunct w:val="0"/>
              <w:autoSpaceDE/>
              <w:autoSpaceDN/>
              <w:bidi w:val="0"/>
              <w:snapToGrid w:val="0"/>
              <w:jc w:val="center"/>
              <w:textAlignment w:val="center"/>
              <w:rPr>
                <w:rFonts w:hint="default" w:ascii="宋体" w:hAnsi="宋体" w:eastAsia="宋体" w:cs="宋体"/>
                <w:i w:val="0"/>
                <w:color w:val="auto"/>
                <w:sz w:val="21"/>
                <w:szCs w:val="21"/>
                <w:u w:val="none"/>
                <w:lang w:val="en-US" w:eastAsia="zh-CN"/>
              </w:rPr>
            </w:pPr>
            <w:r>
              <w:rPr>
                <w:rFonts w:hint="eastAsia" w:ascii="仿宋" w:hAnsi="仿宋" w:eastAsia="仿宋" w:cs="仿宋"/>
                <w:i w:val="0"/>
                <w:color w:val="auto"/>
                <w:kern w:val="0"/>
                <w:sz w:val="21"/>
                <w:szCs w:val="21"/>
                <w:u w:val="none"/>
                <w:lang w:val="en-US" w:eastAsia="zh-CN" w:bidi="ar"/>
              </w:rPr>
              <w:t>6</w:t>
            </w:r>
          </w:p>
        </w:tc>
        <w:tc>
          <w:tcPr>
            <w:tcW w:w="656" w:type="pct"/>
            <w:vMerge w:val="restart"/>
            <w:tcBorders>
              <w:tl2br w:val="nil"/>
              <w:tr2bl w:val="nil"/>
            </w:tcBorders>
            <w:noWrap w:val="0"/>
            <w:vAlign w:val="center"/>
          </w:tcPr>
          <w:p w14:paraId="0F6E5848">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财务状况</w:t>
            </w:r>
          </w:p>
        </w:tc>
        <w:tc>
          <w:tcPr>
            <w:tcW w:w="428" w:type="pct"/>
            <w:tcBorders>
              <w:tl2br w:val="nil"/>
              <w:tr2bl w:val="nil"/>
            </w:tcBorders>
            <w:noWrap w:val="0"/>
            <w:vAlign w:val="center"/>
          </w:tcPr>
          <w:p w14:paraId="0FD8A519">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近三年平均营业净利率</w:t>
            </w:r>
          </w:p>
        </w:tc>
        <w:tc>
          <w:tcPr>
            <w:tcW w:w="3192" w:type="pct"/>
            <w:tcBorders>
              <w:tl2br w:val="nil"/>
              <w:tr2bl w:val="nil"/>
            </w:tcBorders>
            <w:noWrap w:val="0"/>
            <w:vAlign w:val="center"/>
          </w:tcPr>
          <w:p w14:paraId="7A68AC35">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按照响应数值由大到小横向排名，第一名得满分，每下降一名扣相应比例分数（总分/通过初评的投标人数量）。相同数值排名一致，之后排名依次增加（如排名第一者有 2家，则之后一家按排名第二处理），最后得分四舍五入保留 2 位小数。</w:t>
            </w:r>
          </w:p>
          <w:p w14:paraId="5E4FFC3D">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注：投标截止时间在当年 6 月 30 日及以前，未出具上年度财务报表时可上传前一年度财务报表；6 月 30 日以后，应上传上年度财务报表。未按年份和时间要求提供财务报表的本项得 0 分，新成立公司按公司成立时间提供。</w:t>
            </w:r>
          </w:p>
          <w:p w14:paraId="43C34298">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佐证材料说明：近三年经审计的财务报告中资产负债表、现金流量表、利润表和财务情况说明书等财务报表关键页以及审计报告，如其中任一年审计报告的审计意见为“否定意见”或“无法表示意见，本项不得分。（如投标截止是 2026 年 6 月 30 日及以前，未出具上一年财务报告时，可提供 2022、2023 和 2024 年的财务报告；如投标截止为 2026 年 6 月 30 日以后，则需提 2023、2024 和 2025 年财务报告)</w:t>
            </w:r>
          </w:p>
          <w:p w14:paraId="5CBFBC02">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i w:val="0"/>
                <w:color w:val="auto"/>
                <w:sz w:val="21"/>
                <w:szCs w:val="21"/>
                <w:u w:val="none"/>
              </w:rPr>
            </w:pPr>
            <w:r>
              <w:rPr>
                <w:rFonts w:hint="eastAsia" w:ascii="仿宋" w:hAnsi="仿宋" w:eastAsia="仿宋" w:cs="仿宋"/>
                <w:i w:val="0"/>
                <w:color w:val="auto"/>
                <w:kern w:val="0"/>
                <w:sz w:val="21"/>
                <w:szCs w:val="21"/>
                <w:u w:val="none"/>
                <w:lang w:val="en-US" w:eastAsia="zh-CN" w:bidi="ar"/>
              </w:rPr>
              <w:t>营业净利率=净利润/营业收入；公式中“营业收入”在利润（分配）表中体现为“主营业务收入”，或“营业收入”。</w:t>
            </w:r>
          </w:p>
        </w:tc>
        <w:tc>
          <w:tcPr>
            <w:tcW w:w="323" w:type="pct"/>
            <w:tcBorders>
              <w:tl2br w:val="nil"/>
              <w:tr2bl w:val="nil"/>
            </w:tcBorders>
            <w:noWrap w:val="0"/>
            <w:vAlign w:val="center"/>
          </w:tcPr>
          <w:p w14:paraId="4E3FD37D">
            <w:pPr>
              <w:keepNext/>
              <w:keepLines/>
              <w:pageBreakBefore w:val="0"/>
              <w:widowControl/>
              <w:suppressLineNumbers w:val="0"/>
              <w:kinsoku/>
              <w:wordWrap/>
              <w:overflowPunct/>
              <w:topLinePunct w:val="0"/>
              <w:autoSpaceDE/>
              <w:autoSpaceDN/>
              <w:bidi w:val="0"/>
              <w:snapToGrid w:val="0"/>
              <w:jc w:val="center"/>
              <w:textAlignment w:val="auto"/>
            </w:pPr>
            <w:r>
              <w:rPr>
                <w:rFonts w:hint="eastAsia" w:ascii="仿宋" w:hAnsi="仿宋" w:eastAsia="仿宋" w:cs="仿宋"/>
                <w:color w:val="auto"/>
                <w:kern w:val="0"/>
                <w:sz w:val="21"/>
                <w:szCs w:val="21"/>
                <w:highlight w:val="none"/>
                <w:lang w:val="en-US" w:eastAsia="zh-CN"/>
              </w:rPr>
              <w:t>8</w:t>
            </w:r>
          </w:p>
        </w:tc>
      </w:tr>
      <w:tr w14:paraId="53F16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0" w:hRule="atLeast"/>
          <w:jc w:val="center"/>
        </w:trPr>
        <w:tc>
          <w:tcPr>
            <w:tcW w:w="399" w:type="pct"/>
            <w:tcBorders>
              <w:tl2br w:val="nil"/>
              <w:tr2bl w:val="nil"/>
            </w:tcBorders>
            <w:noWrap w:val="0"/>
            <w:vAlign w:val="center"/>
          </w:tcPr>
          <w:p w14:paraId="2FDADC5D">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sz w:val="21"/>
                <w:szCs w:val="21"/>
                <w:u w:val="none"/>
                <w:lang w:val="en-US" w:eastAsia="zh-CN"/>
              </w:rPr>
            </w:pPr>
            <w:r>
              <w:rPr>
                <w:rFonts w:hint="eastAsia" w:ascii="仿宋" w:hAnsi="仿宋" w:eastAsia="仿宋" w:cs="仿宋"/>
                <w:i w:val="0"/>
                <w:color w:val="auto"/>
                <w:kern w:val="0"/>
                <w:sz w:val="21"/>
                <w:szCs w:val="21"/>
                <w:u w:val="none"/>
                <w:lang w:val="en-US" w:eastAsia="zh-CN" w:bidi="ar"/>
              </w:rPr>
              <w:t>7</w:t>
            </w:r>
          </w:p>
        </w:tc>
        <w:tc>
          <w:tcPr>
            <w:tcW w:w="656" w:type="pct"/>
            <w:vMerge w:val="continue"/>
            <w:tcBorders>
              <w:tl2br w:val="nil"/>
              <w:tr2bl w:val="nil"/>
            </w:tcBorders>
            <w:noWrap w:val="0"/>
            <w:vAlign w:val="center"/>
          </w:tcPr>
          <w:p w14:paraId="27DA1488">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color w:val="auto"/>
                <w:kern w:val="2"/>
                <w:sz w:val="21"/>
                <w:szCs w:val="21"/>
                <w:lang w:val="en-US" w:eastAsia="zh-CN" w:bidi="ar-SA"/>
              </w:rPr>
            </w:pPr>
          </w:p>
        </w:tc>
        <w:tc>
          <w:tcPr>
            <w:tcW w:w="428" w:type="pct"/>
            <w:tcBorders>
              <w:tl2br w:val="nil"/>
              <w:tr2bl w:val="nil"/>
            </w:tcBorders>
            <w:noWrap w:val="0"/>
            <w:vAlign w:val="center"/>
          </w:tcPr>
          <w:p w14:paraId="2DD667D4">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color w:val="auto"/>
                <w:kern w:val="2"/>
                <w:sz w:val="21"/>
                <w:szCs w:val="21"/>
                <w:lang w:val="en-US" w:eastAsia="zh-CN" w:bidi="ar-SA"/>
              </w:rPr>
            </w:pPr>
            <w:r>
              <w:rPr>
                <w:rFonts w:hint="eastAsia" w:ascii="仿宋" w:hAnsi="仿宋" w:eastAsia="仿宋" w:cs="仿宋"/>
                <w:i w:val="0"/>
                <w:color w:val="auto"/>
                <w:kern w:val="0"/>
                <w:sz w:val="21"/>
                <w:szCs w:val="21"/>
                <w:u w:val="none"/>
                <w:lang w:val="en-US" w:eastAsia="zh-CN" w:bidi="ar"/>
              </w:rPr>
              <w:t>近三年平均净现金流动比率</w:t>
            </w:r>
          </w:p>
        </w:tc>
        <w:tc>
          <w:tcPr>
            <w:tcW w:w="3192" w:type="pct"/>
            <w:tcBorders>
              <w:tl2br w:val="nil"/>
              <w:tr2bl w:val="nil"/>
            </w:tcBorders>
            <w:noWrap w:val="0"/>
            <w:vAlign w:val="center"/>
          </w:tcPr>
          <w:p w14:paraId="382DB508">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按照响应数值由大到小横向排名，第一名得满分，每下降一名扣相应比例分数（总分/通过初评的投标人数量）。相同数值排名一致，之后排名依次增加（如排名第一者有 2家，则之后一家按排名第二处理），最后得分四舍五入保留 2 位小数。</w:t>
            </w:r>
          </w:p>
          <w:p w14:paraId="639AD828">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注：投标截止时间在当年 6 月 30 日及以前，未出具上年度财务报表时可上传前一年度财务报表；6 月 30 日以后，应上传上年度财务报表。未按年份和时间要求提供财务报表的本项得 0 分，新成立公司按公司成立时间提供。</w:t>
            </w:r>
          </w:p>
          <w:p w14:paraId="30D52F34">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佐证材料说明：近三年经审计的财务报告中资产负债表、现金流量表、利润表和财务情况说明书等财务报表关键页以及审计报告，如其中任一年审计报告的审计意见为“否定意见”或“无法表示意见，本项不得分。（如投标截止是 2026 年 6 月 30 日及以前，未出具上一年财务报告时，可提供 2022、2023 和 2024 年的财务报告；如投标截止为 2026 年 6 月 30 日以后，则需提 2023、2024 和 2025 年财务报告)</w:t>
            </w:r>
          </w:p>
          <w:p w14:paraId="1EBA6565">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color w:val="auto"/>
                <w:kern w:val="2"/>
                <w:sz w:val="21"/>
                <w:szCs w:val="21"/>
                <w:lang w:val="en-US" w:eastAsia="zh-CN" w:bidi="ar-SA"/>
              </w:rPr>
            </w:pPr>
            <w:r>
              <w:rPr>
                <w:rFonts w:hint="eastAsia" w:ascii="仿宋" w:hAnsi="仿宋" w:eastAsia="仿宋" w:cs="仿宋"/>
                <w:i w:val="0"/>
                <w:color w:val="auto"/>
                <w:kern w:val="0"/>
                <w:sz w:val="21"/>
                <w:szCs w:val="21"/>
                <w:u w:val="none"/>
                <w:lang w:val="en-US" w:eastAsia="zh-CN" w:bidi="ar"/>
              </w:rPr>
              <w:t>净现金流动比率=现金净流量/流动负债；现金净流量，在财务报表中，反映企业本期内净增加或净减少的指标是“现金及现金等价物净增加额”。</w:t>
            </w:r>
          </w:p>
        </w:tc>
        <w:tc>
          <w:tcPr>
            <w:tcW w:w="323" w:type="pct"/>
            <w:tcBorders>
              <w:tl2br w:val="nil"/>
              <w:tr2bl w:val="nil"/>
            </w:tcBorders>
            <w:noWrap w:val="0"/>
            <w:vAlign w:val="center"/>
          </w:tcPr>
          <w:p w14:paraId="49CA77EF">
            <w:pPr>
              <w:keepNext/>
              <w:keepLines/>
              <w:pageBreakBefore w:val="0"/>
              <w:widowControl/>
              <w:suppressLineNumbers w:val="0"/>
              <w:kinsoku/>
              <w:wordWrap/>
              <w:overflowPunct/>
              <w:topLinePunct w:val="0"/>
              <w:autoSpaceDE/>
              <w:autoSpaceDN/>
              <w:bidi w:val="0"/>
              <w:snapToGrid w:val="0"/>
              <w:jc w:val="center"/>
              <w:textAlignment w:val="auto"/>
            </w:pPr>
            <w:r>
              <w:rPr>
                <w:rFonts w:hint="eastAsia" w:ascii="仿宋" w:hAnsi="仿宋" w:eastAsia="仿宋" w:cs="仿宋"/>
                <w:color w:val="auto"/>
                <w:kern w:val="0"/>
                <w:sz w:val="21"/>
                <w:szCs w:val="21"/>
                <w:highlight w:val="none"/>
                <w:lang w:val="en-US" w:eastAsia="zh-CN"/>
              </w:rPr>
              <w:t>8</w:t>
            </w:r>
          </w:p>
        </w:tc>
      </w:tr>
      <w:tr w14:paraId="1499D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0" w:hRule="atLeast"/>
          <w:jc w:val="center"/>
        </w:trPr>
        <w:tc>
          <w:tcPr>
            <w:tcW w:w="399" w:type="pct"/>
            <w:tcBorders>
              <w:tl2br w:val="nil"/>
              <w:tr2bl w:val="nil"/>
            </w:tcBorders>
            <w:noWrap w:val="0"/>
            <w:vAlign w:val="center"/>
          </w:tcPr>
          <w:p w14:paraId="7F556E65">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i w:val="0"/>
                <w:color w:val="auto"/>
                <w:sz w:val="21"/>
                <w:szCs w:val="21"/>
                <w:u w:val="none"/>
                <w:lang w:val="en-US" w:eastAsia="zh-CN"/>
              </w:rPr>
            </w:pPr>
            <w:r>
              <w:rPr>
                <w:rFonts w:hint="eastAsia" w:ascii="仿宋" w:hAnsi="仿宋" w:eastAsia="仿宋" w:cs="仿宋"/>
                <w:i w:val="0"/>
                <w:color w:val="auto"/>
                <w:kern w:val="0"/>
                <w:sz w:val="21"/>
                <w:szCs w:val="21"/>
                <w:u w:val="none"/>
                <w:lang w:val="en-US" w:eastAsia="zh-CN" w:bidi="ar"/>
              </w:rPr>
              <w:t>8</w:t>
            </w:r>
          </w:p>
        </w:tc>
        <w:tc>
          <w:tcPr>
            <w:tcW w:w="656" w:type="pct"/>
            <w:tcBorders>
              <w:tl2br w:val="nil"/>
              <w:tr2bl w:val="nil"/>
            </w:tcBorders>
            <w:noWrap w:val="0"/>
            <w:vAlign w:val="center"/>
          </w:tcPr>
          <w:p w14:paraId="0025796F">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color w:val="auto"/>
                <w:kern w:val="2"/>
                <w:sz w:val="21"/>
                <w:szCs w:val="21"/>
                <w:lang w:val="en-US" w:eastAsia="zh-CN" w:bidi="ar-SA"/>
              </w:rPr>
            </w:pPr>
            <w:r>
              <w:rPr>
                <w:rFonts w:hint="eastAsia" w:ascii="仿宋" w:hAnsi="仿宋" w:eastAsia="仿宋" w:cs="仿宋"/>
                <w:i w:val="0"/>
                <w:color w:val="auto"/>
                <w:kern w:val="0"/>
                <w:sz w:val="21"/>
                <w:szCs w:val="21"/>
                <w:u w:val="none"/>
                <w:lang w:val="en-US" w:eastAsia="zh-CN" w:bidi="ar"/>
              </w:rPr>
              <w:t>诚信经营</w:t>
            </w:r>
          </w:p>
        </w:tc>
        <w:tc>
          <w:tcPr>
            <w:tcW w:w="428" w:type="pct"/>
            <w:tcBorders>
              <w:tl2br w:val="nil"/>
              <w:tr2bl w:val="nil"/>
            </w:tcBorders>
            <w:noWrap w:val="0"/>
            <w:vAlign w:val="center"/>
          </w:tcPr>
          <w:p w14:paraId="6E6D31DC">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color w:val="auto"/>
                <w:kern w:val="2"/>
                <w:sz w:val="21"/>
                <w:szCs w:val="21"/>
                <w:lang w:val="en-US" w:eastAsia="zh-CN" w:bidi="ar-SA"/>
              </w:rPr>
            </w:pPr>
            <w:r>
              <w:rPr>
                <w:rFonts w:hint="eastAsia" w:ascii="仿宋" w:hAnsi="仿宋" w:eastAsia="仿宋" w:cs="仿宋"/>
                <w:i w:val="0"/>
                <w:color w:val="auto"/>
                <w:kern w:val="0"/>
                <w:sz w:val="21"/>
                <w:szCs w:val="21"/>
                <w:u w:val="none"/>
                <w:lang w:val="en-US" w:eastAsia="zh-CN" w:bidi="ar"/>
              </w:rPr>
              <w:t>诚信经营</w:t>
            </w:r>
          </w:p>
        </w:tc>
        <w:tc>
          <w:tcPr>
            <w:tcW w:w="3192" w:type="pct"/>
            <w:tcBorders>
              <w:tl2br w:val="nil"/>
              <w:tr2bl w:val="nil"/>
            </w:tcBorders>
            <w:noWrap w:val="0"/>
            <w:vAlign w:val="center"/>
          </w:tcPr>
          <w:p w14:paraId="0BD09018">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 xml:space="preserve">近三年均获得国家税务机关“A 级纳税人”评价得 </w:t>
            </w:r>
            <w:r>
              <w:rPr>
                <w:rFonts w:hint="eastAsia" w:ascii="仿宋" w:hAnsi="仿宋" w:cs="仿宋"/>
                <w:i w:val="0"/>
                <w:color w:val="auto"/>
                <w:kern w:val="0"/>
                <w:sz w:val="21"/>
                <w:szCs w:val="21"/>
                <w:u w:val="none"/>
                <w:lang w:val="en-US" w:eastAsia="zh-CN" w:bidi="ar"/>
              </w:rPr>
              <w:t>5</w:t>
            </w:r>
            <w:r>
              <w:rPr>
                <w:rFonts w:hint="eastAsia" w:ascii="仿宋" w:hAnsi="仿宋" w:eastAsia="仿宋" w:cs="仿宋"/>
                <w:i w:val="0"/>
                <w:color w:val="auto"/>
                <w:kern w:val="0"/>
                <w:sz w:val="21"/>
                <w:szCs w:val="21"/>
                <w:u w:val="none"/>
                <w:lang w:val="en-US" w:eastAsia="zh-CN" w:bidi="ar"/>
              </w:rPr>
              <w:t xml:space="preserve"> 分；</w:t>
            </w:r>
          </w:p>
          <w:p w14:paraId="27F09239">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 xml:space="preserve">近三年内有两年获得过国家税务机关“A 级纳税人”评价得 </w:t>
            </w:r>
            <w:r>
              <w:rPr>
                <w:rFonts w:hint="eastAsia" w:ascii="仿宋" w:hAnsi="仿宋" w:cs="仿宋"/>
                <w:i w:val="0"/>
                <w:color w:val="auto"/>
                <w:kern w:val="0"/>
                <w:sz w:val="21"/>
                <w:szCs w:val="21"/>
                <w:u w:val="none"/>
                <w:lang w:val="en-US" w:eastAsia="zh-CN" w:bidi="ar"/>
              </w:rPr>
              <w:t>3</w:t>
            </w:r>
            <w:r>
              <w:rPr>
                <w:rFonts w:hint="eastAsia" w:ascii="仿宋" w:hAnsi="仿宋" w:eastAsia="仿宋" w:cs="仿宋"/>
                <w:i w:val="0"/>
                <w:color w:val="auto"/>
                <w:kern w:val="0"/>
                <w:sz w:val="21"/>
                <w:szCs w:val="21"/>
                <w:u w:val="none"/>
                <w:lang w:val="en-US" w:eastAsia="zh-CN" w:bidi="ar"/>
              </w:rPr>
              <w:t>分；</w:t>
            </w:r>
          </w:p>
          <w:p w14:paraId="653923BD">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 xml:space="preserve">近三年内有 1 年获得过国家税务机关“A 级纳税人”评价得 </w:t>
            </w:r>
            <w:r>
              <w:rPr>
                <w:rFonts w:hint="eastAsia" w:ascii="仿宋" w:hAnsi="仿宋" w:cs="仿宋"/>
                <w:i w:val="0"/>
                <w:color w:val="auto"/>
                <w:kern w:val="0"/>
                <w:sz w:val="21"/>
                <w:szCs w:val="21"/>
                <w:u w:val="none"/>
                <w:lang w:val="en-US" w:eastAsia="zh-CN" w:bidi="ar"/>
              </w:rPr>
              <w:t>1</w:t>
            </w:r>
            <w:r>
              <w:rPr>
                <w:rFonts w:hint="eastAsia" w:ascii="仿宋" w:hAnsi="仿宋" w:eastAsia="仿宋" w:cs="仿宋"/>
                <w:i w:val="0"/>
                <w:color w:val="auto"/>
                <w:kern w:val="0"/>
                <w:sz w:val="21"/>
                <w:szCs w:val="21"/>
                <w:u w:val="none"/>
                <w:lang w:val="en-US" w:eastAsia="zh-CN" w:bidi="ar"/>
              </w:rPr>
              <w:t xml:space="preserve"> 分；</w:t>
            </w:r>
          </w:p>
          <w:p w14:paraId="51E5389C">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注：国家税务总局每年 4 月确定上一年度纳税信用评价结果（www.chinatax.gov.cn），若在投标前仍未公布上一年的评价结果，则将前一年度结果作为最近一年度的查询结果，以此类推。未提供相关佐证材料得 0 分。</w:t>
            </w:r>
          </w:p>
          <w:p w14:paraId="37F51875">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color w:val="auto"/>
                <w:kern w:val="2"/>
                <w:sz w:val="21"/>
                <w:szCs w:val="21"/>
                <w:lang w:val="en-US" w:eastAsia="zh-CN" w:bidi="ar-SA"/>
              </w:rPr>
            </w:pPr>
            <w:r>
              <w:rPr>
                <w:rFonts w:hint="eastAsia" w:ascii="仿宋" w:hAnsi="仿宋" w:eastAsia="仿宋" w:cs="仿宋"/>
                <w:i w:val="0"/>
                <w:color w:val="auto"/>
                <w:kern w:val="0"/>
                <w:sz w:val="21"/>
                <w:szCs w:val="21"/>
                <w:u w:val="none"/>
                <w:lang w:val="en-US" w:eastAsia="zh-CN" w:bidi="ar"/>
              </w:rPr>
              <w:t>佐证材料说明：提供税务机关出具的近三年纳税等级证明材料。</w:t>
            </w:r>
          </w:p>
        </w:tc>
        <w:tc>
          <w:tcPr>
            <w:tcW w:w="323" w:type="pct"/>
            <w:tcBorders>
              <w:tl2br w:val="nil"/>
              <w:tr2bl w:val="nil"/>
            </w:tcBorders>
            <w:noWrap w:val="0"/>
            <w:vAlign w:val="center"/>
          </w:tcPr>
          <w:p w14:paraId="3902DFF8">
            <w:pPr>
              <w:keepNext/>
              <w:keepLines/>
              <w:pageBreakBefore w:val="0"/>
              <w:widowControl/>
              <w:suppressLineNumbers w:val="0"/>
              <w:kinsoku/>
              <w:wordWrap/>
              <w:overflowPunct/>
              <w:topLinePunct w:val="0"/>
              <w:autoSpaceDE/>
              <w:autoSpaceDN/>
              <w:bidi w:val="0"/>
              <w:snapToGrid w:val="0"/>
              <w:jc w:val="center"/>
              <w:textAlignment w:val="auto"/>
            </w:pPr>
            <w:r>
              <w:rPr>
                <w:rFonts w:hint="eastAsia" w:ascii="仿宋" w:hAnsi="仿宋" w:eastAsia="仿宋" w:cs="仿宋"/>
                <w:color w:val="auto"/>
                <w:kern w:val="0"/>
                <w:sz w:val="21"/>
                <w:szCs w:val="21"/>
                <w:highlight w:val="none"/>
                <w:lang w:val="en-US" w:eastAsia="zh-CN"/>
              </w:rPr>
              <w:t>5</w:t>
            </w:r>
          </w:p>
        </w:tc>
      </w:tr>
      <w:tr w14:paraId="5DCF3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0" w:hRule="atLeast"/>
          <w:jc w:val="center"/>
        </w:trPr>
        <w:tc>
          <w:tcPr>
            <w:tcW w:w="399" w:type="pct"/>
            <w:tcBorders>
              <w:tl2br w:val="nil"/>
              <w:tr2bl w:val="nil"/>
            </w:tcBorders>
            <w:noWrap w:val="0"/>
            <w:vAlign w:val="center"/>
          </w:tcPr>
          <w:p w14:paraId="17CFC46C">
            <w:pPr>
              <w:keepNext/>
              <w:keepLines/>
              <w:pageBreakBefore w:val="0"/>
              <w:kinsoku/>
              <w:wordWrap/>
              <w:overflowPunct/>
              <w:topLinePunct w:val="0"/>
              <w:bidi w:val="0"/>
              <w:snapToGrid w:val="0"/>
              <w:ind w:left="113" w:leftChars="0"/>
              <w:jc w:val="center"/>
              <w:rPr>
                <w:rFonts w:hint="eastAsia" w:ascii="宋体" w:hAnsi="宋体" w:eastAsia="宋体" w:cs="宋体"/>
                <w:i w:val="0"/>
                <w:color w:val="auto"/>
                <w:sz w:val="21"/>
                <w:szCs w:val="21"/>
                <w:u w:val="none"/>
                <w:lang w:val="en-US" w:eastAsia="zh-CN"/>
              </w:rPr>
            </w:pPr>
            <w:r>
              <w:rPr>
                <w:rFonts w:hint="eastAsia" w:ascii="仿宋" w:hAnsi="仿宋" w:eastAsia="仿宋" w:cs="仿宋"/>
                <w:sz w:val="21"/>
                <w:szCs w:val="21"/>
                <w:lang w:val="en-US" w:eastAsia="zh-CN"/>
              </w:rPr>
              <w:t>9</w:t>
            </w:r>
          </w:p>
        </w:tc>
        <w:tc>
          <w:tcPr>
            <w:tcW w:w="656" w:type="pct"/>
            <w:vMerge w:val="restart"/>
            <w:tcBorders>
              <w:tl2br w:val="nil"/>
              <w:tr2bl w:val="nil"/>
            </w:tcBorders>
            <w:noWrap w:val="0"/>
            <w:vAlign w:val="center"/>
          </w:tcPr>
          <w:p w14:paraId="49FD5EDF">
            <w:pPr>
              <w:keepNext/>
              <w:keepLines/>
              <w:pageBreakBefore w:val="0"/>
              <w:kinsoku/>
              <w:wordWrap/>
              <w:overflowPunct/>
              <w:topLinePunct w:val="0"/>
              <w:bidi w:val="0"/>
              <w:snapToGrid w:val="0"/>
              <w:ind w:left="113" w:leftChars="0"/>
              <w:jc w:val="both"/>
              <w:rPr>
                <w:rFonts w:hint="eastAsia" w:ascii="宋体" w:hAnsi="宋体" w:eastAsia="宋体" w:cs="宋体"/>
                <w:color w:val="auto"/>
                <w:sz w:val="21"/>
                <w:szCs w:val="21"/>
                <w:lang w:val="en-US" w:eastAsia="zh-CN"/>
              </w:rPr>
            </w:pPr>
            <w:r>
              <w:rPr>
                <w:rFonts w:hint="eastAsia" w:ascii="仿宋" w:hAnsi="仿宋" w:eastAsia="仿宋" w:cs="仿宋"/>
                <w:i w:val="0"/>
                <w:color w:val="auto"/>
                <w:kern w:val="0"/>
                <w:sz w:val="21"/>
                <w:szCs w:val="21"/>
                <w:u w:val="none"/>
                <w:lang w:val="en-US" w:eastAsia="zh-CN" w:bidi="ar"/>
              </w:rPr>
              <w:t>服务支持体系及机制</w:t>
            </w:r>
          </w:p>
        </w:tc>
        <w:tc>
          <w:tcPr>
            <w:tcW w:w="428" w:type="pct"/>
            <w:tcBorders>
              <w:tl2br w:val="nil"/>
              <w:tr2bl w:val="nil"/>
            </w:tcBorders>
            <w:noWrap w:val="0"/>
            <w:vAlign w:val="center"/>
          </w:tcPr>
          <w:p w14:paraId="7E841016">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color w:val="auto"/>
                <w:sz w:val="21"/>
                <w:szCs w:val="21"/>
                <w:lang w:val="en-US" w:eastAsia="zh-CN"/>
              </w:rPr>
            </w:pPr>
            <w:r>
              <w:rPr>
                <w:rFonts w:hint="eastAsia" w:ascii="仿宋" w:hAnsi="仿宋" w:eastAsia="仿宋" w:cs="仿宋"/>
                <w:i w:val="0"/>
                <w:color w:val="auto"/>
                <w:kern w:val="0"/>
                <w:sz w:val="21"/>
                <w:szCs w:val="21"/>
                <w:u w:val="none"/>
                <w:lang w:val="en-US" w:eastAsia="zh-CN" w:bidi="ar"/>
              </w:rPr>
              <w:t>企业质量管理机制</w:t>
            </w:r>
          </w:p>
        </w:tc>
        <w:tc>
          <w:tcPr>
            <w:tcW w:w="3192" w:type="pct"/>
            <w:tcBorders>
              <w:tl2br w:val="nil"/>
              <w:tr2bl w:val="nil"/>
            </w:tcBorders>
            <w:noWrap w:val="0"/>
            <w:vAlign w:val="center"/>
          </w:tcPr>
          <w:p w14:paraId="09F7A238">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根据各响应人提供的企业质量管理机制证明材料，横向比较所有有效投标人情况：</w:t>
            </w:r>
          </w:p>
          <w:p w14:paraId="2AAA6B2A">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具有完备的企业质量管理体系、机制及措施，得7-10分；</w:t>
            </w:r>
          </w:p>
          <w:p w14:paraId="1C435A01">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具有一般的企业质量管理体系、机制及措施，得4-6分；</w:t>
            </w:r>
          </w:p>
          <w:p w14:paraId="7D0A050A">
            <w:pPr>
              <w:keepNext/>
              <w:keepLines/>
              <w:pageBreakBefore w:val="0"/>
              <w:kinsoku/>
              <w:wordWrap/>
              <w:overflowPunct/>
              <w:topLinePunct w:val="0"/>
              <w:autoSpaceDE/>
              <w:autoSpaceDN/>
              <w:bidi w:val="0"/>
              <w:snapToGrid w:val="0"/>
              <w:rPr>
                <w:rFonts w:hint="eastAsia" w:ascii="仿宋" w:hAnsi="仿宋" w:eastAsia="仿宋" w:cs="仿宋"/>
                <w:i w:val="0"/>
                <w:color w:val="auto"/>
                <w:kern w:val="0"/>
                <w:sz w:val="21"/>
                <w:szCs w:val="21"/>
                <w:u w:val="none"/>
                <w:lang w:val="en-US" w:eastAsia="zh-CN" w:bidi="ar"/>
              </w:rPr>
            </w:pPr>
            <w:r>
              <w:rPr>
                <w:rFonts w:hint="eastAsia" w:ascii="仿宋" w:hAnsi="仿宋" w:eastAsia="仿宋" w:cs="仿宋"/>
                <w:i w:val="0"/>
                <w:color w:val="auto"/>
                <w:kern w:val="0"/>
                <w:sz w:val="21"/>
                <w:szCs w:val="21"/>
                <w:u w:val="none"/>
                <w:lang w:val="en-US" w:eastAsia="zh-CN" w:bidi="ar"/>
              </w:rPr>
              <w:t>企业质量管理体系、机制及措施不齐全，得1-3分；</w:t>
            </w:r>
          </w:p>
          <w:p w14:paraId="5F6BC6E1">
            <w:pPr>
              <w:keepNext/>
              <w:keepLines/>
              <w:pageBreakBefore w:val="0"/>
              <w:kinsoku/>
              <w:wordWrap/>
              <w:overflowPunct/>
              <w:topLinePunct w:val="0"/>
              <w:autoSpaceDE/>
              <w:autoSpaceDN/>
              <w:bidi w:val="0"/>
              <w:snapToGrid w:val="0"/>
              <w:rPr>
                <w:rFonts w:hint="eastAsia" w:ascii="宋体" w:hAnsi="宋体" w:eastAsia="宋体" w:cs="宋体"/>
                <w:color w:val="auto"/>
                <w:sz w:val="21"/>
                <w:szCs w:val="21"/>
                <w:lang w:val="en-US" w:eastAsia="zh-CN"/>
              </w:rPr>
            </w:pPr>
            <w:r>
              <w:rPr>
                <w:rFonts w:hint="eastAsia" w:ascii="仿宋" w:hAnsi="仿宋" w:eastAsia="仿宋" w:cs="仿宋"/>
                <w:i w:val="0"/>
                <w:color w:val="auto"/>
                <w:kern w:val="0"/>
                <w:sz w:val="21"/>
                <w:szCs w:val="21"/>
                <w:u w:val="none"/>
                <w:lang w:val="en-US" w:eastAsia="zh-CN" w:bidi="ar"/>
              </w:rPr>
              <w:t>未建立企业质量管理体系、机制及措施不得分。</w:t>
            </w:r>
          </w:p>
        </w:tc>
        <w:tc>
          <w:tcPr>
            <w:tcW w:w="323" w:type="pct"/>
            <w:tcBorders>
              <w:tl2br w:val="nil"/>
              <w:tr2bl w:val="nil"/>
            </w:tcBorders>
            <w:noWrap w:val="0"/>
            <w:vAlign w:val="center"/>
          </w:tcPr>
          <w:p w14:paraId="55DCD679">
            <w:pPr>
              <w:keepNext/>
              <w:keepLines/>
              <w:pageBreakBefore w:val="0"/>
              <w:widowControl/>
              <w:kinsoku/>
              <w:wordWrap/>
              <w:overflowPunct/>
              <w:topLinePunct w:val="0"/>
              <w:bidi w:val="0"/>
              <w:snapToGrid w:val="0"/>
              <w:ind w:left="0" w:leftChars="0"/>
              <w:jc w:val="center"/>
              <w:textAlignment w:val="center"/>
            </w:pPr>
            <w:r>
              <w:rPr>
                <w:rFonts w:hint="eastAsia" w:ascii="仿宋" w:hAnsi="仿宋" w:eastAsia="仿宋" w:cs="仿宋"/>
                <w:i w:val="0"/>
                <w:color w:val="auto"/>
                <w:kern w:val="0"/>
                <w:sz w:val="21"/>
                <w:szCs w:val="21"/>
                <w:u w:val="none"/>
                <w:lang w:val="en-US" w:eastAsia="zh-CN" w:bidi="ar"/>
              </w:rPr>
              <w:t>10</w:t>
            </w:r>
          </w:p>
        </w:tc>
      </w:tr>
      <w:tr w14:paraId="07BC5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0" w:hRule="atLeast"/>
          <w:jc w:val="center"/>
        </w:trPr>
        <w:tc>
          <w:tcPr>
            <w:tcW w:w="399" w:type="pct"/>
            <w:tcBorders>
              <w:tl2br w:val="nil"/>
              <w:tr2bl w:val="nil"/>
            </w:tcBorders>
            <w:noWrap w:val="0"/>
            <w:vAlign w:val="center"/>
          </w:tcPr>
          <w:p w14:paraId="4282A658">
            <w:pPr>
              <w:keepNext/>
              <w:keepLines/>
              <w:pageBreakBefore w:val="0"/>
              <w:kinsoku/>
              <w:wordWrap/>
              <w:overflowPunct/>
              <w:topLinePunct w:val="0"/>
              <w:bidi w:val="0"/>
              <w:snapToGrid w:val="0"/>
              <w:ind w:left="113" w:leftChars="0"/>
              <w:jc w:val="center"/>
              <w:rPr>
                <w:rFonts w:hint="eastAsia" w:ascii="宋体" w:hAnsi="宋体" w:eastAsia="宋体" w:cs="宋体"/>
                <w:i w:val="0"/>
                <w:color w:val="auto"/>
                <w:sz w:val="21"/>
                <w:szCs w:val="21"/>
                <w:u w:val="none"/>
                <w:lang w:val="en-US" w:eastAsia="zh-CN"/>
              </w:rPr>
            </w:pPr>
            <w:r>
              <w:rPr>
                <w:rFonts w:hint="eastAsia" w:ascii="仿宋" w:hAnsi="仿宋" w:eastAsia="仿宋" w:cs="仿宋"/>
                <w:sz w:val="21"/>
                <w:szCs w:val="21"/>
                <w:lang w:val="en-US" w:eastAsia="zh-CN"/>
              </w:rPr>
              <w:t>10</w:t>
            </w:r>
          </w:p>
        </w:tc>
        <w:tc>
          <w:tcPr>
            <w:tcW w:w="656" w:type="pct"/>
            <w:vMerge w:val="continue"/>
            <w:tcBorders>
              <w:tl2br w:val="nil"/>
              <w:tr2bl w:val="nil"/>
            </w:tcBorders>
            <w:noWrap w:val="0"/>
            <w:vAlign w:val="center"/>
          </w:tcPr>
          <w:p w14:paraId="0549E750">
            <w:pPr>
              <w:keepNext/>
              <w:keepLines/>
              <w:pageBreakBefore w:val="0"/>
              <w:kinsoku/>
              <w:wordWrap/>
              <w:overflowPunct/>
              <w:topLinePunct w:val="0"/>
              <w:bidi w:val="0"/>
              <w:snapToGrid w:val="0"/>
              <w:ind w:left="113" w:leftChars="0"/>
              <w:jc w:val="center"/>
              <w:rPr>
                <w:rFonts w:hint="eastAsia" w:ascii="宋体" w:hAnsi="宋体" w:eastAsia="宋体" w:cs="宋体"/>
                <w:color w:val="auto"/>
                <w:sz w:val="21"/>
                <w:szCs w:val="21"/>
                <w:lang w:val="en-US" w:eastAsia="zh-CN"/>
              </w:rPr>
            </w:pPr>
          </w:p>
        </w:tc>
        <w:tc>
          <w:tcPr>
            <w:tcW w:w="428" w:type="pct"/>
            <w:tcBorders>
              <w:tl2br w:val="nil"/>
              <w:tr2bl w:val="nil"/>
            </w:tcBorders>
            <w:noWrap w:val="0"/>
            <w:vAlign w:val="center"/>
          </w:tcPr>
          <w:p w14:paraId="5DED84D0">
            <w:pPr>
              <w:keepNext/>
              <w:keepLines/>
              <w:pageBreakBefore w:val="0"/>
              <w:widowControl/>
              <w:suppressLineNumbers w:val="0"/>
              <w:kinsoku/>
              <w:wordWrap/>
              <w:overflowPunct/>
              <w:topLinePunct w:val="0"/>
              <w:autoSpaceDE/>
              <w:autoSpaceDN/>
              <w:bidi w:val="0"/>
              <w:snapToGrid w:val="0"/>
              <w:jc w:val="center"/>
              <w:textAlignment w:val="center"/>
              <w:rPr>
                <w:rFonts w:hint="eastAsia" w:ascii="宋体" w:hAnsi="宋体" w:eastAsia="宋体" w:cs="宋体"/>
                <w:color w:val="auto"/>
                <w:sz w:val="21"/>
                <w:szCs w:val="21"/>
                <w:lang w:val="en-US" w:eastAsia="zh-CN"/>
              </w:rPr>
            </w:pPr>
            <w:r>
              <w:rPr>
                <w:rFonts w:hint="eastAsia" w:ascii="仿宋" w:hAnsi="仿宋" w:eastAsia="仿宋" w:cs="仿宋"/>
                <w:i w:val="0"/>
                <w:color w:val="auto"/>
                <w:kern w:val="0"/>
                <w:sz w:val="21"/>
                <w:szCs w:val="21"/>
                <w:u w:val="none"/>
                <w:lang w:val="en-US" w:eastAsia="zh-CN" w:bidi="ar"/>
              </w:rPr>
              <w:t>服务支持（服务支持体系及机制）</w:t>
            </w:r>
          </w:p>
        </w:tc>
        <w:tc>
          <w:tcPr>
            <w:tcW w:w="3192" w:type="pct"/>
            <w:tcBorders>
              <w:tl2br w:val="nil"/>
              <w:tr2bl w:val="nil"/>
            </w:tcBorders>
            <w:noWrap w:val="0"/>
            <w:vAlign w:val="center"/>
          </w:tcPr>
          <w:p w14:paraId="167FABAF">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sz w:val="21"/>
                <w:szCs w:val="21"/>
                <w:u w:val="none"/>
              </w:rPr>
            </w:pPr>
            <w:r>
              <w:rPr>
                <w:rFonts w:hint="eastAsia" w:ascii="仿宋" w:hAnsi="仿宋" w:eastAsia="仿宋" w:cs="仿宋"/>
                <w:i w:val="0"/>
                <w:color w:val="auto"/>
                <w:sz w:val="21"/>
                <w:szCs w:val="21"/>
                <w:u w:val="none"/>
              </w:rPr>
              <w:t>根据各</w:t>
            </w:r>
            <w:r>
              <w:rPr>
                <w:rFonts w:hint="eastAsia" w:ascii="仿宋" w:hAnsi="仿宋" w:eastAsia="仿宋" w:cs="仿宋"/>
                <w:i w:val="0"/>
                <w:color w:val="auto"/>
                <w:kern w:val="0"/>
                <w:sz w:val="21"/>
                <w:szCs w:val="21"/>
                <w:u w:val="none"/>
                <w:lang w:val="en-US" w:eastAsia="zh-CN" w:bidi="ar"/>
              </w:rPr>
              <w:t>响应</w:t>
            </w:r>
            <w:r>
              <w:rPr>
                <w:rFonts w:hint="eastAsia" w:ascii="仿宋" w:hAnsi="仿宋" w:eastAsia="仿宋" w:cs="仿宋"/>
                <w:i w:val="0"/>
                <w:color w:val="auto"/>
                <w:sz w:val="21"/>
                <w:szCs w:val="21"/>
                <w:u w:val="none"/>
              </w:rPr>
              <w:t>人提供的服务支持体系及机制证明材料，横向比较所有有效投标人情况：</w:t>
            </w:r>
          </w:p>
          <w:p w14:paraId="7F3A9F0D">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sz w:val="21"/>
                <w:szCs w:val="21"/>
                <w:u w:val="none"/>
              </w:rPr>
            </w:pPr>
            <w:r>
              <w:rPr>
                <w:rFonts w:hint="eastAsia" w:ascii="仿宋" w:hAnsi="仿宋" w:eastAsia="仿宋" w:cs="仿宋"/>
                <w:i w:val="0"/>
                <w:color w:val="auto"/>
                <w:sz w:val="21"/>
                <w:szCs w:val="21"/>
                <w:u w:val="none"/>
                <w:lang w:val="en-US" w:eastAsia="zh-CN"/>
              </w:rPr>
              <w:t>具备</w:t>
            </w:r>
            <w:r>
              <w:rPr>
                <w:rFonts w:hint="eastAsia" w:ascii="仿宋" w:hAnsi="仿宋" w:eastAsia="仿宋" w:cs="仿宋"/>
                <w:i w:val="0"/>
                <w:color w:val="auto"/>
                <w:sz w:val="21"/>
                <w:szCs w:val="21"/>
                <w:u w:val="none"/>
              </w:rPr>
              <w:t>完善</w:t>
            </w:r>
            <w:r>
              <w:rPr>
                <w:rFonts w:hint="eastAsia" w:ascii="仿宋" w:hAnsi="仿宋" w:eastAsia="仿宋" w:cs="仿宋"/>
                <w:i w:val="0"/>
                <w:color w:val="auto"/>
                <w:sz w:val="21"/>
                <w:szCs w:val="21"/>
                <w:u w:val="none"/>
                <w:lang w:val="en-US" w:eastAsia="zh-CN"/>
              </w:rPr>
              <w:t>的</w:t>
            </w:r>
            <w:r>
              <w:rPr>
                <w:rFonts w:hint="eastAsia" w:ascii="仿宋" w:hAnsi="仿宋" w:eastAsia="仿宋" w:cs="仿宋"/>
                <w:i w:val="0"/>
                <w:color w:val="auto"/>
                <w:sz w:val="21"/>
                <w:szCs w:val="21"/>
                <w:u w:val="none"/>
              </w:rPr>
              <w:t>客户服务及售后响应体系与机制，实现标准化管理，客户满意度优秀，得</w:t>
            </w:r>
            <w:r>
              <w:rPr>
                <w:rFonts w:hint="eastAsia" w:ascii="仿宋" w:hAnsi="仿宋" w:eastAsia="仿宋" w:cs="仿宋"/>
                <w:i w:val="0"/>
                <w:color w:val="auto"/>
                <w:sz w:val="21"/>
                <w:szCs w:val="21"/>
                <w:u w:val="none"/>
                <w:lang w:val="en-US" w:eastAsia="zh-CN"/>
              </w:rPr>
              <w:t>7-</w:t>
            </w:r>
            <w:r>
              <w:rPr>
                <w:rFonts w:hint="eastAsia" w:ascii="仿宋" w:hAnsi="仿宋" w:eastAsia="仿宋" w:cs="仿宋"/>
                <w:i w:val="0"/>
                <w:color w:val="auto"/>
                <w:sz w:val="21"/>
                <w:szCs w:val="21"/>
                <w:u w:val="none"/>
              </w:rPr>
              <w:t>10分；</w:t>
            </w:r>
          </w:p>
          <w:p w14:paraId="66A2C2C4">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sz w:val="21"/>
                <w:szCs w:val="21"/>
              </w:rPr>
            </w:pPr>
            <w:r>
              <w:rPr>
                <w:rFonts w:hint="eastAsia" w:ascii="仿宋" w:hAnsi="仿宋" w:eastAsia="仿宋" w:cs="仿宋"/>
                <w:i w:val="0"/>
                <w:color w:val="auto"/>
                <w:sz w:val="21"/>
                <w:szCs w:val="21"/>
                <w:u w:val="none"/>
                <w:lang w:val="en-US" w:eastAsia="zh-CN"/>
              </w:rPr>
              <w:t>具备</w:t>
            </w:r>
            <w:r>
              <w:rPr>
                <w:rFonts w:hint="eastAsia" w:ascii="仿宋" w:hAnsi="仿宋" w:eastAsia="仿宋" w:cs="仿宋"/>
                <w:i w:val="0"/>
                <w:color w:val="auto"/>
                <w:sz w:val="21"/>
                <w:szCs w:val="21"/>
                <w:u w:val="none"/>
              </w:rPr>
              <w:t>客户服务及售后响应体系与机制，执行情况良好，客户满意度良好，得</w:t>
            </w:r>
            <w:r>
              <w:rPr>
                <w:rFonts w:hint="eastAsia" w:ascii="仿宋" w:hAnsi="仿宋" w:eastAsia="仿宋" w:cs="仿宋"/>
                <w:i w:val="0"/>
                <w:color w:val="auto"/>
                <w:sz w:val="21"/>
                <w:szCs w:val="21"/>
                <w:u w:val="none"/>
                <w:lang w:val="en-US" w:eastAsia="zh-CN"/>
              </w:rPr>
              <w:t>4-6</w:t>
            </w:r>
            <w:r>
              <w:rPr>
                <w:rFonts w:hint="eastAsia" w:ascii="仿宋" w:hAnsi="仿宋" w:eastAsia="仿宋" w:cs="仿宋"/>
                <w:i w:val="0"/>
                <w:color w:val="auto"/>
                <w:sz w:val="21"/>
                <w:szCs w:val="21"/>
                <w:u w:val="none"/>
              </w:rPr>
              <w:t>分；</w:t>
            </w:r>
          </w:p>
          <w:p w14:paraId="56A10C02">
            <w:pPr>
              <w:keepNext/>
              <w:keepLines/>
              <w:pageBreakBefore w:val="0"/>
              <w:widowControl/>
              <w:suppressLineNumbers w:val="0"/>
              <w:kinsoku/>
              <w:wordWrap/>
              <w:overflowPunct/>
              <w:topLinePunct w:val="0"/>
              <w:autoSpaceDE/>
              <w:autoSpaceDN/>
              <w:bidi w:val="0"/>
              <w:snapToGrid w:val="0"/>
              <w:jc w:val="left"/>
              <w:textAlignment w:val="center"/>
              <w:rPr>
                <w:rFonts w:hint="eastAsia" w:ascii="仿宋" w:hAnsi="仿宋" w:eastAsia="仿宋" w:cs="仿宋"/>
                <w:i w:val="0"/>
                <w:color w:val="auto"/>
                <w:sz w:val="21"/>
                <w:szCs w:val="21"/>
                <w:u w:val="none"/>
              </w:rPr>
            </w:pPr>
            <w:r>
              <w:rPr>
                <w:rFonts w:hint="eastAsia" w:ascii="仿宋" w:hAnsi="仿宋" w:eastAsia="仿宋" w:cs="仿宋"/>
                <w:i w:val="0"/>
                <w:color w:val="auto"/>
                <w:sz w:val="21"/>
                <w:szCs w:val="21"/>
                <w:u w:val="none"/>
                <w:lang w:val="en-US" w:eastAsia="zh-CN"/>
              </w:rPr>
              <w:t>具备</w:t>
            </w:r>
            <w:r>
              <w:rPr>
                <w:rFonts w:hint="eastAsia" w:ascii="仿宋" w:hAnsi="仿宋" w:eastAsia="仿宋" w:cs="仿宋"/>
                <w:i w:val="0"/>
                <w:color w:val="auto"/>
                <w:sz w:val="21"/>
                <w:szCs w:val="21"/>
                <w:u w:val="none"/>
              </w:rPr>
              <w:t>服务及售后响应体系与机制，但</w:t>
            </w:r>
            <w:r>
              <w:rPr>
                <w:rFonts w:hint="eastAsia" w:ascii="仿宋" w:hAnsi="仿宋" w:eastAsia="仿宋" w:cs="仿宋"/>
                <w:i w:val="0"/>
                <w:color w:val="auto"/>
                <w:sz w:val="21"/>
                <w:szCs w:val="21"/>
                <w:u w:val="none"/>
                <w:lang w:val="en-US" w:eastAsia="zh-CN"/>
              </w:rPr>
              <w:t>执行效果一般</w:t>
            </w:r>
            <w:r>
              <w:rPr>
                <w:rFonts w:hint="eastAsia" w:ascii="仿宋" w:hAnsi="仿宋" w:eastAsia="仿宋" w:cs="仿宋"/>
                <w:i w:val="0"/>
                <w:color w:val="auto"/>
                <w:sz w:val="21"/>
                <w:szCs w:val="21"/>
                <w:u w:val="none"/>
              </w:rPr>
              <w:t>，客户满意度一般，得</w:t>
            </w:r>
            <w:r>
              <w:rPr>
                <w:rFonts w:hint="eastAsia" w:ascii="仿宋" w:hAnsi="仿宋" w:eastAsia="仿宋" w:cs="仿宋"/>
                <w:i w:val="0"/>
                <w:color w:val="auto"/>
                <w:sz w:val="21"/>
                <w:szCs w:val="21"/>
                <w:u w:val="none"/>
                <w:lang w:val="en-US" w:eastAsia="zh-CN"/>
              </w:rPr>
              <w:t>1-</w:t>
            </w:r>
            <w:r>
              <w:rPr>
                <w:rFonts w:hint="eastAsia" w:ascii="仿宋" w:hAnsi="仿宋" w:eastAsia="仿宋" w:cs="仿宋"/>
                <w:i w:val="0"/>
                <w:color w:val="auto"/>
                <w:sz w:val="21"/>
                <w:szCs w:val="21"/>
                <w:u w:val="none"/>
              </w:rPr>
              <w:t>3分；</w:t>
            </w:r>
          </w:p>
          <w:p w14:paraId="48319626">
            <w:pPr>
              <w:keepNext/>
              <w:keepLines/>
              <w:pageBreakBefore w:val="0"/>
              <w:widowControl/>
              <w:suppressLineNumbers w:val="0"/>
              <w:kinsoku/>
              <w:wordWrap/>
              <w:overflowPunct/>
              <w:topLinePunct w:val="0"/>
              <w:autoSpaceDE/>
              <w:autoSpaceDN/>
              <w:bidi w:val="0"/>
              <w:snapToGrid w:val="0"/>
              <w:jc w:val="left"/>
              <w:textAlignment w:val="center"/>
              <w:rPr>
                <w:rFonts w:hint="eastAsia" w:ascii="宋体" w:hAnsi="宋体" w:eastAsia="宋体" w:cs="宋体"/>
                <w:color w:val="auto"/>
                <w:sz w:val="21"/>
                <w:szCs w:val="21"/>
                <w:lang w:val="en-US" w:eastAsia="zh-CN"/>
              </w:rPr>
            </w:pPr>
            <w:r>
              <w:rPr>
                <w:rFonts w:hint="eastAsia" w:ascii="仿宋" w:hAnsi="仿宋" w:eastAsia="仿宋" w:cs="仿宋"/>
                <w:i w:val="0"/>
                <w:color w:val="auto"/>
                <w:sz w:val="21"/>
                <w:szCs w:val="21"/>
                <w:highlight w:val="none"/>
                <w:u w:val="none"/>
              </w:rPr>
              <w:t>未建立服务及售后响应体系与机制，客户满意度差</w:t>
            </w:r>
            <w:r>
              <w:rPr>
                <w:rFonts w:hint="eastAsia" w:ascii="仿宋" w:hAnsi="仿宋" w:eastAsia="仿宋" w:cs="仿宋"/>
                <w:i w:val="0"/>
                <w:color w:val="auto"/>
                <w:sz w:val="21"/>
                <w:szCs w:val="21"/>
                <w:highlight w:val="none"/>
                <w:u w:val="none"/>
                <w:lang w:eastAsia="zh-CN"/>
              </w:rPr>
              <w:t>，</w:t>
            </w:r>
            <w:r>
              <w:rPr>
                <w:rFonts w:hint="eastAsia" w:ascii="仿宋" w:hAnsi="仿宋" w:eastAsia="仿宋" w:cs="仿宋"/>
                <w:i w:val="0"/>
                <w:color w:val="auto"/>
                <w:sz w:val="21"/>
                <w:szCs w:val="21"/>
                <w:highlight w:val="none"/>
                <w:u w:val="none"/>
                <w:lang w:val="en-US" w:eastAsia="zh-CN"/>
              </w:rPr>
              <w:t>不得分。</w:t>
            </w:r>
          </w:p>
        </w:tc>
        <w:tc>
          <w:tcPr>
            <w:tcW w:w="323" w:type="pct"/>
            <w:tcBorders>
              <w:tl2br w:val="nil"/>
              <w:tr2bl w:val="nil"/>
            </w:tcBorders>
            <w:noWrap w:val="0"/>
            <w:vAlign w:val="center"/>
          </w:tcPr>
          <w:p w14:paraId="604B8A95">
            <w:pPr>
              <w:keepNext/>
              <w:keepLines/>
              <w:pageBreakBefore w:val="0"/>
              <w:widowControl/>
              <w:kinsoku/>
              <w:wordWrap/>
              <w:overflowPunct/>
              <w:topLinePunct w:val="0"/>
              <w:bidi w:val="0"/>
              <w:snapToGrid w:val="0"/>
              <w:ind w:left="0" w:leftChars="0"/>
              <w:jc w:val="center"/>
              <w:textAlignment w:val="center"/>
            </w:pPr>
            <w:r>
              <w:rPr>
                <w:rFonts w:hint="eastAsia" w:ascii="仿宋" w:hAnsi="仿宋" w:eastAsia="仿宋" w:cs="仿宋"/>
                <w:i w:val="0"/>
                <w:color w:val="auto"/>
                <w:kern w:val="0"/>
                <w:sz w:val="21"/>
                <w:szCs w:val="21"/>
                <w:u w:val="none"/>
                <w:lang w:val="en-US" w:eastAsia="zh-CN" w:bidi="ar"/>
              </w:rPr>
              <w:t>10</w:t>
            </w:r>
          </w:p>
        </w:tc>
      </w:tr>
      <w:tr w14:paraId="722E8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0" w:hRule="atLeast"/>
          <w:jc w:val="center"/>
        </w:trPr>
        <w:tc>
          <w:tcPr>
            <w:tcW w:w="399" w:type="pct"/>
            <w:tcBorders>
              <w:tl2br w:val="nil"/>
              <w:tr2bl w:val="nil"/>
            </w:tcBorders>
            <w:noWrap w:val="0"/>
            <w:vAlign w:val="center"/>
          </w:tcPr>
          <w:p w14:paraId="07964528">
            <w:pPr>
              <w:keepNext/>
              <w:keepLines/>
              <w:pageBreakBefore w:val="0"/>
              <w:kinsoku/>
              <w:wordWrap/>
              <w:overflowPunct/>
              <w:topLinePunct w:val="0"/>
              <w:bidi w:val="0"/>
              <w:snapToGrid w:val="0"/>
              <w:ind w:left="113" w:leftChars="0"/>
              <w:jc w:val="center"/>
              <w:rPr>
                <w:rFonts w:hint="eastAsia" w:ascii="宋体" w:hAnsi="宋体" w:eastAsia="宋体" w:cs="宋体"/>
                <w:i w:val="0"/>
                <w:color w:val="auto"/>
                <w:sz w:val="21"/>
                <w:szCs w:val="21"/>
                <w:u w:val="none"/>
                <w:lang w:val="en-US" w:eastAsia="zh-CN"/>
              </w:rPr>
            </w:pPr>
            <w:r>
              <w:rPr>
                <w:rFonts w:hint="eastAsia" w:ascii="仿宋" w:hAnsi="仿宋" w:eastAsia="仿宋" w:cs="仿宋"/>
                <w:sz w:val="21"/>
                <w:szCs w:val="21"/>
                <w:lang w:val="en-US" w:eastAsia="zh-CN"/>
              </w:rPr>
              <w:t>11</w:t>
            </w:r>
          </w:p>
        </w:tc>
        <w:tc>
          <w:tcPr>
            <w:tcW w:w="656" w:type="pct"/>
            <w:vMerge w:val="restart"/>
            <w:tcBorders>
              <w:tl2br w:val="nil"/>
              <w:tr2bl w:val="nil"/>
            </w:tcBorders>
            <w:noWrap w:val="0"/>
            <w:vAlign w:val="center"/>
          </w:tcPr>
          <w:p w14:paraId="3C052C85">
            <w:pPr>
              <w:keepNext/>
              <w:keepLines/>
              <w:pageBreakBefore w:val="0"/>
              <w:widowControl/>
              <w:kinsoku/>
              <w:wordWrap/>
              <w:overflowPunct/>
              <w:topLinePunct w:val="0"/>
              <w:bidi w:val="0"/>
              <w:snapToGrid w:val="0"/>
              <w:jc w:val="center"/>
              <w:rPr>
                <w:rFonts w:hint="eastAsia" w:ascii="宋体" w:hAnsi="宋体" w:eastAsia="宋体" w:cs="宋体"/>
                <w:color w:val="auto"/>
                <w:sz w:val="21"/>
                <w:szCs w:val="21"/>
                <w:lang w:val="en-US" w:eastAsia="zh-CN"/>
              </w:rPr>
            </w:pPr>
            <w:r>
              <w:rPr>
                <w:rFonts w:hint="eastAsia" w:ascii="仿宋" w:hAnsi="仿宋" w:eastAsia="仿宋" w:cs="仿宋"/>
                <w:color w:val="auto"/>
                <w:kern w:val="0"/>
                <w:sz w:val="21"/>
                <w:szCs w:val="21"/>
                <w:highlight w:val="none"/>
              </w:rPr>
              <w:t>商务响应性</w:t>
            </w:r>
          </w:p>
        </w:tc>
        <w:tc>
          <w:tcPr>
            <w:tcW w:w="428" w:type="pct"/>
            <w:tcBorders>
              <w:tl2br w:val="nil"/>
              <w:tr2bl w:val="nil"/>
            </w:tcBorders>
            <w:noWrap w:val="0"/>
            <w:vAlign w:val="center"/>
          </w:tcPr>
          <w:p w14:paraId="44C701F3">
            <w:pPr>
              <w:keepNext/>
              <w:keepLines/>
              <w:pageBreakBefore w:val="0"/>
              <w:widowControl/>
              <w:kinsoku/>
              <w:wordWrap/>
              <w:overflowPunct/>
              <w:topLinePunct w:val="0"/>
              <w:bidi w:val="0"/>
              <w:snapToGrid w:val="0"/>
              <w:jc w:val="center"/>
              <w:rPr>
                <w:rFonts w:hint="eastAsia" w:ascii="宋体" w:hAnsi="宋体" w:eastAsia="宋体" w:cs="宋体"/>
                <w:color w:val="auto"/>
                <w:sz w:val="21"/>
                <w:szCs w:val="21"/>
                <w:lang w:val="en-US" w:eastAsia="zh-CN"/>
              </w:rPr>
            </w:pPr>
            <w:r>
              <w:rPr>
                <w:rFonts w:hint="eastAsia" w:ascii="仿宋" w:hAnsi="仿宋" w:eastAsia="仿宋" w:cs="仿宋"/>
                <w:color w:val="auto"/>
                <w:kern w:val="0"/>
                <w:sz w:val="21"/>
                <w:szCs w:val="21"/>
                <w:highlight w:val="none"/>
              </w:rPr>
              <w:t>质量保证期</w:t>
            </w:r>
          </w:p>
        </w:tc>
        <w:tc>
          <w:tcPr>
            <w:tcW w:w="3192" w:type="pct"/>
            <w:tcBorders>
              <w:tl2br w:val="nil"/>
              <w:tr2bl w:val="nil"/>
            </w:tcBorders>
            <w:noWrap w:val="0"/>
            <w:vAlign w:val="center"/>
          </w:tcPr>
          <w:p w14:paraId="227FD87D">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质保期在满足合同要求的基础上，每增加1个月得</w:t>
            </w: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rPr>
              <w:t>分（不足1个月的部分不得分），本项最低得0分，最高得满分。</w:t>
            </w:r>
          </w:p>
          <w:p w14:paraId="21816CE8">
            <w:pPr>
              <w:keepNext/>
              <w:keepLines/>
              <w:pageBreakBefore w:val="0"/>
              <w:widowControl/>
              <w:kinsoku/>
              <w:wordWrap/>
              <w:overflowPunct/>
              <w:topLinePunct w:val="0"/>
              <w:bidi w:val="0"/>
              <w:snapToGrid w:val="0"/>
              <w:jc w:val="left"/>
              <w:rPr>
                <w:rFonts w:hint="eastAsia" w:ascii="宋体" w:hAnsi="宋体" w:eastAsia="宋体" w:cs="宋体"/>
                <w:color w:val="auto"/>
                <w:sz w:val="21"/>
                <w:szCs w:val="21"/>
                <w:lang w:val="en-US" w:eastAsia="zh-CN"/>
              </w:rPr>
            </w:pPr>
            <w:r>
              <w:rPr>
                <w:rFonts w:hint="eastAsia" w:ascii="仿宋" w:hAnsi="仿宋" w:eastAsia="仿宋" w:cs="仿宋"/>
                <w:color w:val="auto"/>
                <w:kern w:val="0"/>
                <w:sz w:val="21"/>
                <w:szCs w:val="21"/>
                <w:highlight w:val="none"/>
              </w:rPr>
              <w:t>佐证材料说明：请按要求填写《响应偏差表（商务部分）》。</w:t>
            </w:r>
          </w:p>
        </w:tc>
        <w:tc>
          <w:tcPr>
            <w:tcW w:w="323" w:type="pct"/>
            <w:tcBorders>
              <w:tl2br w:val="nil"/>
              <w:tr2bl w:val="nil"/>
            </w:tcBorders>
            <w:noWrap w:val="0"/>
            <w:vAlign w:val="center"/>
          </w:tcPr>
          <w:p w14:paraId="48AD41E9">
            <w:pPr>
              <w:keepNext/>
              <w:keepLines/>
              <w:pageBreakBefore w:val="0"/>
              <w:widowControl/>
              <w:kinsoku/>
              <w:wordWrap/>
              <w:overflowPunct/>
              <w:topLinePunct w:val="0"/>
              <w:bidi w:val="0"/>
              <w:snapToGrid w:val="0"/>
              <w:ind w:left="0" w:leftChars="0"/>
              <w:jc w:val="center"/>
            </w:pPr>
            <w:r>
              <w:rPr>
                <w:rFonts w:hint="eastAsia" w:ascii="仿宋" w:hAnsi="仿宋" w:eastAsia="仿宋" w:cs="仿宋"/>
                <w:color w:val="auto"/>
                <w:kern w:val="0"/>
                <w:sz w:val="21"/>
                <w:szCs w:val="21"/>
                <w:highlight w:val="none"/>
              </w:rPr>
              <w:t>24</w:t>
            </w:r>
          </w:p>
        </w:tc>
      </w:tr>
      <w:tr w14:paraId="7B2DB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0" w:hRule="atLeast"/>
          <w:jc w:val="center"/>
        </w:trPr>
        <w:tc>
          <w:tcPr>
            <w:tcW w:w="399" w:type="pct"/>
            <w:tcBorders>
              <w:tl2br w:val="nil"/>
              <w:tr2bl w:val="nil"/>
            </w:tcBorders>
            <w:noWrap w:val="0"/>
            <w:vAlign w:val="center"/>
          </w:tcPr>
          <w:p w14:paraId="6639B355">
            <w:pPr>
              <w:keepNext/>
              <w:keepLines/>
              <w:pageBreakBefore w:val="0"/>
              <w:kinsoku/>
              <w:wordWrap/>
              <w:overflowPunct/>
              <w:topLinePunct w:val="0"/>
              <w:bidi w:val="0"/>
              <w:snapToGrid w:val="0"/>
              <w:ind w:left="113" w:leftChars="0"/>
              <w:jc w:val="center"/>
              <w:rPr>
                <w:rFonts w:hint="eastAsia" w:ascii="宋体" w:hAnsi="宋体" w:eastAsia="宋体" w:cs="宋体"/>
                <w:i w:val="0"/>
                <w:color w:val="auto"/>
                <w:sz w:val="21"/>
                <w:szCs w:val="21"/>
                <w:u w:val="none"/>
                <w:lang w:val="en-US" w:eastAsia="zh-CN"/>
              </w:rPr>
            </w:pPr>
            <w:r>
              <w:rPr>
                <w:rFonts w:hint="eastAsia" w:ascii="仿宋" w:hAnsi="仿宋" w:eastAsia="仿宋" w:cs="仿宋"/>
                <w:sz w:val="21"/>
                <w:szCs w:val="21"/>
                <w:lang w:val="en-US" w:eastAsia="zh-CN"/>
              </w:rPr>
              <w:t>12</w:t>
            </w:r>
          </w:p>
        </w:tc>
        <w:tc>
          <w:tcPr>
            <w:tcW w:w="656" w:type="pct"/>
            <w:vMerge w:val="continue"/>
            <w:tcBorders>
              <w:tl2br w:val="nil"/>
              <w:tr2bl w:val="nil"/>
            </w:tcBorders>
            <w:noWrap w:val="0"/>
            <w:vAlign w:val="center"/>
          </w:tcPr>
          <w:p w14:paraId="412C4E2C">
            <w:pPr>
              <w:keepNext/>
              <w:keepLines/>
              <w:pageBreakBefore w:val="0"/>
              <w:kinsoku/>
              <w:wordWrap/>
              <w:overflowPunct/>
              <w:topLinePunct w:val="0"/>
              <w:bidi w:val="0"/>
              <w:snapToGrid w:val="0"/>
              <w:ind w:left="113" w:leftChars="0"/>
              <w:jc w:val="center"/>
              <w:rPr>
                <w:rFonts w:hint="eastAsia" w:ascii="宋体" w:hAnsi="宋体" w:eastAsia="宋体" w:cs="宋体"/>
                <w:color w:val="auto"/>
                <w:sz w:val="21"/>
                <w:szCs w:val="21"/>
                <w:lang w:val="en-US" w:eastAsia="zh-CN"/>
              </w:rPr>
            </w:pPr>
          </w:p>
        </w:tc>
        <w:tc>
          <w:tcPr>
            <w:tcW w:w="428" w:type="pct"/>
            <w:tcBorders>
              <w:tl2br w:val="nil"/>
              <w:tr2bl w:val="nil"/>
            </w:tcBorders>
            <w:noWrap w:val="0"/>
            <w:vAlign w:val="center"/>
          </w:tcPr>
          <w:p w14:paraId="58EEE616">
            <w:pPr>
              <w:keepNext/>
              <w:keepLines/>
              <w:pageBreakBefore w:val="0"/>
              <w:widowControl/>
              <w:kinsoku/>
              <w:wordWrap/>
              <w:overflowPunct/>
              <w:topLinePunct w:val="0"/>
              <w:bidi w:val="0"/>
              <w:snapToGrid w:val="0"/>
              <w:jc w:val="center"/>
              <w:rPr>
                <w:rFonts w:hint="eastAsia" w:ascii="宋体" w:hAnsi="宋体" w:eastAsia="宋体" w:cs="宋体"/>
                <w:color w:val="auto"/>
                <w:sz w:val="21"/>
                <w:szCs w:val="21"/>
                <w:lang w:val="en-US" w:eastAsia="zh-CN"/>
              </w:rPr>
            </w:pPr>
            <w:r>
              <w:rPr>
                <w:rFonts w:hint="eastAsia" w:ascii="仿宋" w:hAnsi="仿宋" w:eastAsia="仿宋" w:cs="仿宋"/>
                <w:color w:val="auto"/>
                <w:kern w:val="0"/>
                <w:sz w:val="21"/>
                <w:szCs w:val="21"/>
                <w:highlight w:val="none"/>
              </w:rPr>
              <w:t>升级服务稳定性</w:t>
            </w:r>
          </w:p>
        </w:tc>
        <w:tc>
          <w:tcPr>
            <w:tcW w:w="3192" w:type="pct"/>
            <w:tcBorders>
              <w:tl2br w:val="nil"/>
              <w:tr2bl w:val="nil"/>
            </w:tcBorders>
            <w:noWrap w:val="0"/>
            <w:vAlign w:val="center"/>
          </w:tcPr>
          <w:p w14:paraId="74A1C481">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承诺提供全生命周期内免费补丁升级服务，是得满分，否或未提供材料得0分。</w:t>
            </w:r>
          </w:p>
          <w:p w14:paraId="078A53D7">
            <w:pPr>
              <w:keepNext/>
              <w:keepLines/>
              <w:pageBreakBefore w:val="0"/>
              <w:widowControl/>
              <w:kinsoku/>
              <w:wordWrap/>
              <w:overflowPunct/>
              <w:topLinePunct w:val="0"/>
              <w:bidi w:val="0"/>
              <w:snapToGrid w:val="0"/>
              <w:jc w:val="left"/>
              <w:rPr>
                <w:rFonts w:hint="eastAsia" w:ascii="宋体" w:hAnsi="宋体" w:eastAsia="宋体" w:cs="宋体"/>
                <w:color w:val="auto"/>
                <w:sz w:val="21"/>
                <w:szCs w:val="21"/>
                <w:lang w:val="en-US" w:eastAsia="zh-CN"/>
              </w:rPr>
            </w:pPr>
            <w:r>
              <w:rPr>
                <w:rFonts w:hint="eastAsia" w:ascii="仿宋" w:hAnsi="仿宋" w:eastAsia="仿宋" w:cs="仿宋"/>
                <w:color w:val="auto"/>
                <w:kern w:val="0"/>
                <w:sz w:val="21"/>
                <w:szCs w:val="21"/>
                <w:highlight w:val="none"/>
              </w:rPr>
              <w:t>佐证材料说明：1.请附《供应承诺函》。</w:t>
            </w:r>
          </w:p>
        </w:tc>
        <w:tc>
          <w:tcPr>
            <w:tcW w:w="323" w:type="pct"/>
            <w:tcBorders>
              <w:tl2br w:val="nil"/>
              <w:tr2bl w:val="nil"/>
            </w:tcBorders>
            <w:noWrap w:val="0"/>
            <w:vAlign w:val="center"/>
          </w:tcPr>
          <w:p w14:paraId="0D4F4D3D">
            <w:pPr>
              <w:keepNext/>
              <w:keepLines/>
              <w:pageBreakBefore w:val="0"/>
              <w:widowControl/>
              <w:kinsoku/>
              <w:wordWrap/>
              <w:overflowPunct/>
              <w:topLinePunct w:val="0"/>
              <w:bidi w:val="0"/>
              <w:snapToGrid w:val="0"/>
              <w:ind w:left="0" w:leftChars="0"/>
              <w:jc w:val="center"/>
            </w:pPr>
            <w:r>
              <w:rPr>
                <w:rFonts w:hint="eastAsia" w:ascii="仿宋" w:hAnsi="仿宋" w:eastAsia="仿宋" w:cs="仿宋"/>
                <w:color w:val="auto"/>
                <w:kern w:val="0"/>
                <w:sz w:val="21"/>
                <w:szCs w:val="21"/>
                <w:highlight w:val="none"/>
              </w:rPr>
              <w:t>10</w:t>
            </w:r>
          </w:p>
        </w:tc>
      </w:tr>
      <w:tr w14:paraId="439BF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0" w:hRule="atLeast"/>
          <w:jc w:val="center"/>
        </w:trPr>
        <w:tc>
          <w:tcPr>
            <w:tcW w:w="4676" w:type="pct"/>
            <w:gridSpan w:val="4"/>
            <w:tcBorders>
              <w:tl2br w:val="nil"/>
              <w:tr2bl w:val="nil"/>
            </w:tcBorders>
            <w:noWrap w:val="0"/>
            <w:vAlign w:val="center"/>
          </w:tcPr>
          <w:p w14:paraId="48403B3E">
            <w:pPr>
              <w:keepNext/>
              <w:keepLines/>
              <w:pageBreakBefore w:val="0"/>
              <w:kinsoku/>
              <w:wordWrap/>
              <w:overflowPunct/>
              <w:topLinePunct w:val="0"/>
              <w:autoSpaceDE/>
              <w:autoSpaceDN/>
              <w:bidi w:val="0"/>
              <w:snapToGrid w:val="0"/>
              <w:jc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合计</w:t>
            </w:r>
          </w:p>
        </w:tc>
        <w:tc>
          <w:tcPr>
            <w:tcW w:w="323" w:type="pct"/>
            <w:tcBorders>
              <w:tl2br w:val="nil"/>
              <w:tr2bl w:val="nil"/>
            </w:tcBorders>
            <w:noWrap w:val="0"/>
            <w:vAlign w:val="center"/>
          </w:tcPr>
          <w:p w14:paraId="13C86034">
            <w:pPr>
              <w:keepNext/>
              <w:keepLines/>
              <w:pageBreakBefore w:val="0"/>
              <w:kinsoku/>
              <w:wordWrap/>
              <w:overflowPunct/>
              <w:topLinePunct w:val="0"/>
              <w:autoSpaceDE/>
              <w:autoSpaceDN/>
              <w:bidi w:val="0"/>
              <w:snapToGrid w:val="0"/>
              <w:jc w:val="center"/>
              <w:rPr>
                <w:rFonts w:hint="eastAsia" w:ascii="宋体" w:hAnsi="宋体" w:eastAsia="宋体" w:cs="宋体"/>
                <w:i w:val="0"/>
                <w:color w:val="auto"/>
                <w:sz w:val="21"/>
                <w:szCs w:val="21"/>
                <w:u w:val="none"/>
              </w:rPr>
            </w:pPr>
            <w:r>
              <w:rPr>
                <w:rFonts w:hint="eastAsia" w:ascii="宋体" w:hAnsi="宋体" w:eastAsia="宋体" w:cs="宋体"/>
                <w:i w:val="0"/>
                <w:color w:val="auto"/>
                <w:sz w:val="21"/>
                <w:szCs w:val="21"/>
                <w:u w:val="none"/>
                <w:lang w:val="en-US" w:eastAsia="zh-CN"/>
              </w:rPr>
              <w:t>100</w:t>
            </w:r>
          </w:p>
        </w:tc>
      </w:tr>
      <w:tr w14:paraId="321A0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000" w:type="pct"/>
            <w:gridSpan w:val="5"/>
            <w:tcBorders>
              <w:tl2br w:val="nil"/>
              <w:tr2bl w:val="nil"/>
            </w:tcBorders>
            <w:shd w:val="clear" w:color="auto" w:fill="FFFFFF"/>
            <w:noWrap w:val="0"/>
            <w:vAlign w:val="center"/>
          </w:tcPr>
          <w:p w14:paraId="53EF700A">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lang w:val="en-US" w:eastAsia="zh-CN"/>
              </w:rPr>
            </w:pPr>
            <w:r>
              <w:rPr>
                <w:rFonts w:hint="eastAsia" w:ascii="宋体" w:hAnsi="宋体" w:eastAsia="宋体" w:cs="宋体"/>
                <w:sz w:val="28"/>
              </w:rPr>
              <w:t>（二）</w:t>
            </w:r>
            <w:r>
              <w:rPr>
                <w:rFonts w:hint="eastAsia" w:ascii="宋体" w:hAnsi="宋体" w:eastAsia="宋体" w:cs="宋体"/>
                <w:b/>
                <w:sz w:val="28"/>
              </w:rPr>
              <w:t>技术评审（</w:t>
            </w:r>
            <w:r>
              <w:rPr>
                <w:rFonts w:hint="eastAsia" w:ascii="宋体" w:hAnsi="宋体" w:eastAsia="宋体" w:cs="宋体"/>
                <w:b/>
                <w:sz w:val="28"/>
                <w:lang w:val="en-US" w:eastAsia="zh-CN"/>
              </w:rPr>
              <w:t>100</w:t>
            </w:r>
            <w:r>
              <w:rPr>
                <w:rFonts w:hint="eastAsia" w:ascii="宋体" w:hAnsi="宋体" w:eastAsia="宋体" w:cs="宋体"/>
                <w:b/>
                <w:sz w:val="28"/>
              </w:rPr>
              <w:t>）分</w:t>
            </w:r>
          </w:p>
        </w:tc>
      </w:tr>
      <w:tr w14:paraId="2057C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99" w:type="pct"/>
            <w:tcBorders>
              <w:tl2br w:val="nil"/>
              <w:tr2bl w:val="nil"/>
            </w:tcBorders>
            <w:shd w:val="clear" w:color="auto" w:fill="FFFFFF"/>
            <w:noWrap w:val="0"/>
            <w:vAlign w:val="center"/>
          </w:tcPr>
          <w:p w14:paraId="62A52147">
            <w:pPr>
              <w:keepNext/>
              <w:keepLines/>
              <w:pageBreakBefore w:val="0"/>
              <w:kinsoku/>
              <w:wordWrap/>
              <w:overflowPunct/>
              <w:topLinePunct w:val="0"/>
              <w:bidi w:val="0"/>
              <w:snapToGrid w:val="0"/>
              <w:ind w:left="0" w:leftChars="0" w:firstLine="0" w:firstLineChars="0"/>
              <w:jc w:val="center"/>
              <w:rPr>
                <w:rFonts w:hint="eastAsia" w:ascii="仿宋" w:hAnsi="仿宋" w:eastAsia="仿宋" w:cs="仿宋"/>
                <w:color w:val="auto"/>
                <w:kern w:val="0"/>
                <w:sz w:val="21"/>
                <w:szCs w:val="21"/>
                <w:highlight w:val="none"/>
                <w:lang w:val="en-US" w:eastAsia="zh-CN"/>
              </w:rPr>
            </w:pPr>
            <w:r>
              <w:rPr>
                <w:rFonts w:hint="eastAsia" w:ascii="宋体" w:hAnsi="宋体" w:eastAsia="宋体" w:cs="宋体"/>
                <w:b/>
                <w:sz w:val="21"/>
                <w:szCs w:val="21"/>
              </w:rPr>
              <w:t>序号</w:t>
            </w:r>
          </w:p>
        </w:tc>
        <w:tc>
          <w:tcPr>
            <w:tcW w:w="656" w:type="pct"/>
            <w:tcBorders>
              <w:tl2br w:val="nil"/>
              <w:tr2bl w:val="nil"/>
            </w:tcBorders>
            <w:shd w:val="clear" w:color="auto" w:fill="FFFFFF"/>
            <w:noWrap w:val="0"/>
            <w:vAlign w:val="center"/>
          </w:tcPr>
          <w:p w14:paraId="3EAE5A43">
            <w:pPr>
              <w:keepNext/>
              <w:keepLines/>
              <w:pageBreakBefore w:val="0"/>
              <w:kinsoku/>
              <w:wordWrap/>
              <w:overflowPunct/>
              <w:topLinePunct w:val="0"/>
              <w:bidi w:val="0"/>
              <w:snapToGrid w:val="0"/>
              <w:ind w:left="0" w:leftChars="0" w:firstLine="0" w:firstLineChars="0"/>
              <w:jc w:val="center"/>
              <w:rPr>
                <w:rFonts w:hint="default" w:ascii="宋体" w:hAnsi="宋体" w:eastAsia="宋体" w:cs="宋体"/>
                <w:sz w:val="21"/>
                <w:szCs w:val="21"/>
                <w:lang w:val="en-US" w:eastAsia="zh-CN"/>
              </w:rPr>
            </w:pPr>
            <w:r>
              <w:rPr>
                <w:rFonts w:hint="eastAsia" w:ascii="宋体" w:hAnsi="宋体" w:eastAsia="宋体" w:cs="宋体"/>
                <w:b/>
                <w:sz w:val="21"/>
                <w:szCs w:val="21"/>
              </w:rPr>
              <w:t>评分要素</w:t>
            </w:r>
          </w:p>
        </w:tc>
        <w:tc>
          <w:tcPr>
            <w:tcW w:w="428" w:type="pct"/>
            <w:tcBorders>
              <w:tl2br w:val="nil"/>
              <w:tr2bl w:val="nil"/>
            </w:tcBorders>
            <w:shd w:val="clear" w:color="auto" w:fill="FFFFFF"/>
            <w:noWrap w:val="0"/>
            <w:vAlign w:val="center"/>
          </w:tcPr>
          <w:p w14:paraId="152F09A5">
            <w:pPr>
              <w:keepNext/>
              <w:keepLines/>
              <w:pageBreakBefore w:val="0"/>
              <w:kinsoku/>
              <w:wordWrap/>
              <w:overflowPunct/>
              <w:topLinePunct w:val="0"/>
              <w:bidi w:val="0"/>
              <w:snapToGrid w:val="0"/>
              <w:ind w:left="0" w:leftChars="0" w:firstLine="0" w:firstLineChars="0"/>
              <w:jc w:val="center"/>
              <w:rPr>
                <w:rFonts w:hint="eastAsia" w:ascii="仿宋" w:hAnsi="仿宋" w:eastAsia="仿宋" w:cs="仿宋"/>
                <w:color w:val="auto"/>
                <w:kern w:val="0"/>
                <w:sz w:val="21"/>
                <w:szCs w:val="21"/>
                <w:highlight w:val="none"/>
              </w:rPr>
            </w:pPr>
            <w:r>
              <w:rPr>
                <w:rFonts w:hint="eastAsia" w:ascii="宋体" w:hAnsi="宋体" w:eastAsia="宋体" w:cs="宋体"/>
                <w:b/>
                <w:sz w:val="21"/>
                <w:szCs w:val="21"/>
              </w:rPr>
              <w:t>详细评审项</w:t>
            </w:r>
          </w:p>
        </w:tc>
        <w:tc>
          <w:tcPr>
            <w:tcW w:w="3192" w:type="pct"/>
            <w:tcBorders>
              <w:tl2br w:val="nil"/>
              <w:tr2bl w:val="nil"/>
            </w:tcBorders>
            <w:shd w:val="clear" w:color="auto" w:fill="FFFFFF"/>
            <w:noWrap w:val="0"/>
            <w:vAlign w:val="center"/>
          </w:tcPr>
          <w:p w14:paraId="56489184">
            <w:pPr>
              <w:keepNext/>
              <w:keepLines/>
              <w:pageBreakBefore w:val="0"/>
              <w:kinsoku/>
              <w:wordWrap/>
              <w:overflowPunct/>
              <w:topLinePunct w:val="0"/>
              <w:bidi w:val="0"/>
              <w:snapToGrid w:val="0"/>
              <w:ind w:left="0" w:leftChars="0" w:firstLine="0" w:firstLineChars="0"/>
              <w:jc w:val="center"/>
              <w:rPr>
                <w:rFonts w:hint="eastAsia" w:ascii="仿宋" w:hAnsi="仿宋" w:eastAsia="仿宋" w:cs="仿宋"/>
                <w:color w:val="auto"/>
                <w:kern w:val="0"/>
                <w:sz w:val="21"/>
                <w:szCs w:val="21"/>
                <w:highlight w:val="none"/>
              </w:rPr>
            </w:pPr>
            <w:r>
              <w:rPr>
                <w:rFonts w:hint="eastAsia" w:ascii="宋体" w:hAnsi="宋体" w:eastAsia="宋体" w:cs="宋体"/>
                <w:b/>
                <w:sz w:val="21"/>
                <w:szCs w:val="21"/>
              </w:rPr>
              <w:t>详细评审分项要素</w:t>
            </w:r>
          </w:p>
        </w:tc>
        <w:tc>
          <w:tcPr>
            <w:tcW w:w="323" w:type="pct"/>
            <w:tcBorders>
              <w:tl2br w:val="nil"/>
              <w:tr2bl w:val="nil"/>
            </w:tcBorders>
            <w:shd w:val="clear" w:color="auto" w:fill="FFFFFF"/>
            <w:noWrap w:val="0"/>
            <w:vAlign w:val="center"/>
          </w:tcPr>
          <w:p w14:paraId="15C8CE35">
            <w:pPr>
              <w:keepNext/>
              <w:keepLines/>
              <w:pageBreakBefore w:val="0"/>
              <w:kinsoku/>
              <w:wordWrap/>
              <w:overflowPunct/>
              <w:topLinePunct w:val="0"/>
              <w:bidi w:val="0"/>
              <w:snapToGrid w:val="0"/>
              <w:ind w:left="0" w:leftChars="0" w:firstLine="0" w:firstLineChars="0"/>
              <w:jc w:val="both"/>
              <w:rPr>
                <w:rFonts w:hint="eastAsia" w:ascii="仿宋" w:hAnsi="仿宋" w:eastAsia="仿宋" w:cs="仿宋"/>
                <w:color w:val="auto"/>
                <w:kern w:val="0"/>
                <w:sz w:val="21"/>
                <w:szCs w:val="21"/>
                <w:highlight w:val="none"/>
                <w:lang w:val="en-US" w:eastAsia="zh-CN"/>
              </w:rPr>
            </w:pPr>
            <w:r>
              <w:rPr>
                <w:rFonts w:hint="eastAsia" w:ascii="宋体" w:hAnsi="宋体" w:eastAsia="宋体" w:cs="宋体"/>
                <w:b/>
                <w:sz w:val="21"/>
                <w:szCs w:val="21"/>
              </w:rPr>
              <w:t>分值</w:t>
            </w:r>
          </w:p>
        </w:tc>
      </w:tr>
      <w:tr w14:paraId="684A4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99" w:type="pct"/>
            <w:tcBorders>
              <w:tl2br w:val="nil"/>
              <w:tr2bl w:val="nil"/>
            </w:tcBorders>
            <w:shd w:val="clear" w:color="auto" w:fill="FFFFFF"/>
            <w:noWrap w:val="0"/>
            <w:vAlign w:val="center"/>
          </w:tcPr>
          <w:p w14:paraId="57FE4367">
            <w:pPr>
              <w:keepNext/>
              <w:keepLines/>
              <w:pageBreakBefore w:val="0"/>
              <w:widowControl/>
              <w:kinsoku/>
              <w:wordWrap/>
              <w:overflowPunct/>
              <w:topLinePunct w:val="0"/>
              <w:bidi w:val="0"/>
              <w:snapToGrid w:val="0"/>
              <w:jc w:val="center"/>
              <w:rPr>
                <w:rFonts w:hint="default" w:ascii="仿宋" w:hAnsi="仿宋" w:eastAsia="仿宋" w:cs="仿宋"/>
                <w:color w:val="auto"/>
                <w:kern w:val="0"/>
                <w:sz w:val="21"/>
                <w:szCs w:val="21"/>
                <w:highlight w:val="none"/>
                <w:lang w:val="en-US" w:eastAsia="zh-CN"/>
              </w:rPr>
            </w:pPr>
            <w:r>
              <w:rPr>
                <w:rFonts w:hint="eastAsia" w:ascii="仿宋" w:hAnsi="仿宋" w:cs="仿宋"/>
                <w:color w:val="auto"/>
                <w:kern w:val="0"/>
                <w:sz w:val="21"/>
                <w:szCs w:val="21"/>
                <w:highlight w:val="none"/>
                <w:lang w:val="en-US" w:eastAsia="zh-CN"/>
              </w:rPr>
              <w:t>1</w:t>
            </w:r>
          </w:p>
        </w:tc>
        <w:tc>
          <w:tcPr>
            <w:tcW w:w="656" w:type="pct"/>
            <w:tcBorders>
              <w:tl2br w:val="nil"/>
              <w:tr2bl w:val="nil"/>
            </w:tcBorders>
            <w:shd w:val="clear" w:color="auto" w:fill="FFFFFF"/>
            <w:noWrap w:val="0"/>
            <w:vAlign w:val="center"/>
          </w:tcPr>
          <w:p w14:paraId="3C760326">
            <w:pPr>
              <w:keepNext/>
              <w:keepLines/>
              <w:pageBreakBefore w:val="0"/>
              <w:kinsoku/>
              <w:wordWrap/>
              <w:overflowPunct/>
              <w:topLinePunct w:val="0"/>
              <w:bidi w:val="0"/>
              <w:snapToGrid w:val="0"/>
              <w:ind w:left="113" w:leftChars="0"/>
              <w:jc w:val="center"/>
              <w:rPr>
                <w:rFonts w:hint="default" w:ascii="宋体" w:hAnsi="宋体" w:eastAsia="宋体" w:cs="宋体"/>
                <w:sz w:val="21"/>
                <w:szCs w:val="21"/>
                <w:lang w:val="en-US" w:eastAsia="zh-CN"/>
              </w:rPr>
            </w:pPr>
            <w:r>
              <w:rPr>
                <w:rFonts w:hint="eastAsia" w:ascii="仿宋" w:hAnsi="仿宋" w:eastAsia="仿宋" w:cs="仿宋"/>
                <w:sz w:val="21"/>
                <w:szCs w:val="20"/>
              </w:rPr>
              <w:t>技术条款响应性</w:t>
            </w:r>
          </w:p>
        </w:tc>
        <w:tc>
          <w:tcPr>
            <w:tcW w:w="428" w:type="pct"/>
            <w:tcBorders>
              <w:tl2br w:val="nil"/>
              <w:tr2bl w:val="nil"/>
            </w:tcBorders>
            <w:shd w:val="clear" w:color="auto" w:fill="FFFFFF"/>
            <w:noWrap w:val="0"/>
            <w:vAlign w:val="center"/>
          </w:tcPr>
          <w:p w14:paraId="22D1192B">
            <w:pPr>
              <w:keepNext/>
              <w:keepLines/>
              <w:pageBreakBefore w:val="0"/>
              <w:widowControl/>
              <w:kinsoku/>
              <w:wordWrap/>
              <w:overflowPunct/>
              <w:topLinePunct w:val="0"/>
              <w:bidi w:val="0"/>
              <w:snapToGrid w:val="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产品参数优异性</w:t>
            </w:r>
          </w:p>
        </w:tc>
        <w:tc>
          <w:tcPr>
            <w:tcW w:w="3192" w:type="pct"/>
            <w:tcBorders>
              <w:tl2br w:val="nil"/>
              <w:tr2bl w:val="nil"/>
            </w:tcBorders>
            <w:shd w:val="clear" w:color="auto" w:fill="FFFFFF"/>
            <w:noWrap w:val="0"/>
            <w:vAlign w:val="center"/>
          </w:tcPr>
          <w:p w14:paraId="0B4E939D">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(1)产品有6个以上（含6个）功能和性能参数,响应优于技术条件要求，得11-15分。</w:t>
            </w:r>
          </w:p>
          <w:p w14:paraId="3BE16440">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(2)产品有2-5个功能和性能参数响应优于技术条件要求，得6-10分。</w:t>
            </w:r>
          </w:p>
          <w:p w14:paraId="0384B030">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(3)产品有1个及以下参数响应优于技术条件要求，得0-5分。</w:t>
            </w:r>
          </w:p>
          <w:p w14:paraId="4F20A507">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(4)产品功能和性能参数存在参数负偏差，</w:t>
            </w:r>
            <w:r>
              <w:rPr>
                <w:rFonts w:hint="eastAsia" w:ascii="仿宋" w:hAnsi="仿宋" w:eastAsia="仿宋" w:cs="仿宋"/>
                <w:color w:val="auto"/>
                <w:kern w:val="0"/>
                <w:sz w:val="21"/>
                <w:szCs w:val="21"/>
                <w:highlight w:val="none"/>
                <w:lang w:val="en-US" w:eastAsia="zh-CN"/>
              </w:rPr>
              <w:t>本项0分</w:t>
            </w:r>
            <w:r>
              <w:rPr>
                <w:rFonts w:hint="eastAsia" w:ascii="仿宋" w:hAnsi="仿宋" w:eastAsia="仿宋" w:cs="仿宋"/>
                <w:color w:val="auto"/>
                <w:kern w:val="0"/>
                <w:sz w:val="21"/>
                <w:szCs w:val="21"/>
                <w:highlight w:val="none"/>
              </w:rPr>
              <w:t>。</w:t>
            </w:r>
          </w:p>
        </w:tc>
        <w:tc>
          <w:tcPr>
            <w:tcW w:w="323" w:type="pct"/>
            <w:tcBorders>
              <w:tl2br w:val="nil"/>
              <w:tr2bl w:val="nil"/>
            </w:tcBorders>
            <w:shd w:val="clear" w:color="auto" w:fill="FFFFFF"/>
            <w:noWrap w:val="0"/>
            <w:vAlign w:val="center"/>
          </w:tcPr>
          <w:p w14:paraId="72824780">
            <w:pPr>
              <w:keepNext/>
              <w:keepLines/>
              <w:pageBreakBefore w:val="0"/>
              <w:widowControl/>
              <w:kinsoku/>
              <w:wordWrap/>
              <w:overflowPunct/>
              <w:topLinePunct w:val="0"/>
              <w:bidi w:val="0"/>
              <w:snapToGrid w:val="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15</w:t>
            </w:r>
          </w:p>
        </w:tc>
      </w:tr>
      <w:tr w14:paraId="18E9B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99" w:type="pct"/>
            <w:tcBorders>
              <w:tl2br w:val="nil"/>
              <w:tr2bl w:val="nil"/>
            </w:tcBorders>
            <w:shd w:val="clear" w:color="auto" w:fill="FFFFFF"/>
            <w:noWrap w:val="0"/>
            <w:vAlign w:val="center"/>
          </w:tcPr>
          <w:p w14:paraId="582E677F">
            <w:pPr>
              <w:keepNext/>
              <w:keepLines/>
              <w:pageBreakBefore w:val="0"/>
              <w:widowControl/>
              <w:kinsoku/>
              <w:wordWrap/>
              <w:overflowPunct/>
              <w:topLinePunct w:val="0"/>
              <w:bidi w:val="0"/>
              <w:snapToGrid w:val="0"/>
              <w:jc w:val="center"/>
              <w:rPr>
                <w:rFonts w:hint="default" w:ascii="仿宋" w:hAnsi="仿宋" w:eastAsia="仿宋" w:cs="仿宋"/>
                <w:color w:val="auto"/>
                <w:kern w:val="0"/>
                <w:sz w:val="21"/>
                <w:szCs w:val="21"/>
                <w:highlight w:val="none"/>
                <w:lang w:val="en-US" w:eastAsia="zh-CN"/>
              </w:rPr>
            </w:pPr>
            <w:r>
              <w:rPr>
                <w:rFonts w:hint="eastAsia" w:ascii="仿宋" w:hAnsi="仿宋" w:cs="仿宋"/>
                <w:color w:val="auto"/>
                <w:kern w:val="0"/>
                <w:sz w:val="21"/>
                <w:szCs w:val="21"/>
                <w:highlight w:val="none"/>
                <w:lang w:val="en-US" w:eastAsia="zh-CN"/>
              </w:rPr>
              <w:t>2</w:t>
            </w:r>
          </w:p>
        </w:tc>
        <w:tc>
          <w:tcPr>
            <w:tcW w:w="656" w:type="pct"/>
            <w:vMerge w:val="restart"/>
            <w:tcBorders>
              <w:tl2br w:val="nil"/>
              <w:tr2bl w:val="nil"/>
            </w:tcBorders>
            <w:shd w:val="clear" w:color="auto" w:fill="FFFFFF"/>
            <w:noWrap w:val="0"/>
            <w:vAlign w:val="center"/>
          </w:tcPr>
          <w:p w14:paraId="17D88773">
            <w:pPr>
              <w:keepNext/>
              <w:keepLines/>
              <w:pageBreakBefore w:val="0"/>
              <w:widowControl/>
              <w:kinsoku/>
              <w:wordWrap/>
              <w:overflowPunct/>
              <w:topLinePunct w:val="0"/>
              <w:bidi w:val="0"/>
              <w:snapToGrid w:val="0"/>
              <w:jc w:val="center"/>
              <w:rPr>
                <w:rFonts w:hint="default" w:ascii="宋体" w:hAnsi="宋体" w:eastAsia="宋体" w:cs="宋体"/>
                <w:sz w:val="21"/>
                <w:szCs w:val="21"/>
                <w:lang w:val="en-US" w:eastAsia="zh-CN"/>
              </w:rPr>
            </w:pPr>
            <w:r>
              <w:rPr>
                <w:rFonts w:hint="eastAsia" w:ascii="仿宋" w:hAnsi="仿宋" w:eastAsia="仿宋" w:cs="仿宋"/>
                <w:color w:val="auto"/>
                <w:kern w:val="0"/>
                <w:sz w:val="21"/>
                <w:szCs w:val="21"/>
                <w:highlight w:val="none"/>
              </w:rPr>
              <w:t>产品的先进性</w:t>
            </w:r>
          </w:p>
        </w:tc>
        <w:tc>
          <w:tcPr>
            <w:tcW w:w="428" w:type="pct"/>
            <w:tcBorders>
              <w:tl2br w:val="nil"/>
              <w:tr2bl w:val="nil"/>
            </w:tcBorders>
            <w:shd w:val="clear" w:color="auto" w:fill="FFFFFF"/>
            <w:noWrap w:val="0"/>
            <w:vAlign w:val="center"/>
          </w:tcPr>
          <w:p w14:paraId="3C1CDC3D">
            <w:pPr>
              <w:keepNext/>
              <w:keepLines/>
              <w:pageBreakBefore w:val="0"/>
              <w:widowControl/>
              <w:kinsoku/>
              <w:wordWrap/>
              <w:overflowPunct/>
              <w:topLinePunct w:val="0"/>
              <w:bidi w:val="0"/>
              <w:snapToGrid w:val="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产品研发实力</w:t>
            </w:r>
          </w:p>
        </w:tc>
        <w:tc>
          <w:tcPr>
            <w:tcW w:w="3192" w:type="pct"/>
            <w:tcBorders>
              <w:tl2br w:val="nil"/>
              <w:tr2bl w:val="nil"/>
            </w:tcBorders>
            <w:shd w:val="clear" w:color="auto" w:fill="FFFFFF"/>
            <w:noWrap w:val="0"/>
            <w:vAlign w:val="center"/>
          </w:tcPr>
          <w:p w14:paraId="48F030BA">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产品厂商属于市场认可的品牌,自主知识产权较多，技术研发能力强，须提供操作系统相关的产品专利等证明文件横向对比评分。</w:t>
            </w:r>
          </w:p>
          <w:p w14:paraId="10D74C2E">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(1) 研发实力优秀，知识产权和专利等数量多，数量排名前30%，得8-10分；</w:t>
            </w:r>
          </w:p>
          <w:p w14:paraId="79549A64">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(2) 研发实力中等，知识产权和专利等数量一般，数量排名前60%，得4-7分；</w:t>
            </w:r>
          </w:p>
          <w:p w14:paraId="4C1D2460">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 研发实力较差，知识产权和专利数量较少，数量排名后40%，得0-3分。</w:t>
            </w:r>
          </w:p>
        </w:tc>
        <w:tc>
          <w:tcPr>
            <w:tcW w:w="323" w:type="pct"/>
            <w:tcBorders>
              <w:tl2br w:val="nil"/>
              <w:tr2bl w:val="nil"/>
            </w:tcBorders>
            <w:shd w:val="clear" w:color="auto" w:fill="FFFFFF"/>
            <w:noWrap w:val="0"/>
            <w:vAlign w:val="center"/>
          </w:tcPr>
          <w:p w14:paraId="3A067435">
            <w:pPr>
              <w:keepNext/>
              <w:keepLines/>
              <w:pageBreakBefore w:val="0"/>
              <w:widowControl/>
              <w:kinsoku/>
              <w:wordWrap/>
              <w:overflowPunct/>
              <w:topLinePunct w:val="0"/>
              <w:bidi w:val="0"/>
              <w:snapToGrid w:val="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rPr>
              <w:t>10</w:t>
            </w:r>
          </w:p>
        </w:tc>
      </w:tr>
      <w:tr w14:paraId="23585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99" w:type="pct"/>
            <w:tcBorders>
              <w:tl2br w:val="nil"/>
              <w:tr2bl w:val="nil"/>
            </w:tcBorders>
            <w:shd w:val="clear" w:color="auto" w:fill="FFFFFF"/>
            <w:noWrap w:val="0"/>
            <w:vAlign w:val="center"/>
          </w:tcPr>
          <w:p w14:paraId="2E130EF7">
            <w:pPr>
              <w:keepNext/>
              <w:keepLines/>
              <w:pageBreakBefore w:val="0"/>
              <w:widowControl/>
              <w:kinsoku/>
              <w:wordWrap/>
              <w:overflowPunct/>
              <w:topLinePunct w:val="0"/>
              <w:bidi w:val="0"/>
              <w:snapToGrid w:val="0"/>
              <w:jc w:val="center"/>
              <w:rPr>
                <w:rFonts w:hint="eastAsia" w:ascii="宋体" w:hAnsi="宋体" w:eastAsia="宋体" w:cs="宋体"/>
                <w:sz w:val="28"/>
                <w:lang w:val="en-US" w:eastAsia="zh-CN"/>
              </w:rPr>
            </w:pPr>
            <w:r>
              <w:rPr>
                <w:rFonts w:hint="eastAsia" w:ascii="仿宋" w:hAnsi="仿宋" w:eastAsia="仿宋" w:cs="仿宋"/>
                <w:color w:val="auto"/>
                <w:kern w:val="0"/>
                <w:sz w:val="21"/>
                <w:szCs w:val="21"/>
                <w:highlight w:val="none"/>
                <w:lang w:val="en-US" w:eastAsia="zh-CN"/>
              </w:rPr>
              <w:t>3</w:t>
            </w:r>
          </w:p>
        </w:tc>
        <w:tc>
          <w:tcPr>
            <w:tcW w:w="656" w:type="pct"/>
            <w:vMerge w:val="continue"/>
            <w:tcBorders>
              <w:tl2br w:val="nil"/>
              <w:tr2bl w:val="nil"/>
            </w:tcBorders>
            <w:shd w:val="clear" w:color="auto" w:fill="FFFFFF"/>
            <w:noWrap w:val="0"/>
            <w:vAlign w:val="center"/>
          </w:tcPr>
          <w:p w14:paraId="52FC769E">
            <w:pPr>
              <w:keepNext/>
              <w:keepLines/>
              <w:pageBreakBefore w:val="0"/>
              <w:widowControl/>
              <w:kinsoku/>
              <w:wordWrap/>
              <w:overflowPunct/>
              <w:topLinePunct w:val="0"/>
              <w:bidi w:val="0"/>
              <w:snapToGrid w:val="0"/>
              <w:jc w:val="center"/>
              <w:rPr>
                <w:rFonts w:hint="default" w:ascii="宋体" w:hAnsi="宋体" w:eastAsia="宋体" w:cs="宋体"/>
                <w:sz w:val="21"/>
                <w:szCs w:val="21"/>
                <w:lang w:val="en-US" w:eastAsia="zh-CN"/>
              </w:rPr>
            </w:pPr>
          </w:p>
        </w:tc>
        <w:tc>
          <w:tcPr>
            <w:tcW w:w="428" w:type="pct"/>
            <w:tcBorders>
              <w:tl2br w:val="nil"/>
              <w:tr2bl w:val="nil"/>
            </w:tcBorders>
            <w:shd w:val="clear" w:color="auto" w:fill="FFFFFF"/>
            <w:noWrap w:val="0"/>
            <w:vAlign w:val="center"/>
          </w:tcPr>
          <w:p w14:paraId="6453EDE9">
            <w:pPr>
              <w:keepNext/>
              <w:keepLines/>
              <w:pageBreakBefore w:val="0"/>
              <w:widowControl/>
              <w:kinsoku/>
              <w:wordWrap/>
              <w:overflowPunct/>
              <w:topLinePunct w:val="0"/>
              <w:bidi w:val="0"/>
              <w:snapToGrid w:val="0"/>
              <w:jc w:val="center"/>
              <w:rPr>
                <w:rFonts w:hint="default" w:ascii="宋体" w:hAnsi="宋体" w:eastAsia="宋体" w:cs="宋体"/>
                <w:kern w:val="2"/>
                <w:sz w:val="21"/>
                <w:szCs w:val="21"/>
                <w:lang w:val="en-US" w:eastAsia="zh-CN" w:bidi="ar-SA"/>
              </w:rPr>
            </w:pPr>
            <w:r>
              <w:rPr>
                <w:rFonts w:hint="eastAsia" w:ascii="仿宋" w:hAnsi="仿宋" w:eastAsia="仿宋" w:cs="仿宋"/>
                <w:color w:val="auto"/>
                <w:kern w:val="0"/>
                <w:sz w:val="21"/>
                <w:szCs w:val="21"/>
                <w:highlight w:val="none"/>
              </w:rPr>
              <w:t>产品供货业绩</w:t>
            </w:r>
          </w:p>
        </w:tc>
        <w:tc>
          <w:tcPr>
            <w:tcW w:w="3192" w:type="pct"/>
            <w:tcBorders>
              <w:tl2br w:val="nil"/>
              <w:tr2bl w:val="nil"/>
            </w:tcBorders>
            <w:shd w:val="clear" w:color="auto" w:fill="FFFFFF"/>
            <w:noWrap w:val="0"/>
            <w:vAlign w:val="center"/>
          </w:tcPr>
          <w:p w14:paraId="2824D9C7">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提供产品厂商近三年同类产品应用案例，金额和时间以合同为准，不得涂抹合同金额。每份业绩证明材料包括中标公告或中标通知书（如有），合同首页、采购内容页、盖章签字页和发票(每份合同上传金额最大的 1-3 张发票)等。未按要求提供或发票与合同对应关系明显不合理的，视为无效业绩。</w:t>
            </w:r>
          </w:p>
          <w:p w14:paraId="7D9141E5">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(1)单份合同金额</w:t>
            </w:r>
            <w:r>
              <w:rPr>
                <w:rFonts w:hint="eastAsia" w:ascii="仿宋" w:hAnsi="仿宋" w:eastAsia="仿宋" w:cs="仿宋"/>
                <w:color w:val="auto"/>
                <w:kern w:val="0"/>
                <w:sz w:val="21"/>
                <w:szCs w:val="21"/>
                <w:highlight w:val="none"/>
                <w:lang w:val="en-US" w:eastAsia="zh-CN"/>
              </w:rPr>
              <w:t>20</w:t>
            </w:r>
            <w:r>
              <w:rPr>
                <w:rFonts w:hint="eastAsia" w:ascii="仿宋" w:hAnsi="仿宋" w:eastAsia="仿宋" w:cs="仿宋"/>
                <w:color w:val="auto"/>
                <w:kern w:val="0"/>
                <w:sz w:val="21"/>
                <w:szCs w:val="21"/>
                <w:highlight w:val="none"/>
              </w:rPr>
              <w:t>0万以上</w:t>
            </w:r>
            <w:r>
              <w:rPr>
                <w:rFonts w:hint="eastAsia" w:ascii="仿宋" w:hAnsi="仿宋" w:eastAsia="仿宋" w:cs="仿宋"/>
                <w:color w:val="auto"/>
                <w:kern w:val="0"/>
                <w:sz w:val="21"/>
                <w:szCs w:val="21"/>
                <w:highlight w:val="none"/>
                <w:lang w:val="en-US" w:eastAsia="zh-CN"/>
              </w:rPr>
              <w:t>5</w:t>
            </w:r>
            <w:r>
              <w:rPr>
                <w:rFonts w:hint="eastAsia" w:ascii="仿宋" w:hAnsi="仿宋" w:eastAsia="仿宋" w:cs="仿宋"/>
                <w:color w:val="auto"/>
                <w:kern w:val="0"/>
                <w:sz w:val="21"/>
                <w:szCs w:val="21"/>
                <w:highlight w:val="none"/>
              </w:rPr>
              <w:t>00万</w:t>
            </w:r>
            <w:r>
              <w:rPr>
                <w:rFonts w:hint="eastAsia" w:ascii="仿宋" w:hAnsi="仿宋" w:eastAsia="仿宋" w:cs="仿宋"/>
                <w:color w:val="auto"/>
                <w:kern w:val="0"/>
                <w:sz w:val="21"/>
                <w:szCs w:val="21"/>
                <w:highlight w:val="none"/>
                <w:lang w:val="en-US" w:eastAsia="zh-CN"/>
              </w:rPr>
              <w:t>以下（含）</w:t>
            </w:r>
            <w:r>
              <w:rPr>
                <w:rFonts w:hint="eastAsia" w:ascii="仿宋" w:hAnsi="仿宋" w:eastAsia="仿宋" w:cs="仿宋"/>
                <w:color w:val="auto"/>
                <w:kern w:val="0"/>
                <w:sz w:val="21"/>
                <w:szCs w:val="21"/>
                <w:highlight w:val="none"/>
              </w:rPr>
              <w:t>，每一份得</w:t>
            </w: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rPr>
              <w:t>分</w:t>
            </w:r>
            <w:r>
              <w:rPr>
                <w:rFonts w:hint="eastAsia" w:ascii="仿宋" w:hAnsi="仿宋" w:cs="仿宋"/>
                <w:color w:val="auto"/>
                <w:kern w:val="0"/>
                <w:sz w:val="21"/>
                <w:szCs w:val="21"/>
                <w:highlight w:val="none"/>
                <w:lang w:eastAsia="zh-CN"/>
              </w:rPr>
              <w:t>；</w:t>
            </w:r>
          </w:p>
          <w:p w14:paraId="2575D25B">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(2)单份合同金额</w:t>
            </w:r>
            <w:r>
              <w:rPr>
                <w:rFonts w:hint="eastAsia" w:ascii="仿宋" w:hAnsi="仿宋" w:eastAsia="仿宋" w:cs="仿宋"/>
                <w:color w:val="auto"/>
                <w:kern w:val="0"/>
                <w:sz w:val="21"/>
                <w:szCs w:val="21"/>
                <w:highlight w:val="none"/>
                <w:lang w:val="en-US" w:eastAsia="zh-CN"/>
              </w:rPr>
              <w:t>5</w:t>
            </w:r>
            <w:r>
              <w:rPr>
                <w:rFonts w:hint="eastAsia" w:ascii="仿宋" w:hAnsi="仿宋" w:eastAsia="仿宋" w:cs="仿宋"/>
                <w:color w:val="auto"/>
                <w:kern w:val="0"/>
                <w:sz w:val="21"/>
                <w:szCs w:val="21"/>
                <w:highlight w:val="none"/>
              </w:rPr>
              <w:t>00万以上，每一份得</w:t>
            </w:r>
            <w:r>
              <w:rPr>
                <w:rFonts w:hint="eastAsia" w:ascii="仿宋" w:hAnsi="仿宋" w:eastAsia="仿宋" w:cs="仿宋"/>
                <w:color w:val="auto"/>
                <w:kern w:val="0"/>
                <w:sz w:val="21"/>
                <w:szCs w:val="21"/>
                <w:highlight w:val="none"/>
                <w:lang w:val="en-US" w:eastAsia="zh-CN"/>
              </w:rPr>
              <w:t>3</w:t>
            </w:r>
            <w:r>
              <w:rPr>
                <w:rFonts w:hint="eastAsia" w:ascii="仿宋" w:hAnsi="仿宋" w:eastAsia="仿宋" w:cs="仿宋"/>
                <w:color w:val="auto"/>
                <w:kern w:val="0"/>
                <w:sz w:val="21"/>
                <w:szCs w:val="21"/>
                <w:highlight w:val="none"/>
              </w:rPr>
              <w:t>分</w:t>
            </w:r>
            <w:r>
              <w:rPr>
                <w:rFonts w:hint="eastAsia" w:ascii="仿宋" w:hAnsi="仿宋" w:cs="仿宋"/>
                <w:color w:val="auto"/>
                <w:kern w:val="0"/>
                <w:sz w:val="21"/>
                <w:szCs w:val="21"/>
                <w:highlight w:val="none"/>
                <w:lang w:eastAsia="zh-CN"/>
              </w:rPr>
              <w:t>；</w:t>
            </w:r>
          </w:p>
          <w:p w14:paraId="3D939057">
            <w:pPr>
              <w:keepNext/>
              <w:keepLines/>
              <w:pageBreakBefore w:val="0"/>
              <w:widowControl/>
              <w:kinsoku/>
              <w:wordWrap/>
              <w:overflowPunct/>
              <w:topLinePunct w:val="0"/>
              <w:bidi w:val="0"/>
              <w:snapToGrid w:val="0"/>
              <w:jc w:val="left"/>
              <w:rPr>
                <w:rFonts w:hint="eastAsia" w:ascii="宋体" w:hAnsi="宋体" w:eastAsia="宋体" w:cs="宋体"/>
                <w:sz w:val="28"/>
              </w:rPr>
            </w:pPr>
            <w:r>
              <w:rPr>
                <w:rFonts w:hint="eastAsia" w:ascii="仿宋" w:hAnsi="仿宋" w:eastAsia="仿宋" w:cs="仿宋"/>
                <w:color w:val="auto"/>
                <w:kern w:val="0"/>
                <w:sz w:val="21"/>
                <w:szCs w:val="21"/>
                <w:highlight w:val="none"/>
              </w:rPr>
              <w:t>合计最高</w:t>
            </w:r>
            <w:r>
              <w:rPr>
                <w:rFonts w:hint="eastAsia" w:ascii="仿宋" w:hAnsi="仿宋" w:eastAsia="仿宋" w:cs="仿宋"/>
                <w:color w:val="auto"/>
                <w:kern w:val="0"/>
                <w:sz w:val="21"/>
                <w:szCs w:val="21"/>
                <w:highlight w:val="none"/>
                <w:lang w:val="en-US" w:eastAsia="zh-CN"/>
              </w:rPr>
              <w:t>30</w:t>
            </w:r>
            <w:r>
              <w:rPr>
                <w:rFonts w:hint="eastAsia" w:ascii="仿宋" w:hAnsi="仿宋" w:eastAsia="仿宋" w:cs="仿宋"/>
                <w:color w:val="auto"/>
                <w:kern w:val="0"/>
                <w:sz w:val="21"/>
                <w:szCs w:val="21"/>
                <w:highlight w:val="none"/>
              </w:rPr>
              <w:t>分。</w:t>
            </w:r>
          </w:p>
        </w:tc>
        <w:tc>
          <w:tcPr>
            <w:tcW w:w="323" w:type="pct"/>
            <w:tcBorders>
              <w:tl2br w:val="nil"/>
              <w:tr2bl w:val="nil"/>
            </w:tcBorders>
            <w:shd w:val="clear" w:color="auto" w:fill="FFFFFF"/>
            <w:noWrap w:val="0"/>
            <w:vAlign w:val="center"/>
          </w:tcPr>
          <w:p w14:paraId="41D020D4">
            <w:pPr>
              <w:keepNext/>
              <w:keepLines/>
              <w:pageBreakBefore w:val="0"/>
              <w:widowControl/>
              <w:kinsoku/>
              <w:wordWrap/>
              <w:overflowPunct/>
              <w:topLinePunct w:val="0"/>
              <w:bidi w:val="0"/>
              <w:snapToGrid w:val="0"/>
              <w:jc w:val="center"/>
              <w:rPr>
                <w:rFonts w:hint="default" w:ascii="宋体" w:hAnsi="宋体" w:eastAsia="宋体" w:cs="宋体"/>
                <w:color w:val="000000"/>
                <w:kern w:val="0"/>
                <w:sz w:val="21"/>
                <w:szCs w:val="21"/>
                <w:lang w:val="en-US" w:eastAsia="zh-CN" w:bidi="ar"/>
              </w:rPr>
            </w:pPr>
            <w:r>
              <w:rPr>
                <w:rFonts w:hint="eastAsia" w:ascii="仿宋" w:hAnsi="仿宋" w:eastAsia="仿宋" w:cs="仿宋"/>
                <w:color w:val="auto"/>
                <w:kern w:val="0"/>
                <w:sz w:val="21"/>
                <w:szCs w:val="21"/>
                <w:highlight w:val="none"/>
                <w:lang w:val="en-US" w:eastAsia="zh-CN"/>
              </w:rPr>
              <w:t>30</w:t>
            </w:r>
          </w:p>
        </w:tc>
      </w:tr>
      <w:tr w14:paraId="13812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99" w:type="pct"/>
            <w:tcBorders>
              <w:tl2br w:val="nil"/>
              <w:tr2bl w:val="nil"/>
            </w:tcBorders>
            <w:shd w:val="clear" w:color="auto" w:fill="FFFFFF"/>
            <w:noWrap w:val="0"/>
            <w:vAlign w:val="center"/>
          </w:tcPr>
          <w:p w14:paraId="1735D0C4">
            <w:pPr>
              <w:keepNext/>
              <w:keepLines/>
              <w:pageBreakBefore w:val="0"/>
              <w:widowControl/>
              <w:kinsoku/>
              <w:wordWrap/>
              <w:overflowPunct/>
              <w:topLinePunct w:val="0"/>
              <w:bidi w:val="0"/>
              <w:snapToGrid w:val="0"/>
              <w:jc w:val="center"/>
              <w:rPr>
                <w:rFonts w:hint="eastAsia" w:ascii="宋体" w:hAnsi="宋体" w:eastAsia="宋体" w:cs="宋体"/>
                <w:sz w:val="28"/>
                <w:lang w:val="en-US" w:eastAsia="zh-CN"/>
              </w:rPr>
            </w:pPr>
            <w:r>
              <w:rPr>
                <w:rFonts w:hint="eastAsia" w:ascii="仿宋" w:hAnsi="仿宋" w:eastAsia="仿宋" w:cs="仿宋"/>
                <w:color w:val="auto"/>
                <w:kern w:val="0"/>
                <w:sz w:val="21"/>
                <w:szCs w:val="21"/>
                <w:highlight w:val="none"/>
                <w:lang w:val="en-US" w:eastAsia="zh-CN"/>
              </w:rPr>
              <w:t>4</w:t>
            </w:r>
          </w:p>
        </w:tc>
        <w:tc>
          <w:tcPr>
            <w:tcW w:w="656" w:type="pct"/>
            <w:vMerge w:val="continue"/>
            <w:tcBorders>
              <w:tl2br w:val="nil"/>
              <w:tr2bl w:val="nil"/>
            </w:tcBorders>
            <w:shd w:val="clear" w:color="auto" w:fill="FFFFFF"/>
            <w:noWrap w:val="0"/>
            <w:vAlign w:val="center"/>
          </w:tcPr>
          <w:p w14:paraId="54D15A33">
            <w:pPr>
              <w:keepNext/>
              <w:keepLines/>
              <w:pageBreakBefore w:val="0"/>
              <w:widowControl/>
              <w:kinsoku/>
              <w:wordWrap/>
              <w:overflowPunct/>
              <w:topLinePunct w:val="0"/>
              <w:bidi w:val="0"/>
              <w:snapToGrid w:val="0"/>
              <w:jc w:val="center"/>
              <w:rPr>
                <w:rFonts w:hint="eastAsia" w:ascii="宋体" w:hAnsi="宋体" w:eastAsia="宋体" w:cs="宋体"/>
                <w:sz w:val="21"/>
                <w:szCs w:val="21"/>
                <w:lang w:val="en-US" w:eastAsia="zh-CN"/>
              </w:rPr>
            </w:pPr>
          </w:p>
        </w:tc>
        <w:tc>
          <w:tcPr>
            <w:tcW w:w="428" w:type="pct"/>
            <w:tcBorders>
              <w:tl2br w:val="nil"/>
              <w:tr2bl w:val="nil"/>
            </w:tcBorders>
            <w:shd w:val="clear" w:color="auto" w:fill="FFFFFF"/>
            <w:noWrap w:val="0"/>
            <w:vAlign w:val="center"/>
          </w:tcPr>
          <w:p w14:paraId="7156ECC6">
            <w:pPr>
              <w:keepNext/>
              <w:keepLines/>
              <w:pageBreakBefore w:val="0"/>
              <w:widowControl/>
              <w:kinsoku/>
              <w:wordWrap/>
              <w:overflowPunct/>
              <w:topLinePunct w:val="0"/>
              <w:bidi w:val="0"/>
              <w:snapToGrid w:val="0"/>
              <w:jc w:val="center"/>
              <w:rPr>
                <w:rFonts w:hint="eastAsia" w:ascii="宋体" w:hAnsi="宋体" w:eastAsia="宋体" w:cs="宋体"/>
                <w:sz w:val="21"/>
                <w:szCs w:val="21"/>
                <w:lang w:val="en-US" w:eastAsia="zh-CN"/>
              </w:rPr>
            </w:pPr>
            <w:r>
              <w:rPr>
                <w:rFonts w:hint="eastAsia" w:ascii="仿宋" w:hAnsi="仿宋" w:eastAsia="仿宋" w:cs="仿宋"/>
                <w:color w:val="auto"/>
                <w:kern w:val="0"/>
                <w:sz w:val="21"/>
                <w:szCs w:val="21"/>
                <w:highlight w:val="none"/>
              </w:rPr>
              <w:t>产品兼容性</w:t>
            </w:r>
          </w:p>
        </w:tc>
        <w:tc>
          <w:tcPr>
            <w:tcW w:w="3192" w:type="pct"/>
            <w:tcBorders>
              <w:tl2br w:val="nil"/>
              <w:tr2bl w:val="nil"/>
            </w:tcBorders>
            <w:shd w:val="clear" w:color="auto" w:fill="FFFFFF"/>
            <w:noWrap w:val="0"/>
            <w:vAlign w:val="center"/>
          </w:tcPr>
          <w:p w14:paraId="44DCE616">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对响应产品的兼容性进行横向对比评分（提供兼容性测试报告、支撑系统实用情况等佐证材料）</w:t>
            </w:r>
          </w:p>
          <w:p w14:paraId="71261892">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(1)软件兼容性测试报告详尽，支撑业务系统应用场景丰富，产品兼容性优秀，得20-25分；</w:t>
            </w:r>
          </w:p>
          <w:p w14:paraId="1BFB8D5B">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(2)软件兼容性测试报告较为详实，支撑业务系统应用场景一般，兼容性较好，得10-19分；</w:t>
            </w:r>
          </w:p>
          <w:p w14:paraId="6E2BF572">
            <w:pPr>
              <w:keepNext/>
              <w:keepLines/>
              <w:pageBreakBefore w:val="0"/>
              <w:widowControl/>
              <w:kinsoku/>
              <w:wordWrap/>
              <w:overflowPunct/>
              <w:topLinePunct w:val="0"/>
              <w:bidi w:val="0"/>
              <w:snapToGrid w:val="0"/>
              <w:jc w:val="left"/>
              <w:rPr>
                <w:rFonts w:hint="eastAsia" w:ascii="宋体" w:hAnsi="宋体" w:eastAsia="宋体" w:cs="宋体"/>
                <w:sz w:val="28"/>
              </w:rPr>
            </w:pPr>
            <w:r>
              <w:rPr>
                <w:rFonts w:hint="eastAsia" w:ascii="仿宋" w:hAnsi="仿宋" w:eastAsia="仿宋" w:cs="仿宋"/>
                <w:color w:val="auto"/>
                <w:kern w:val="0"/>
                <w:sz w:val="21"/>
                <w:szCs w:val="21"/>
                <w:highlight w:val="none"/>
              </w:rPr>
              <w:t>(3)软件兼容性测试报告不够详细，支撑业务系统应用场景较少，兼容性较差，得0-9分。</w:t>
            </w:r>
          </w:p>
        </w:tc>
        <w:tc>
          <w:tcPr>
            <w:tcW w:w="323" w:type="pct"/>
            <w:tcBorders>
              <w:tl2br w:val="nil"/>
              <w:tr2bl w:val="nil"/>
            </w:tcBorders>
            <w:shd w:val="clear" w:color="auto" w:fill="FFFFFF"/>
            <w:noWrap w:val="0"/>
            <w:vAlign w:val="center"/>
          </w:tcPr>
          <w:p w14:paraId="2725DF85">
            <w:pPr>
              <w:keepNext/>
              <w:keepLines/>
              <w:pageBreakBefore w:val="0"/>
              <w:widowControl/>
              <w:kinsoku/>
              <w:wordWrap/>
              <w:overflowPunct/>
              <w:topLinePunct w:val="0"/>
              <w:bidi w:val="0"/>
              <w:snapToGrid w:val="0"/>
              <w:jc w:val="center"/>
              <w:rPr>
                <w:rFonts w:hint="default" w:ascii="宋体" w:hAnsi="宋体" w:eastAsia="宋体" w:cs="宋体"/>
                <w:color w:val="000000"/>
                <w:kern w:val="0"/>
                <w:sz w:val="21"/>
                <w:szCs w:val="21"/>
                <w:lang w:val="en-US" w:eastAsia="zh-CN" w:bidi="ar"/>
              </w:rPr>
            </w:pPr>
            <w:r>
              <w:rPr>
                <w:rFonts w:hint="eastAsia" w:ascii="仿宋" w:hAnsi="仿宋" w:eastAsia="仿宋" w:cs="仿宋"/>
                <w:color w:val="auto"/>
                <w:kern w:val="0"/>
                <w:sz w:val="21"/>
                <w:szCs w:val="21"/>
                <w:highlight w:val="none"/>
              </w:rPr>
              <w:t>25</w:t>
            </w:r>
          </w:p>
        </w:tc>
      </w:tr>
      <w:tr w14:paraId="50AB1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99" w:type="pct"/>
            <w:tcBorders>
              <w:tl2br w:val="nil"/>
              <w:tr2bl w:val="nil"/>
            </w:tcBorders>
            <w:shd w:val="clear" w:color="auto" w:fill="FFFFFF"/>
            <w:noWrap w:val="0"/>
            <w:vAlign w:val="center"/>
          </w:tcPr>
          <w:p w14:paraId="5E77D611">
            <w:pPr>
              <w:keepNext/>
              <w:keepLines/>
              <w:pageBreakBefore w:val="0"/>
              <w:widowControl/>
              <w:kinsoku/>
              <w:wordWrap/>
              <w:overflowPunct/>
              <w:topLinePunct w:val="0"/>
              <w:bidi w:val="0"/>
              <w:snapToGrid w:val="0"/>
              <w:jc w:val="center"/>
              <w:rPr>
                <w:rFonts w:hint="eastAsia" w:ascii="宋体" w:hAnsi="宋体" w:eastAsia="宋体" w:cs="宋体"/>
                <w:sz w:val="28"/>
                <w:highlight w:val="none"/>
                <w:lang w:val="en-US" w:eastAsia="zh-CN"/>
              </w:rPr>
            </w:pPr>
            <w:r>
              <w:rPr>
                <w:rFonts w:hint="eastAsia" w:ascii="仿宋" w:hAnsi="仿宋" w:eastAsia="仿宋" w:cs="仿宋"/>
                <w:color w:val="auto"/>
                <w:kern w:val="0"/>
                <w:sz w:val="21"/>
                <w:szCs w:val="21"/>
                <w:highlight w:val="none"/>
                <w:lang w:val="en-US" w:eastAsia="zh-CN"/>
              </w:rPr>
              <w:t>5</w:t>
            </w:r>
          </w:p>
        </w:tc>
        <w:tc>
          <w:tcPr>
            <w:tcW w:w="656" w:type="pct"/>
            <w:tcBorders>
              <w:tl2br w:val="nil"/>
              <w:tr2bl w:val="nil"/>
            </w:tcBorders>
            <w:shd w:val="clear" w:color="auto" w:fill="FFFFFF"/>
            <w:noWrap w:val="0"/>
            <w:vAlign w:val="center"/>
          </w:tcPr>
          <w:p w14:paraId="6188D205">
            <w:pPr>
              <w:keepNext/>
              <w:keepLines/>
              <w:pageBreakBefore w:val="0"/>
              <w:widowControl/>
              <w:kinsoku/>
              <w:wordWrap/>
              <w:overflowPunct/>
              <w:topLinePunct w:val="0"/>
              <w:bidi w:val="0"/>
              <w:snapToGrid w:val="0"/>
              <w:jc w:val="center"/>
              <w:rPr>
                <w:rFonts w:hint="eastAsia" w:ascii="宋体" w:hAnsi="宋体" w:eastAsia="宋体" w:cs="宋体"/>
                <w:color w:val="000000"/>
                <w:kern w:val="0"/>
                <w:sz w:val="21"/>
                <w:szCs w:val="21"/>
                <w:lang w:val="en-US" w:eastAsia="zh-CN" w:bidi="ar"/>
              </w:rPr>
            </w:pPr>
            <w:r>
              <w:rPr>
                <w:rFonts w:hint="eastAsia" w:ascii="仿宋" w:hAnsi="仿宋" w:eastAsia="仿宋" w:cs="仿宋"/>
                <w:kern w:val="0"/>
                <w:sz w:val="21"/>
                <w:szCs w:val="21"/>
                <w:highlight w:val="none"/>
              </w:rPr>
              <w:t>质量水平及运行可靠性</w:t>
            </w:r>
          </w:p>
        </w:tc>
        <w:tc>
          <w:tcPr>
            <w:tcW w:w="428" w:type="pct"/>
            <w:tcBorders>
              <w:tl2br w:val="nil"/>
              <w:tr2bl w:val="nil"/>
            </w:tcBorders>
            <w:shd w:val="clear" w:color="auto" w:fill="FFFFFF"/>
            <w:noWrap w:val="0"/>
            <w:vAlign w:val="center"/>
          </w:tcPr>
          <w:p w14:paraId="03314887">
            <w:pPr>
              <w:keepNext/>
              <w:keepLines/>
              <w:pageBreakBefore w:val="0"/>
              <w:widowControl/>
              <w:kinsoku/>
              <w:wordWrap/>
              <w:overflowPunct/>
              <w:topLinePunct w:val="0"/>
              <w:bidi w:val="0"/>
              <w:snapToGrid w:val="0"/>
              <w:jc w:val="center"/>
              <w:rPr>
                <w:rFonts w:hint="eastAsia" w:ascii="宋体" w:hAnsi="宋体" w:eastAsia="宋体" w:cs="宋体"/>
                <w:color w:val="000000"/>
                <w:kern w:val="0"/>
                <w:sz w:val="21"/>
                <w:szCs w:val="21"/>
                <w:lang w:val="en-US" w:eastAsia="zh-CN" w:bidi="ar"/>
              </w:rPr>
            </w:pPr>
            <w:r>
              <w:rPr>
                <w:rFonts w:hint="eastAsia" w:ascii="仿宋" w:hAnsi="仿宋" w:eastAsia="仿宋" w:cs="仿宋"/>
                <w:kern w:val="0"/>
                <w:sz w:val="21"/>
                <w:szCs w:val="21"/>
                <w:highlight w:val="none"/>
              </w:rPr>
              <w:t>质量水平及运行可靠性</w:t>
            </w:r>
          </w:p>
        </w:tc>
        <w:tc>
          <w:tcPr>
            <w:tcW w:w="3192" w:type="pct"/>
            <w:tcBorders>
              <w:tl2br w:val="nil"/>
              <w:tr2bl w:val="nil"/>
            </w:tcBorders>
            <w:shd w:val="clear" w:color="auto" w:fill="FFFFFF"/>
            <w:noWrap w:val="0"/>
            <w:vAlign w:val="center"/>
          </w:tcPr>
          <w:p w14:paraId="19C0998B">
            <w:pPr>
              <w:keepNext/>
              <w:keepLines/>
              <w:pageBreakBefore w:val="0"/>
              <w:widowControl/>
              <w:kinsoku/>
              <w:wordWrap/>
              <w:overflowPunct/>
              <w:topLinePunct w:val="0"/>
              <w:bidi w:val="0"/>
              <w:snapToGrid w:val="0"/>
              <w:jc w:val="lef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产品质量优异，产品测试报告、许可证齐全，响应产品运行稳定、质量优秀，提供包括第三方测评结果、产品运行报告等材料，综合横向对比，优秀得7-10分；较好得4-6分；</w:t>
            </w:r>
          </w:p>
          <w:p w14:paraId="79090DD9">
            <w:pPr>
              <w:keepNext/>
              <w:keepLines/>
              <w:pageBreakBefore w:val="0"/>
              <w:widowControl/>
              <w:kinsoku/>
              <w:wordWrap/>
              <w:overflowPunct/>
              <w:topLinePunct w:val="0"/>
              <w:bidi w:val="0"/>
              <w:snapToGrid w:val="0"/>
              <w:jc w:val="left"/>
              <w:rPr>
                <w:rFonts w:hint="default" w:ascii="宋体" w:hAnsi="宋体" w:eastAsia="宋体" w:cs="宋体"/>
                <w:color w:val="000000"/>
                <w:kern w:val="0"/>
                <w:sz w:val="21"/>
                <w:szCs w:val="21"/>
                <w:lang w:val="en-US" w:eastAsia="zh-CN" w:bidi="ar"/>
              </w:rPr>
            </w:pPr>
            <w:r>
              <w:rPr>
                <w:rFonts w:hint="eastAsia" w:ascii="仿宋" w:hAnsi="仿宋" w:eastAsia="仿宋" w:cs="仿宋"/>
                <w:kern w:val="0"/>
                <w:sz w:val="21"/>
                <w:szCs w:val="21"/>
                <w:highlight w:val="none"/>
              </w:rPr>
              <w:t>一般得0-3分。</w:t>
            </w:r>
          </w:p>
        </w:tc>
        <w:tc>
          <w:tcPr>
            <w:tcW w:w="323" w:type="pct"/>
            <w:tcBorders>
              <w:tl2br w:val="nil"/>
              <w:tr2bl w:val="nil"/>
            </w:tcBorders>
            <w:shd w:val="clear" w:color="auto" w:fill="FFFFFF"/>
            <w:noWrap w:val="0"/>
            <w:vAlign w:val="center"/>
          </w:tcPr>
          <w:p w14:paraId="602BA7A5">
            <w:pPr>
              <w:keepNext/>
              <w:keepLines/>
              <w:pageBreakBefore w:val="0"/>
              <w:widowControl/>
              <w:kinsoku/>
              <w:wordWrap/>
              <w:overflowPunct/>
              <w:topLinePunct w:val="0"/>
              <w:bidi w:val="0"/>
              <w:snapToGrid w:val="0"/>
              <w:jc w:val="center"/>
              <w:rPr>
                <w:rFonts w:hint="default" w:ascii="宋体" w:hAnsi="宋体" w:eastAsia="宋体" w:cs="宋体"/>
                <w:color w:val="000000"/>
                <w:kern w:val="0"/>
                <w:sz w:val="21"/>
                <w:szCs w:val="21"/>
                <w:lang w:val="en-US" w:eastAsia="zh-CN" w:bidi="ar"/>
              </w:rPr>
            </w:pPr>
            <w:r>
              <w:rPr>
                <w:rFonts w:hint="eastAsia" w:ascii="仿宋" w:hAnsi="仿宋" w:eastAsia="仿宋" w:cs="仿宋"/>
                <w:color w:val="auto"/>
                <w:kern w:val="0"/>
                <w:sz w:val="21"/>
                <w:szCs w:val="21"/>
                <w:highlight w:val="none"/>
              </w:rPr>
              <w:t>10</w:t>
            </w:r>
          </w:p>
        </w:tc>
      </w:tr>
      <w:tr w14:paraId="0B096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399" w:type="pct"/>
            <w:tcBorders>
              <w:tl2br w:val="nil"/>
              <w:tr2bl w:val="nil"/>
            </w:tcBorders>
            <w:shd w:val="clear" w:color="auto" w:fill="FFFFFF"/>
            <w:noWrap w:val="0"/>
            <w:vAlign w:val="center"/>
          </w:tcPr>
          <w:p w14:paraId="04B4CCB6">
            <w:pPr>
              <w:keepNext/>
              <w:keepLines/>
              <w:pageBreakBefore w:val="0"/>
              <w:widowControl/>
              <w:kinsoku/>
              <w:wordWrap/>
              <w:overflowPunct/>
              <w:topLinePunct w:val="0"/>
              <w:bidi w:val="0"/>
              <w:snapToGrid w:val="0"/>
              <w:jc w:val="center"/>
              <w:rPr>
                <w:rFonts w:hint="default" w:ascii="宋体" w:hAnsi="宋体" w:eastAsia="宋体" w:cs="宋体"/>
                <w:sz w:val="28"/>
                <w:lang w:val="en-US" w:eastAsia="zh-CN"/>
              </w:rPr>
            </w:pPr>
            <w:r>
              <w:rPr>
                <w:rFonts w:hint="eastAsia" w:ascii="仿宋" w:hAnsi="仿宋" w:eastAsia="仿宋" w:cs="仿宋"/>
                <w:color w:val="auto"/>
                <w:kern w:val="0"/>
                <w:sz w:val="21"/>
                <w:szCs w:val="21"/>
                <w:highlight w:val="none"/>
                <w:lang w:val="en-US" w:eastAsia="zh-CN"/>
              </w:rPr>
              <w:t>6</w:t>
            </w:r>
          </w:p>
        </w:tc>
        <w:tc>
          <w:tcPr>
            <w:tcW w:w="656" w:type="pct"/>
            <w:tcBorders>
              <w:tl2br w:val="nil"/>
              <w:tr2bl w:val="nil"/>
            </w:tcBorders>
            <w:shd w:val="clear" w:color="auto" w:fill="FFFFFF"/>
            <w:noWrap w:val="0"/>
            <w:vAlign w:val="center"/>
          </w:tcPr>
          <w:p w14:paraId="647D9E71">
            <w:pPr>
              <w:keepNext/>
              <w:keepLines/>
              <w:pageBreakBefore w:val="0"/>
              <w:widowControl/>
              <w:kinsoku/>
              <w:wordWrap/>
              <w:overflowPunct/>
              <w:topLinePunct w:val="0"/>
              <w:bidi w:val="0"/>
              <w:snapToGrid w:val="0"/>
              <w:jc w:val="center"/>
              <w:rPr>
                <w:rFonts w:hint="eastAsia" w:ascii="宋体" w:hAnsi="宋体" w:eastAsia="宋体" w:cs="宋体"/>
                <w:color w:val="000000"/>
                <w:kern w:val="0"/>
                <w:sz w:val="21"/>
                <w:szCs w:val="21"/>
                <w:lang w:val="en-US" w:eastAsia="zh-CN" w:bidi="ar"/>
              </w:rPr>
            </w:pPr>
            <w:r>
              <w:rPr>
                <w:rFonts w:hint="eastAsia" w:ascii="仿宋" w:hAnsi="仿宋" w:eastAsia="仿宋" w:cs="仿宋"/>
                <w:color w:val="auto"/>
                <w:kern w:val="0"/>
                <w:sz w:val="21"/>
                <w:szCs w:val="21"/>
                <w:highlight w:val="none"/>
              </w:rPr>
              <w:t>服务便利性</w:t>
            </w:r>
          </w:p>
        </w:tc>
        <w:tc>
          <w:tcPr>
            <w:tcW w:w="428" w:type="pct"/>
            <w:tcBorders>
              <w:tl2br w:val="nil"/>
              <w:tr2bl w:val="nil"/>
            </w:tcBorders>
            <w:shd w:val="clear" w:color="auto" w:fill="FFFFFF"/>
            <w:noWrap w:val="0"/>
            <w:vAlign w:val="center"/>
          </w:tcPr>
          <w:p w14:paraId="3D1D1037">
            <w:pPr>
              <w:keepNext/>
              <w:keepLines/>
              <w:pageBreakBefore w:val="0"/>
              <w:widowControl/>
              <w:kinsoku/>
              <w:wordWrap/>
              <w:overflowPunct/>
              <w:topLinePunct w:val="0"/>
              <w:bidi w:val="0"/>
              <w:snapToGrid w:val="0"/>
              <w:jc w:val="center"/>
              <w:rPr>
                <w:rFonts w:hint="eastAsia" w:ascii="宋体" w:hAnsi="宋体" w:eastAsia="宋体" w:cs="宋体"/>
                <w:color w:val="000000"/>
                <w:kern w:val="0"/>
                <w:sz w:val="21"/>
                <w:szCs w:val="21"/>
                <w:lang w:val="en-US" w:eastAsia="zh-CN" w:bidi="ar"/>
              </w:rPr>
            </w:pPr>
            <w:r>
              <w:rPr>
                <w:rFonts w:hint="eastAsia" w:ascii="仿宋" w:hAnsi="仿宋" w:eastAsia="仿宋" w:cs="仿宋"/>
                <w:color w:val="auto"/>
                <w:kern w:val="0"/>
                <w:sz w:val="21"/>
                <w:szCs w:val="21"/>
                <w:highlight w:val="none"/>
              </w:rPr>
              <w:t>售后服务</w:t>
            </w:r>
          </w:p>
        </w:tc>
        <w:tc>
          <w:tcPr>
            <w:tcW w:w="3192" w:type="pct"/>
            <w:tcBorders>
              <w:tl2br w:val="nil"/>
              <w:tr2bl w:val="nil"/>
            </w:tcBorders>
            <w:shd w:val="clear" w:color="auto" w:fill="FFFFFF"/>
            <w:noWrap w:val="0"/>
            <w:vAlign w:val="center"/>
          </w:tcPr>
          <w:p w14:paraId="7BF82BDC">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对响应人的售后服务方案进行综合对比。</w:t>
            </w:r>
          </w:p>
          <w:p w14:paraId="526D931E">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（1）服务方案思路清晰，内容合理，响应时间优秀，承诺同城2个小时内、异地6个小时内到达现场，得8-10分；</w:t>
            </w:r>
          </w:p>
          <w:p w14:paraId="0D10A9F1">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（2）服务方案思路较为详尽，内容较为合理，响应时间较好，承诺同城3个小时内、异地10个小时内到达现场，得4-7分；</w:t>
            </w:r>
          </w:p>
          <w:p w14:paraId="1972FD8C">
            <w:pPr>
              <w:keepNext/>
              <w:keepLines/>
              <w:pageBreakBefore w:val="0"/>
              <w:widowControl/>
              <w:kinsoku/>
              <w:wordWrap/>
              <w:overflowPunct/>
              <w:topLinePunct w:val="0"/>
              <w:bidi w:val="0"/>
              <w:snapToGrid w:val="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（3）服务方案思路一般，内容较为简单，响应时间基本满足要求，得1-3分。</w:t>
            </w:r>
          </w:p>
          <w:p w14:paraId="6883B19F">
            <w:pPr>
              <w:keepNext/>
              <w:keepLines/>
              <w:pageBreakBefore w:val="0"/>
              <w:widowControl/>
              <w:kinsoku/>
              <w:wordWrap/>
              <w:overflowPunct/>
              <w:topLinePunct w:val="0"/>
              <w:bidi w:val="0"/>
              <w:snapToGrid w:val="0"/>
              <w:jc w:val="left"/>
              <w:rPr>
                <w:rFonts w:hint="eastAsia" w:ascii="宋体" w:hAnsi="宋体" w:eastAsia="宋体" w:cs="宋体"/>
                <w:color w:val="000000"/>
                <w:kern w:val="0"/>
                <w:sz w:val="21"/>
                <w:szCs w:val="21"/>
                <w:lang w:val="en-US" w:eastAsia="zh-CN" w:bidi="ar"/>
              </w:rPr>
            </w:pPr>
            <w:r>
              <w:rPr>
                <w:rFonts w:hint="eastAsia" w:ascii="仿宋" w:hAnsi="仿宋" w:eastAsia="仿宋" w:cs="仿宋"/>
                <w:color w:val="auto"/>
                <w:kern w:val="0"/>
                <w:sz w:val="21"/>
                <w:szCs w:val="21"/>
                <w:highlight w:val="none"/>
              </w:rPr>
              <w:t>（4）未承诺或未提供服务方案，得0分。</w:t>
            </w:r>
          </w:p>
        </w:tc>
        <w:tc>
          <w:tcPr>
            <w:tcW w:w="323" w:type="pct"/>
            <w:tcBorders>
              <w:tl2br w:val="nil"/>
              <w:tr2bl w:val="nil"/>
            </w:tcBorders>
            <w:shd w:val="clear" w:color="auto" w:fill="FFFFFF"/>
            <w:noWrap w:val="0"/>
            <w:vAlign w:val="center"/>
          </w:tcPr>
          <w:p w14:paraId="677E95C6">
            <w:pPr>
              <w:keepNext/>
              <w:keepLines/>
              <w:pageBreakBefore w:val="0"/>
              <w:widowControl/>
              <w:kinsoku/>
              <w:wordWrap/>
              <w:overflowPunct/>
              <w:topLinePunct w:val="0"/>
              <w:bidi w:val="0"/>
              <w:snapToGrid w:val="0"/>
              <w:jc w:val="center"/>
              <w:rPr>
                <w:rFonts w:hint="default" w:ascii="宋体" w:hAnsi="宋体" w:eastAsia="宋体" w:cs="宋体"/>
                <w:color w:val="000000"/>
                <w:kern w:val="0"/>
                <w:sz w:val="21"/>
                <w:szCs w:val="21"/>
                <w:lang w:val="en-US" w:eastAsia="zh-CN" w:bidi="ar"/>
              </w:rPr>
            </w:pPr>
            <w:r>
              <w:rPr>
                <w:rFonts w:hint="eastAsia" w:ascii="仿宋" w:hAnsi="仿宋" w:eastAsia="仿宋" w:cs="仿宋"/>
                <w:color w:val="auto"/>
                <w:kern w:val="0"/>
                <w:sz w:val="21"/>
                <w:szCs w:val="21"/>
                <w:highlight w:val="none"/>
              </w:rPr>
              <w:t>10</w:t>
            </w:r>
          </w:p>
        </w:tc>
      </w:tr>
      <w:tr w14:paraId="59BA7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4676" w:type="pct"/>
            <w:gridSpan w:val="4"/>
            <w:tcBorders>
              <w:tl2br w:val="nil"/>
              <w:tr2bl w:val="nil"/>
            </w:tcBorders>
            <w:shd w:val="clear" w:color="auto" w:fill="FFFFFF"/>
            <w:noWrap w:val="0"/>
            <w:vAlign w:val="center"/>
          </w:tcPr>
          <w:p w14:paraId="0E5E8A0A">
            <w:pPr>
              <w:keepNext/>
              <w:keepLines/>
              <w:pageBreakBefore w:val="0"/>
              <w:kinsoku/>
              <w:wordWrap/>
              <w:overflowPunct/>
              <w:topLinePunct w:val="0"/>
              <w:autoSpaceDE/>
              <w:autoSpaceDN/>
              <w:bidi w:val="0"/>
              <w:snapToGrid w:val="0"/>
              <w:jc w:val="center"/>
              <w:rPr>
                <w:rFonts w:hint="eastAsia" w:ascii="仿宋" w:hAnsi="仿宋" w:eastAsia="仿宋" w:cs="仿宋"/>
                <w:color w:val="auto"/>
                <w:kern w:val="0"/>
                <w:sz w:val="21"/>
                <w:szCs w:val="21"/>
                <w:highlight w:val="none"/>
              </w:rPr>
            </w:pPr>
            <w:r>
              <w:rPr>
                <w:rFonts w:hint="eastAsia" w:ascii="宋体" w:hAnsi="宋体" w:eastAsia="宋体" w:cs="宋体"/>
                <w:i w:val="0"/>
                <w:color w:val="auto"/>
                <w:kern w:val="0"/>
                <w:sz w:val="21"/>
                <w:szCs w:val="21"/>
                <w:u w:val="none"/>
                <w:lang w:val="en-US" w:eastAsia="zh-CN" w:bidi="ar"/>
              </w:rPr>
              <w:t>合计</w:t>
            </w:r>
          </w:p>
        </w:tc>
        <w:tc>
          <w:tcPr>
            <w:tcW w:w="323" w:type="pct"/>
            <w:tcBorders>
              <w:tl2br w:val="nil"/>
              <w:tr2bl w:val="nil"/>
            </w:tcBorders>
            <w:shd w:val="clear" w:color="auto" w:fill="FFFFFF"/>
            <w:noWrap w:val="0"/>
            <w:vAlign w:val="center"/>
          </w:tcPr>
          <w:p w14:paraId="7DC6131E">
            <w:pPr>
              <w:keepNext/>
              <w:keepLines/>
              <w:pageBreakBefore w:val="0"/>
              <w:kinsoku/>
              <w:wordWrap/>
              <w:overflowPunct/>
              <w:topLinePunct w:val="0"/>
              <w:autoSpaceDE/>
              <w:autoSpaceDN/>
              <w:bidi w:val="0"/>
              <w:snapToGrid w:val="0"/>
              <w:jc w:val="center"/>
              <w:rPr>
                <w:rFonts w:hint="eastAsia" w:ascii="仿宋" w:hAnsi="仿宋" w:eastAsia="仿宋" w:cs="仿宋"/>
                <w:color w:val="auto"/>
                <w:kern w:val="0"/>
                <w:sz w:val="21"/>
                <w:szCs w:val="21"/>
                <w:highlight w:val="none"/>
              </w:rPr>
            </w:pPr>
            <w:r>
              <w:rPr>
                <w:rFonts w:hint="eastAsia" w:ascii="宋体" w:hAnsi="宋体" w:eastAsia="宋体" w:cs="宋体"/>
                <w:i w:val="0"/>
                <w:color w:val="auto"/>
                <w:sz w:val="21"/>
                <w:szCs w:val="21"/>
                <w:u w:val="none"/>
                <w:lang w:val="en-US" w:eastAsia="zh-CN"/>
              </w:rPr>
              <w:t>100</w:t>
            </w:r>
          </w:p>
        </w:tc>
      </w:tr>
      <w:tr w14:paraId="20FC9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55" w:type="pct"/>
            <w:gridSpan w:val="2"/>
            <w:tcBorders>
              <w:tl2br w:val="nil"/>
              <w:tr2bl w:val="nil"/>
            </w:tcBorders>
            <w:shd w:val="clear" w:color="auto" w:fill="FFFFFF"/>
            <w:noWrap w:val="0"/>
            <w:vAlign w:val="top"/>
          </w:tcPr>
          <w:p w14:paraId="6B60F2EE">
            <w:pPr>
              <w:keepNext/>
              <w:keepLines/>
              <w:pageBreakBefore w:val="0"/>
              <w:kinsoku/>
              <w:wordWrap/>
              <w:overflowPunct/>
              <w:topLinePunct w:val="0"/>
              <w:bidi w:val="0"/>
              <w:snapToGrid w:val="0"/>
              <w:ind w:left="0" w:leftChars="0" w:firstLine="0" w:firstLineChars="0"/>
              <w:rPr>
                <w:rFonts w:hint="eastAsia" w:ascii="宋体" w:hAnsi="宋体" w:eastAsia="宋体" w:cs="宋体"/>
                <w:sz w:val="28"/>
              </w:rPr>
            </w:pPr>
            <w:bookmarkStart w:id="0" w:name="_GoBack"/>
            <w:r>
              <w:rPr>
                <w:rFonts w:hint="eastAsia" w:ascii="宋体" w:hAnsi="宋体" w:eastAsia="宋体" w:cs="宋体"/>
                <w:b/>
                <w:sz w:val="24"/>
                <w:szCs w:val="24"/>
              </w:rPr>
              <w:t>技术、商务分计算方法</w:t>
            </w:r>
            <w:bookmarkEnd w:id="0"/>
          </w:p>
        </w:tc>
        <w:tc>
          <w:tcPr>
            <w:tcW w:w="3944" w:type="pct"/>
            <w:gridSpan w:val="3"/>
            <w:tcBorders>
              <w:tl2br w:val="nil"/>
              <w:tr2bl w:val="nil"/>
            </w:tcBorders>
            <w:shd w:val="clear" w:color="auto" w:fill="FFFFFF"/>
            <w:noWrap w:val="0"/>
            <w:vAlign w:val="top"/>
          </w:tcPr>
          <w:p w14:paraId="051561C6">
            <w:pPr>
              <w:keepNext/>
              <w:keepLines/>
              <w:pageBreakBefore w:val="0"/>
              <w:kinsoku/>
              <w:wordWrap/>
              <w:overflowPunct/>
              <w:topLinePunct w:val="0"/>
              <w:bidi w:val="0"/>
              <w:snapToGrid w:val="0"/>
              <w:ind w:left="113"/>
              <w:rPr>
                <w:rFonts w:hint="eastAsia" w:ascii="宋体" w:hAnsi="宋体" w:eastAsia="宋体" w:cs="宋体"/>
                <w:sz w:val="28"/>
              </w:rPr>
            </w:pPr>
            <w:r>
              <w:rPr>
                <w:rFonts w:hint="eastAsia" w:ascii="宋体" w:hAnsi="宋体" w:eastAsia="宋体" w:cs="宋体"/>
                <w:color w:val="000000"/>
                <w:kern w:val="0"/>
                <w:sz w:val="21"/>
                <w:szCs w:val="21"/>
                <w:highlight w:val="none"/>
                <w:lang w:val="en-US" w:eastAsia="zh-CN" w:bidi="ar"/>
              </w:rPr>
              <w:t>寻源评审专家打分完毕后，计算各标的应邀供应商的技术和商务分时，所有专家打分的平均分作为该供应商的技术和商务得分。</w:t>
            </w:r>
          </w:p>
        </w:tc>
      </w:tr>
      <w:tr w14:paraId="1CAAF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000" w:type="pct"/>
            <w:gridSpan w:val="5"/>
            <w:tcBorders>
              <w:tl2br w:val="nil"/>
              <w:tr2bl w:val="nil"/>
            </w:tcBorders>
            <w:shd w:val="clear" w:color="auto" w:fill="FFFFFF"/>
            <w:noWrap w:val="0"/>
            <w:vAlign w:val="top"/>
          </w:tcPr>
          <w:p w14:paraId="6DE43370">
            <w:pPr>
              <w:keepNext/>
              <w:keepLines/>
              <w:pageBreakBefore w:val="0"/>
              <w:kinsoku/>
              <w:wordWrap/>
              <w:overflowPunct/>
              <w:topLinePunct w:val="0"/>
              <w:bidi w:val="0"/>
              <w:snapToGrid w:val="0"/>
              <w:ind w:left="113"/>
              <w:rPr>
                <w:rFonts w:hint="eastAsia" w:ascii="宋体" w:hAnsi="宋体" w:eastAsia="宋体" w:cs="宋体"/>
                <w:sz w:val="28"/>
              </w:rPr>
            </w:pPr>
            <w:r>
              <w:rPr>
                <w:rFonts w:hint="eastAsia" w:ascii="宋体" w:hAnsi="宋体" w:eastAsia="宋体" w:cs="宋体"/>
                <w:b/>
                <w:sz w:val="28"/>
              </w:rPr>
              <w:t>（三）价格评审（</w:t>
            </w:r>
            <w:r>
              <w:rPr>
                <w:rFonts w:hint="eastAsia" w:ascii="宋体" w:hAnsi="宋体" w:eastAsia="宋体" w:cs="宋体"/>
                <w:b/>
                <w:sz w:val="28"/>
                <w:lang w:val="en-US" w:eastAsia="zh-CN"/>
              </w:rPr>
              <w:t>100</w:t>
            </w:r>
            <w:r>
              <w:rPr>
                <w:rFonts w:hint="eastAsia" w:ascii="宋体" w:hAnsi="宋体" w:eastAsia="宋体" w:cs="宋体"/>
                <w:b/>
                <w:sz w:val="28"/>
              </w:rPr>
              <w:t>）分</w:t>
            </w:r>
          </w:p>
        </w:tc>
      </w:tr>
      <w:tr w14:paraId="7DF4A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55" w:type="pct"/>
            <w:gridSpan w:val="2"/>
            <w:tcBorders>
              <w:tl2br w:val="nil"/>
              <w:tr2bl w:val="nil"/>
            </w:tcBorders>
            <w:shd w:val="clear" w:color="auto" w:fill="FFFFFF"/>
            <w:noWrap w:val="0"/>
            <w:vAlign w:val="top"/>
          </w:tcPr>
          <w:p w14:paraId="0465115E">
            <w:pPr>
              <w:keepNext/>
              <w:keepLines/>
              <w:pageBreakBefore w:val="0"/>
              <w:kinsoku/>
              <w:wordWrap/>
              <w:overflowPunct/>
              <w:topLinePunct w:val="0"/>
              <w:autoSpaceDE/>
              <w:autoSpaceDN/>
              <w:bidi w:val="0"/>
              <w:snapToGrid w:val="0"/>
              <w:jc w:val="center"/>
              <w:rPr>
                <w:rFonts w:hint="eastAsia" w:ascii="宋体" w:hAnsi="宋体" w:eastAsia="宋体" w:cs="宋体"/>
                <w:sz w:val="24"/>
                <w:szCs w:val="24"/>
              </w:rPr>
            </w:pPr>
            <w:r>
              <w:rPr>
                <w:rFonts w:hint="eastAsia" w:ascii="仿宋_GB2312" w:hAnsi="仿宋_GB2312" w:eastAsia="仿宋_GB2312" w:cs="仿宋_GB2312"/>
                <w:b/>
                <w:sz w:val="24"/>
                <w:szCs w:val="24"/>
              </w:rPr>
              <w:t>价格分计算方法名称</w:t>
            </w:r>
          </w:p>
        </w:tc>
        <w:tc>
          <w:tcPr>
            <w:tcW w:w="3944" w:type="pct"/>
            <w:gridSpan w:val="3"/>
            <w:tcBorders>
              <w:tl2br w:val="nil"/>
              <w:tr2bl w:val="nil"/>
            </w:tcBorders>
            <w:shd w:val="clear" w:color="auto" w:fill="FFFFFF"/>
            <w:noWrap w:val="0"/>
            <w:vAlign w:val="center"/>
          </w:tcPr>
          <w:p w14:paraId="6B83586E">
            <w:pPr>
              <w:keepNext/>
              <w:keepLines/>
              <w:pageBreakBefore w:val="0"/>
              <w:widowControl/>
              <w:suppressLineNumbers w:val="0"/>
              <w:kinsoku/>
              <w:wordWrap/>
              <w:overflowPunct/>
              <w:topLinePunct w:val="0"/>
              <w:bidi w:val="0"/>
              <w:snapToGrid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合理均价基准差径靶心法</w:t>
            </w:r>
          </w:p>
        </w:tc>
      </w:tr>
      <w:tr w14:paraId="37972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55" w:type="pct"/>
            <w:gridSpan w:val="2"/>
            <w:tcBorders>
              <w:tl2br w:val="nil"/>
              <w:tr2bl w:val="nil"/>
            </w:tcBorders>
            <w:shd w:val="clear" w:color="auto" w:fill="FFFFFF"/>
            <w:noWrap w:val="0"/>
            <w:vAlign w:val="top"/>
          </w:tcPr>
          <w:p w14:paraId="6CEEE5EB">
            <w:pPr>
              <w:keepNext/>
              <w:keepLines/>
              <w:pageBreakBefore w:val="0"/>
              <w:kinsoku/>
              <w:wordWrap/>
              <w:overflowPunct/>
              <w:topLinePunct w:val="0"/>
              <w:autoSpaceDE/>
              <w:autoSpaceDN/>
              <w:bidi w:val="0"/>
              <w:snapToGrid w:val="0"/>
              <w:jc w:val="center"/>
              <w:rPr>
                <w:rFonts w:hint="eastAsia" w:ascii="宋体" w:hAnsi="宋体" w:eastAsia="宋体" w:cs="宋体"/>
                <w:sz w:val="24"/>
                <w:szCs w:val="24"/>
              </w:rPr>
            </w:pPr>
            <w:r>
              <w:rPr>
                <w:rFonts w:hint="eastAsia" w:ascii="仿宋_GB2312" w:hAnsi="仿宋_GB2312" w:eastAsia="仿宋_GB2312" w:cs="仿宋_GB2312"/>
                <w:b/>
                <w:sz w:val="24"/>
                <w:szCs w:val="24"/>
              </w:rPr>
              <w:t>评标基准价计算方法</w:t>
            </w:r>
          </w:p>
        </w:tc>
        <w:tc>
          <w:tcPr>
            <w:tcW w:w="3944" w:type="pct"/>
            <w:gridSpan w:val="3"/>
            <w:tcBorders>
              <w:tl2br w:val="nil"/>
              <w:tr2bl w:val="nil"/>
            </w:tcBorders>
            <w:shd w:val="clear" w:color="auto" w:fill="FFFFFF"/>
            <w:noWrap w:val="0"/>
            <w:vAlign w:val="top"/>
          </w:tcPr>
          <w:p w14:paraId="12D5BBDA">
            <w:pPr>
              <w:keepNext/>
              <w:keepLines/>
              <w:pageBreakBefore w:val="0"/>
              <w:widowControl/>
              <w:suppressLineNumbers w:val="0"/>
              <w:kinsoku/>
              <w:wordWrap/>
              <w:overflowPunct/>
              <w:topLinePunct w:val="0"/>
              <w:bidi w:val="0"/>
              <w:snapToGrid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进入价格分计算的响应人取技术商务加权总分排名前BP%的响应人，按比例HP%、LP%分别去掉最高、最低价格后（当排名前BP%的响应人个数少于等于L个时，根据设定的是否去掉最高最低的值判断是否去掉GH个最高和GL个最低价格后计算平均价），计算平均价作为Y平均。</w:t>
            </w:r>
          </w:p>
          <w:p w14:paraId="278848D0">
            <w:pPr>
              <w:keepNext/>
              <w:keepLines/>
              <w:pageBreakBefore w:val="0"/>
              <w:widowControl/>
              <w:suppressLineNumbers w:val="0"/>
              <w:kinsoku/>
              <w:wordWrap/>
              <w:overflowPunct/>
              <w:topLinePunct w:val="0"/>
              <w:bidi w:val="0"/>
              <w:snapToGrid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2、计算评标基准价，Y基准＝Y平均×（1-X），X为下浮率，Y基准按四舍五入法保留两位小数。</w:t>
            </w:r>
          </w:p>
        </w:tc>
      </w:tr>
      <w:tr w14:paraId="1F923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55" w:type="pct"/>
            <w:gridSpan w:val="2"/>
            <w:tcBorders>
              <w:tl2br w:val="nil"/>
              <w:tr2bl w:val="nil"/>
            </w:tcBorders>
            <w:shd w:val="clear" w:color="auto" w:fill="FFFFFF"/>
            <w:noWrap w:val="0"/>
            <w:vAlign w:val="top"/>
          </w:tcPr>
          <w:p w14:paraId="1FEDF4F4">
            <w:pPr>
              <w:keepNext/>
              <w:keepLines/>
              <w:pageBreakBefore w:val="0"/>
              <w:kinsoku/>
              <w:wordWrap/>
              <w:overflowPunct/>
              <w:topLinePunct w:val="0"/>
              <w:autoSpaceDE/>
              <w:autoSpaceDN/>
              <w:bidi w:val="0"/>
              <w:snapToGrid w:val="0"/>
              <w:jc w:val="center"/>
              <w:rPr>
                <w:rFonts w:ascii="Dialog" w:hAnsi="Dialog"/>
                <w:b/>
                <w:sz w:val="24"/>
                <w:szCs w:val="24"/>
              </w:rPr>
            </w:pPr>
            <w:r>
              <w:rPr>
                <w:rFonts w:hint="eastAsia" w:ascii="仿宋_GB2312" w:hAnsi="仿宋_GB2312" w:eastAsia="仿宋_GB2312" w:cs="仿宋_GB2312"/>
                <w:b/>
                <w:sz w:val="24"/>
                <w:szCs w:val="24"/>
              </w:rPr>
              <w:t>价格分计算公式</w:t>
            </w:r>
          </w:p>
        </w:tc>
        <w:tc>
          <w:tcPr>
            <w:tcW w:w="3944" w:type="pct"/>
            <w:gridSpan w:val="3"/>
            <w:tcBorders>
              <w:tl2br w:val="nil"/>
              <w:tr2bl w:val="nil"/>
            </w:tcBorders>
            <w:shd w:val="clear" w:color="auto" w:fill="FFFFFF"/>
            <w:noWrap w:val="0"/>
            <w:vAlign w:val="top"/>
          </w:tcPr>
          <w:p w14:paraId="40A73452">
            <w:pPr>
              <w:keepNext/>
              <w:keepLines/>
              <w:pageBreakBefore w:val="0"/>
              <w:widowControl/>
              <w:suppressLineNumbers w:val="0"/>
              <w:kinsoku/>
              <w:wordWrap/>
              <w:overflowPunct/>
              <w:topLinePunct w:val="0"/>
              <w:bidi w:val="0"/>
              <w:snapToGrid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1、Yi为某响应人的响应价格；Qi为计算得分，按四舍五入法保留两位小数。</w:t>
            </w:r>
          </w:p>
          <w:p w14:paraId="0573CA3F">
            <w:pPr>
              <w:keepNext/>
              <w:keepLines/>
              <w:pageBreakBefore w:val="0"/>
              <w:widowControl/>
              <w:suppressLineNumbers w:val="0"/>
              <w:kinsoku/>
              <w:wordWrap/>
              <w:overflowPunct/>
              <w:topLinePunct w:val="0"/>
              <w:bidi w:val="0"/>
              <w:snapToGrid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2、当Yi＞Y基准，Qi＝报价满分－（Yi－Y基准）/Y基准×报价满分×RH。</w:t>
            </w:r>
          </w:p>
          <w:p w14:paraId="3523DED0">
            <w:pPr>
              <w:keepNext/>
              <w:keepLines/>
              <w:pageBreakBefore w:val="0"/>
              <w:widowControl/>
              <w:suppressLineNumbers w:val="0"/>
              <w:kinsoku/>
              <w:wordWrap/>
              <w:overflowPunct/>
              <w:topLinePunct w:val="0"/>
              <w:bidi w:val="0"/>
              <w:snapToGrid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3、当Yi=Y基准，Qi=报价满分。</w:t>
            </w:r>
          </w:p>
          <w:p w14:paraId="1151EAAC">
            <w:pPr>
              <w:keepNext/>
              <w:keepLines/>
              <w:pageBreakBefore w:val="0"/>
              <w:widowControl/>
              <w:suppressLineNumbers w:val="0"/>
              <w:kinsoku/>
              <w:wordWrap/>
              <w:overflowPunct/>
              <w:topLinePunct w:val="0"/>
              <w:bidi w:val="0"/>
              <w:snapToGrid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4、当Yi＜Y基准，Qi＝报价满分－（Y基准－Yi）/Y基准×报价满分×RL。</w:t>
            </w:r>
          </w:p>
          <w:p w14:paraId="47279081">
            <w:pPr>
              <w:keepNext/>
              <w:keepLines/>
              <w:pageBreakBefore w:val="0"/>
              <w:widowControl/>
              <w:suppressLineNumbers w:val="0"/>
              <w:kinsoku/>
              <w:wordWrap/>
              <w:overflowPunct/>
              <w:topLinePunct w:val="0"/>
              <w:bidi w:val="0"/>
              <w:snapToGrid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5、当Qi＜0，按Qi=0分计。</w:t>
            </w:r>
          </w:p>
        </w:tc>
      </w:tr>
      <w:tr w14:paraId="1C80F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55" w:type="pct"/>
            <w:gridSpan w:val="2"/>
            <w:tcBorders>
              <w:tl2br w:val="nil"/>
              <w:tr2bl w:val="nil"/>
            </w:tcBorders>
            <w:shd w:val="clear" w:color="auto" w:fill="FFFFFF"/>
            <w:noWrap w:val="0"/>
            <w:vAlign w:val="top"/>
          </w:tcPr>
          <w:p w14:paraId="7231BC84">
            <w:pPr>
              <w:keepNext/>
              <w:keepLines/>
              <w:pageBreakBefore w:val="0"/>
              <w:kinsoku/>
              <w:wordWrap/>
              <w:overflowPunct/>
              <w:topLinePunct w:val="0"/>
              <w:autoSpaceDE/>
              <w:autoSpaceDN/>
              <w:bidi w:val="0"/>
              <w:snapToGrid w:val="0"/>
              <w:jc w:val="center"/>
              <w:rPr>
                <w:rFonts w:ascii="Dialog" w:hAnsi="Dialog"/>
                <w:b/>
                <w:sz w:val="24"/>
                <w:szCs w:val="24"/>
              </w:rPr>
            </w:pPr>
            <w:r>
              <w:rPr>
                <w:rFonts w:hint="eastAsia" w:ascii="仿宋_GB2312" w:hAnsi="仿宋_GB2312" w:eastAsia="仿宋_GB2312" w:cs="仿宋_GB2312"/>
                <w:b/>
                <w:sz w:val="24"/>
                <w:szCs w:val="24"/>
              </w:rPr>
              <w:t>进入价格评分厂家数量</w:t>
            </w:r>
          </w:p>
        </w:tc>
        <w:tc>
          <w:tcPr>
            <w:tcW w:w="3944" w:type="pct"/>
            <w:gridSpan w:val="3"/>
            <w:tcBorders>
              <w:tl2br w:val="nil"/>
              <w:tr2bl w:val="nil"/>
            </w:tcBorders>
            <w:shd w:val="clear" w:color="auto" w:fill="FFFFFF"/>
            <w:noWrap w:val="0"/>
            <w:vAlign w:val="top"/>
          </w:tcPr>
          <w:p w14:paraId="5D847EEE">
            <w:pPr>
              <w:keepNext/>
              <w:keepLines/>
              <w:pageBreakBefore w:val="0"/>
              <w:widowControl/>
              <w:suppressLineNumbers w:val="0"/>
              <w:kinsoku/>
              <w:wordWrap/>
              <w:overflowPunct/>
              <w:topLinePunct w:val="0"/>
              <w:bidi w:val="0"/>
              <w:snapToGrid w:val="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本次评标不设置技术商务末位淘汰。进入技术商务评分范围的响应人全部进入价格评分。</w:t>
            </w:r>
          </w:p>
        </w:tc>
      </w:tr>
      <w:tr w14:paraId="73743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55" w:type="pct"/>
            <w:gridSpan w:val="2"/>
            <w:tcBorders>
              <w:tl2br w:val="nil"/>
              <w:tr2bl w:val="nil"/>
            </w:tcBorders>
            <w:shd w:val="clear" w:color="auto" w:fill="FFFFFF"/>
            <w:noWrap w:val="0"/>
            <w:vAlign w:val="top"/>
          </w:tcPr>
          <w:p w14:paraId="3D467A74">
            <w:pPr>
              <w:keepNext/>
              <w:keepLines/>
              <w:pageBreakBefore w:val="0"/>
              <w:kinsoku/>
              <w:wordWrap/>
              <w:overflowPunct/>
              <w:topLinePunct w:val="0"/>
              <w:autoSpaceDE/>
              <w:autoSpaceDN/>
              <w:bidi w:val="0"/>
              <w:snapToGrid w:val="0"/>
              <w:jc w:val="center"/>
              <w:rPr>
                <w:rFonts w:ascii="Dialog" w:hAnsi="Dialog"/>
                <w:b/>
                <w:sz w:val="24"/>
                <w:szCs w:val="24"/>
              </w:rPr>
            </w:pPr>
            <w:r>
              <w:rPr>
                <w:rFonts w:hint="eastAsia" w:ascii="仿宋_GB2312" w:hAnsi="仿宋_GB2312" w:eastAsia="仿宋_GB2312" w:cs="仿宋_GB2312"/>
                <w:b/>
                <w:sz w:val="24"/>
                <w:szCs w:val="24"/>
              </w:rPr>
              <w:t>下浮率</w:t>
            </w:r>
          </w:p>
        </w:tc>
        <w:tc>
          <w:tcPr>
            <w:tcW w:w="3944" w:type="pct"/>
            <w:gridSpan w:val="3"/>
            <w:tcBorders>
              <w:tl2br w:val="nil"/>
              <w:tr2bl w:val="nil"/>
            </w:tcBorders>
            <w:shd w:val="clear" w:color="auto" w:fill="FFFFFF"/>
            <w:noWrap w:val="0"/>
            <w:vAlign w:val="top"/>
          </w:tcPr>
          <w:p w14:paraId="62EEDFAF">
            <w:pPr>
              <w:keepNext/>
              <w:keepLines/>
              <w:pageBreakBefore w:val="0"/>
              <w:widowControl/>
              <w:suppressLineNumbers w:val="0"/>
              <w:kinsoku/>
              <w:wordWrap/>
              <w:overflowPunct/>
              <w:topLinePunct w:val="0"/>
              <w:bidi w:val="0"/>
              <w:snapToGrid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w:t>
            </w:r>
          </w:p>
        </w:tc>
      </w:tr>
      <w:tr w14:paraId="163B3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55" w:type="pct"/>
            <w:gridSpan w:val="2"/>
            <w:tcBorders>
              <w:tl2br w:val="nil"/>
              <w:tr2bl w:val="nil"/>
            </w:tcBorders>
            <w:shd w:val="clear" w:color="auto" w:fill="FFFFFF"/>
            <w:noWrap w:val="0"/>
            <w:vAlign w:val="center"/>
          </w:tcPr>
          <w:p w14:paraId="41D7C257">
            <w:pPr>
              <w:keepNext/>
              <w:keepLines/>
              <w:pageBreakBefore w:val="0"/>
              <w:kinsoku/>
              <w:wordWrap/>
              <w:overflowPunct/>
              <w:topLinePunct w:val="0"/>
              <w:autoSpaceDE/>
              <w:autoSpaceDN/>
              <w:bidi w:val="0"/>
              <w:snapToGrid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RL</w:t>
            </w:r>
          </w:p>
        </w:tc>
        <w:tc>
          <w:tcPr>
            <w:tcW w:w="3944" w:type="pct"/>
            <w:gridSpan w:val="3"/>
            <w:tcBorders>
              <w:tl2br w:val="nil"/>
              <w:tr2bl w:val="nil"/>
            </w:tcBorders>
            <w:shd w:val="clear" w:color="auto" w:fill="FFFFFF"/>
            <w:noWrap w:val="0"/>
            <w:vAlign w:val="center"/>
          </w:tcPr>
          <w:p w14:paraId="2F7D3169">
            <w:pPr>
              <w:keepNext/>
              <w:keepLines/>
              <w:pageBreakBefore w:val="0"/>
              <w:widowControl/>
              <w:suppressLineNumbers w:val="0"/>
              <w:kinsoku/>
              <w:wordWrap/>
              <w:overflowPunct/>
              <w:topLinePunct w:val="0"/>
              <w:bidi w:val="0"/>
              <w:snapToGrid w:val="0"/>
              <w:jc w:val="center"/>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0.3</w:t>
            </w:r>
          </w:p>
        </w:tc>
      </w:tr>
      <w:tr w14:paraId="0D81F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55" w:type="pct"/>
            <w:gridSpan w:val="2"/>
            <w:tcBorders>
              <w:tl2br w:val="nil"/>
              <w:tr2bl w:val="nil"/>
            </w:tcBorders>
            <w:shd w:val="clear" w:color="auto" w:fill="FFFFFF"/>
            <w:noWrap w:val="0"/>
            <w:vAlign w:val="center"/>
          </w:tcPr>
          <w:p w14:paraId="497BB1A9">
            <w:pPr>
              <w:keepNext/>
              <w:keepLines/>
              <w:pageBreakBefore w:val="0"/>
              <w:kinsoku/>
              <w:wordWrap/>
              <w:overflowPunct/>
              <w:topLinePunct w:val="0"/>
              <w:autoSpaceDE/>
              <w:autoSpaceDN/>
              <w:bidi w:val="0"/>
              <w:snapToGrid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RH</w:t>
            </w:r>
          </w:p>
        </w:tc>
        <w:tc>
          <w:tcPr>
            <w:tcW w:w="3944" w:type="pct"/>
            <w:gridSpan w:val="3"/>
            <w:tcBorders>
              <w:tl2br w:val="nil"/>
              <w:tr2bl w:val="nil"/>
            </w:tcBorders>
            <w:shd w:val="clear" w:color="auto" w:fill="FFFFFF"/>
            <w:noWrap w:val="0"/>
            <w:vAlign w:val="center"/>
          </w:tcPr>
          <w:p w14:paraId="6231B7A4">
            <w:pPr>
              <w:keepNext/>
              <w:keepLines/>
              <w:pageBreakBefore w:val="0"/>
              <w:widowControl/>
              <w:suppressLineNumbers w:val="0"/>
              <w:kinsoku/>
              <w:wordWrap/>
              <w:overflowPunct/>
              <w:topLinePunct w:val="0"/>
              <w:bidi w:val="0"/>
              <w:snapToGrid w:val="0"/>
              <w:jc w:val="center"/>
              <w:rPr>
                <w:rFonts w:hint="default"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0.7</w:t>
            </w:r>
          </w:p>
        </w:tc>
      </w:tr>
      <w:tr w14:paraId="0E7B2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55" w:type="pct"/>
            <w:gridSpan w:val="2"/>
            <w:tcBorders>
              <w:tl2br w:val="nil"/>
              <w:tr2bl w:val="nil"/>
            </w:tcBorders>
            <w:shd w:val="clear" w:color="auto" w:fill="FFFFFF"/>
            <w:noWrap w:val="0"/>
            <w:vAlign w:val="center"/>
          </w:tcPr>
          <w:p w14:paraId="787445FC">
            <w:pPr>
              <w:keepNext/>
              <w:keepLines/>
              <w:pageBreakBefore w:val="0"/>
              <w:kinsoku/>
              <w:wordWrap/>
              <w:overflowPunct/>
              <w:topLinePunct w:val="0"/>
              <w:autoSpaceDE/>
              <w:autoSpaceDN/>
              <w:bidi w:val="0"/>
              <w:snapToGrid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BP</w:t>
            </w:r>
          </w:p>
        </w:tc>
        <w:tc>
          <w:tcPr>
            <w:tcW w:w="3944" w:type="pct"/>
            <w:gridSpan w:val="3"/>
            <w:tcBorders>
              <w:tl2br w:val="nil"/>
              <w:tr2bl w:val="nil"/>
            </w:tcBorders>
            <w:shd w:val="clear" w:color="auto" w:fill="FFFFFF"/>
            <w:noWrap w:val="0"/>
            <w:vAlign w:val="center"/>
          </w:tcPr>
          <w:p w14:paraId="15F681FD">
            <w:pPr>
              <w:keepNext/>
              <w:keepLines/>
              <w:pageBreakBefore w:val="0"/>
              <w:widowControl/>
              <w:suppressLineNumbers w:val="0"/>
              <w:kinsoku/>
              <w:wordWrap/>
              <w:overflowPunct/>
              <w:topLinePunct w:val="0"/>
              <w:bidi w:val="0"/>
              <w:snapToGrid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80</w:t>
            </w:r>
          </w:p>
        </w:tc>
      </w:tr>
      <w:tr w14:paraId="4E41F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55" w:type="pct"/>
            <w:gridSpan w:val="2"/>
            <w:tcBorders>
              <w:tl2br w:val="nil"/>
              <w:tr2bl w:val="nil"/>
            </w:tcBorders>
            <w:shd w:val="clear" w:color="auto" w:fill="FFFFFF"/>
            <w:noWrap w:val="0"/>
            <w:vAlign w:val="center"/>
          </w:tcPr>
          <w:p w14:paraId="25DEEB49">
            <w:pPr>
              <w:keepNext/>
              <w:keepLines/>
              <w:pageBreakBefore w:val="0"/>
              <w:kinsoku/>
              <w:wordWrap/>
              <w:overflowPunct/>
              <w:topLinePunct w:val="0"/>
              <w:autoSpaceDE/>
              <w:autoSpaceDN/>
              <w:bidi w:val="0"/>
              <w:snapToGrid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HP</w:t>
            </w:r>
          </w:p>
        </w:tc>
        <w:tc>
          <w:tcPr>
            <w:tcW w:w="3944" w:type="pct"/>
            <w:gridSpan w:val="3"/>
            <w:tcBorders>
              <w:tl2br w:val="nil"/>
              <w:tr2bl w:val="nil"/>
            </w:tcBorders>
            <w:shd w:val="clear" w:color="auto" w:fill="FFFFFF"/>
            <w:noWrap w:val="0"/>
            <w:vAlign w:val="center"/>
          </w:tcPr>
          <w:p w14:paraId="02D8EDBF">
            <w:pPr>
              <w:keepNext/>
              <w:keepLines/>
              <w:pageBreakBefore w:val="0"/>
              <w:widowControl/>
              <w:suppressLineNumbers w:val="0"/>
              <w:kinsoku/>
              <w:wordWrap/>
              <w:overflowPunct/>
              <w:topLinePunct w:val="0"/>
              <w:bidi w:val="0"/>
              <w:snapToGrid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10</w:t>
            </w:r>
          </w:p>
        </w:tc>
      </w:tr>
      <w:tr w14:paraId="5B949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55" w:type="pct"/>
            <w:gridSpan w:val="2"/>
            <w:tcBorders>
              <w:tl2br w:val="nil"/>
              <w:tr2bl w:val="nil"/>
            </w:tcBorders>
            <w:shd w:val="clear" w:color="auto" w:fill="FFFFFF"/>
            <w:noWrap w:val="0"/>
            <w:vAlign w:val="center"/>
          </w:tcPr>
          <w:p w14:paraId="2C44EC89">
            <w:pPr>
              <w:keepNext/>
              <w:keepLines/>
              <w:pageBreakBefore w:val="0"/>
              <w:kinsoku/>
              <w:wordWrap/>
              <w:overflowPunct/>
              <w:topLinePunct w:val="0"/>
              <w:autoSpaceDE/>
              <w:autoSpaceDN/>
              <w:bidi w:val="0"/>
              <w:snapToGrid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LP</w:t>
            </w:r>
          </w:p>
        </w:tc>
        <w:tc>
          <w:tcPr>
            <w:tcW w:w="3944" w:type="pct"/>
            <w:gridSpan w:val="3"/>
            <w:tcBorders>
              <w:tl2br w:val="nil"/>
              <w:tr2bl w:val="nil"/>
            </w:tcBorders>
            <w:shd w:val="clear" w:color="auto" w:fill="FFFFFF"/>
            <w:noWrap w:val="0"/>
            <w:vAlign w:val="center"/>
          </w:tcPr>
          <w:p w14:paraId="2AB08FE7">
            <w:pPr>
              <w:keepNext/>
              <w:keepLines/>
              <w:pageBreakBefore w:val="0"/>
              <w:widowControl/>
              <w:suppressLineNumbers w:val="0"/>
              <w:kinsoku/>
              <w:wordWrap/>
              <w:overflowPunct/>
              <w:topLinePunct w:val="0"/>
              <w:bidi w:val="0"/>
              <w:snapToGrid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10</w:t>
            </w:r>
          </w:p>
        </w:tc>
      </w:tr>
      <w:tr w14:paraId="38F7D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55" w:type="pct"/>
            <w:gridSpan w:val="2"/>
            <w:tcBorders>
              <w:tl2br w:val="nil"/>
              <w:tr2bl w:val="nil"/>
            </w:tcBorders>
            <w:shd w:val="clear" w:color="auto" w:fill="FFFFFF"/>
            <w:noWrap w:val="0"/>
            <w:vAlign w:val="center"/>
          </w:tcPr>
          <w:p w14:paraId="28EA24AA">
            <w:pPr>
              <w:keepNext/>
              <w:keepLines/>
              <w:pageBreakBefore w:val="0"/>
              <w:kinsoku/>
              <w:wordWrap/>
              <w:overflowPunct/>
              <w:topLinePunct w:val="0"/>
              <w:autoSpaceDE/>
              <w:autoSpaceDN/>
              <w:bidi w:val="0"/>
              <w:snapToGrid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L</w:t>
            </w:r>
          </w:p>
        </w:tc>
        <w:tc>
          <w:tcPr>
            <w:tcW w:w="3944" w:type="pct"/>
            <w:gridSpan w:val="3"/>
            <w:tcBorders>
              <w:tl2br w:val="nil"/>
              <w:tr2bl w:val="nil"/>
            </w:tcBorders>
            <w:shd w:val="clear" w:color="auto" w:fill="FFFFFF"/>
            <w:noWrap w:val="0"/>
            <w:vAlign w:val="center"/>
          </w:tcPr>
          <w:p w14:paraId="5C503C40">
            <w:pPr>
              <w:keepNext/>
              <w:keepLines/>
              <w:pageBreakBefore w:val="0"/>
              <w:widowControl/>
              <w:suppressLineNumbers w:val="0"/>
              <w:kinsoku/>
              <w:wordWrap/>
              <w:overflowPunct/>
              <w:topLinePunct w:val="0"/>
              <w:bidi w:val="0"/>
              <w:snapToGrid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6</w:t>
            </w:r>
          </w:p>
        </w:tc>
      </w:tr>
      <w:tr w14:paraId="7BA96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55" w:type="pct"/>
            <w:gridSpan w:val="2"/>
            <w:tcBorders>
              <w:tl2br w:val="nil"/>
              <w:tr2bl w:val="nil"/>
            </w:tcBorders>
            <w:shd w:val="clear" w:color="auto" w:fill="FFFFFF"/>
            <w:noWrap w:val="0"/>
            <w:vAlign w:val="center"/>
          </w:tcPr>
          <w:p w14:paraId="3CAF58D8">
            <w:pPr>
              <w:keepNext/>
              <w:keepLines/>
              <w:pageBreakBefore w:val="0"/>
              <w:kinsoku/>
              <w:wordWrap/>
              <w:overflowPunct/>
              <w:topLinePunct w:val="0"/>
              <w:autoSpaceDE/>
              <w:autoSpaceDN/>
              <w:bidi w:val="0"/>
              <w:snapToGrid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若供应商数量小于等于L值，是否去掉最高最低</w:t>
            </w:r>
          </w:p>
        </w:tc>
        <w:tc>
          <w:tcPr>
            <w:tcW w:w="3944" w:type="pct"/>
            <w:gridSpan w:val="3"/>
            <w:tcBorders>
              <w:tl2br w:val="nil"/>
              <w:tr2bl w:val="nil"/>
            </w:tcBorders>
            <w:shd w:val="clear" w:color="auto" w:fill="FFFFFF"/>
            <w:noWrap w:val="0"/>
            <w:vAlign w:val="center"/>
          </w:tcPr>
          <w:p w14:paraId="1DD63712">
            <w:pPr>
              <w:keepNext/>
              <w:keepLines/>
              <w:pageBreakBefore w:val="0"/>
              <w:widowControl/>
              <w:suppressLineNumbers w:val="0"/>
              <w:kinsoku/>
              <w:wordWrap/>
              <w:overflowPunct/>
              <w:topLinePunct w:val="0"/>
              <w:bidi w:val="0"/>
              <w:snapToGrid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否</w:t>
            </w:r>
          </w:p>
        </w:tc>
      </w:tr>
      <w:tr w14:paraId="3B61A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55" w:type="pct"/>
            <w:gridSpan w:val="2"/>
            <w:tcBorders>
              <w:tl2br w:val="nil"/>
              <w:tr2bl w:val="nil"/>
            </w:tcBorders>
            <w:shd w:val="clear" w:color="auto" w:fill="FFFFFF"/>
            <w:noWrap w:val="0"/>
            <w:vAlign w:val="center"/>
          </w:tcPr>
          <w:p w14:paraId="07A2F1FD">
            <w:pPr>
              <w:keepNext/>
              <w:keepLines/>
              <w:pageBreakBefore w:val="0"/>
              <w:kinsoku/>
              <w:wordWrap/>
              <w:overflowPunct/>
              <w:topLinePunct w:val="0"/>
              <w:autoSpaceDE/>
              <w:autoSpaceDN/>
              <w:bidi w:val="0"/>
              <w:snapToGrid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GH</w:t>
            </w:r>
          </w:p>
        </w:tc>
        <w:tc>
          <w:tcPr>
            <w:tcW w:w="3944" w:type="pct"/>
            <w:gridSpan w:val="3"/>
            <w:tcBorders>
              <w:tl2br w:val="nil"/>
              <w:tr2bl w:val="nil"/>
            </w:tcBorders>
            <w:shd w:val="clear" w:color="auto" w:fill="FFFFFF"/>
            <w:noWrap w:val="0"/>
            <w:vAlign w:val="center"/>
          </w:tcPr>
          <w:p w14:paraId="220CE6BC">
            <w:pPr>
              <w:keepNext/>
              <w:keepLines/>
              <w:pageBreakBefore w:val="0"/>
              <w:widowControl/>
              <w:suppressLineNumbers w:val="0"/>
              <w:kinsoku/>
              <w:wordWrap/>
              <w:overflowPunct/>
              <w:topLinePunct w:val="0"/>
              <w:bidi w:val="0"/>
              <w:snapToGrid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w:t>
            </w:r>
          </w:p>
        </w:tc>
      </w:tr>
      <w:tr w14:paraId="0E547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55" w:type="pct"/>
            <w:gridSpan w:val="2"/>
            <w:tcBorders>
              <w:tl2br w:val="nil"/>
              <w:tr2bl w:val="nil"/>
            </w:tcBorders>
            <w:shd w:val="clear" w:color="auto" w:fill="FFFFFF"/>
            <w:noWrap w:val="0"/>
            <w:vAlign w:val="center"/>
          </w:tcPr>
          <w:p w14:paraId="5749154D">
            <w:pPr>
              <w:keepNext/>
              <w:keepLines/>
              <w:pageBreakBefore w:val="0"/>
              <w:kinsoku/>
              <w:wordWrap/>
              <w:overflowPunct/>
              <w:topLinePunct w:val="0"/>
              <w:autoSpaceDE/>
              <w:autoSpaceDN/>
              <w:bidi w:val="0"/>
              <w:snapToGrid w:val="0"/>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sz w:val="24"/>
                <w:szCs w:val="24"/>
              </w:rPr>
              <w:t>GL</w:t>
            </w:r>
          </w:p>
        </w:tc>
        <w:tc>
          <w:tcPr>
            <w:tcW w:w="3944" w:type="pct"/>
            <w:gridSpan w:val="3"/>
            <w:tcBorders>
              <w:tl2br w:val="nil"/>
              <w:tr2bl w:val="nil"/>
            </w:tcBorders>
            <w:shd w:val="clear" w:color="auto" w:fill="FFFFFF"/>
            <w:noWrap w:val="0"/>
            <w:vAlign w:val="center"/>
          </w:tcPr>
          <w:p w14:paraId="48F97FAE">
            <w:pPr>
              <w:keepNext/>
              <w:keepLines/>
              <w:pageBreakBefore w:val="0"/>
              <w:widowControl/>
              <w:suppressLineNumbers w:val="0"/>
              <w:kinsoku/>
              <w:wordWrap/>
              <w:overflowPunct/>
              <w:topLinePunct w:val="0"/>
              <w:bidi w:val="0"/>
              <w:snapToGrid w:val="0"/>
              <w:jc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0</w:t>
            </w:r>
          </w:p>
        </w:tc>
      </w:tr>
    </w:tbl>
    <w:p w14:paraId="5A85872E">
      <w:pPr>
        <w:keepNext/>
        <w:keepLines/>
        <w:pageBreakBefore w:val="0"/>
        <w:kinsoku/>
        <w:wordWrap/>
        <w:overflowPunct/>
        <w:topLinePunct w:val="0"/>
        <w:bidi w:val="0"/>
        <w:rPr>
          <w:color w:val="000000"/>
          <w:sz w:val="28"/>
          <w:szCs w:val="28"/>
          <w:highlight w:val="none"/>
        </w:rPr>
      </w:pPr>
      <w:r>
        <w:rPr>
          <w:rFonts w:hint="eastAsia"/>
          <w:color w:val="000000"/>
          <w:sz w:val="28"/>
          <w:szCs w:val="28"/>
          <w:highlight w:val="none"/>
        </w:rPr>
        <w:t>综合分计算方法</w:t>
      </w:r>
    </w:p>
    <w:p w14:paraId="4A0800D9">
      <w:pPr>
        <w:pStyle w:val="6"/>
        <w:keepNext/>
        <w:keepLines/>
        <w:pageBreakBefore w:val="0"/>
        <w:kinsoku/>
        <w:wordWrap/>
        <w:overflowPunct/>
        <w:topLinePunct w:val="0"/>
        <w:bidi w:val="0"/>
        <w:adjustRightInd w:val="0"/>
        <w:snapToGrid w:val="0"/>
        <w:spacing w:before="156"/>
        <w:ind w:firstLine="0" w:firstLineChars="0"/>
        <w:rPr>
          <w:rFonts w:hint="eastAsia"/>
          <w:i w:val="0"/>
          <w:iCs w:val="0"/>
          <w:color w:val="000000"/>
          <w:sz w:val="28"/>
          <w:szCs w:val="28"/>
          <w:highlight w:val="none"/>
          <w:u w:val="single"/>
          <w:lang w:val="en-US" w:eastAsia="zh-CN"/>
        </w:rPr>
      </w:pPr>
      <w:r>
        <w:rPr>
          <w:rFonts w:hint="eastAsia"/>
          <w:i w:val="0"/>
          <w:iCs w:val="0"/>
          <w:color w:val="000000"/>
          <w:sz w:val="28"/>
          <w:szCs w:val="28"/>
          <w:highlight w:val="none"/>
          <w:u w:val="single"/>
        </w:rPr>
        <w:t>综合分=商务分*</w:t>
      </w:r>
      <w:r>
        <w:rPr>
          <w:rFonts w:hint="eastAsia"/>
          <w:i w:val="0"/>
          <w:iCs w:val="0"/>
          <w:color w:val="000000"/>
          <w:sz w:val="28"/>
          <w:szCs w:val="28"/>
          <w:highlight w:val="none"/>
          <w:u w:val="single"/>
          <w:lang w:val="en-US" w:eastAsia="zh-CN"/>
        </w:rPr>
        <w:t>10%</w:t>
      </w:r>
      <w:r>
        <w:rPr>
          <w:rFonts w:hint="eastAsia"/>
          <w:i w:val="0"/>
          <w:iCs w:val="0"/>
          <w:color w:val="000000"/>
          <w:sz w:val="28"/>
          <w:szCs w:val="28"/>
          <w:highlight w:val="none"/>
          <w:u w:val="single"/>
        </w:rPr>
        <w:t>+技术分*</w:t>
      </w:r>
      <w:r>
        <w:rPr>
          <w:rFonts w:hint="eastAsia"/>
          <w:i w:val="0"/>
          <w:iCs w:val="0"/>
          <w:color w:val="000000"/>
          <w:sz w:val="28"/>
          <w:szCs w:val="28"/>
          <w:highlight w:val="none"/>
          <w:u w:val="single"/>
          <w:lang w:val="en-US" w:eastAsia="zh-CN"/>
        </w:rPr>
        <w:t>50%</w:t>
      </w:r>
      <w:r>
        <w:rPr>
          <w:rFonts w:hint="eastAsia"/>
          <w:i w:val="0"/>
          <w:iCs w:val="0"/>
          <w:color w:val="000000"/>
          <w:sz w:val="28"/>
          <w:szCs w:val="28"/>
          <w:highlight w:val="none"/>
          <w:u w:val="single"/>
        </w:rPr>
        <w:t>+价格分*</w:t>
      </w:r>
      <w:r>
        <w:rPr>
          <w:rFonts w:hint="eastAsia"/>
          <w:i w:val="0"/>
          <w:iCs w:val="0"/>
          <w:color w:val="000000"/>
          <w:sz w:val="28"/>
          <w:szCs w:val="28"/>
          <w:highlight w:val="none"/>
          <w:u w:val="single"/>
          <w:lang w:val="en-US" w:eastAsia="zh-CN"/>
        </w:rPr>
        <w:t>40%</w:t>
      </w:r>
    </w:p>
    <w:p w14:paraId="113F33B2">
      <w:pPr>
        <w:pStyle w:val="6"/>
        <w:keepNext/>
        <w:keepLines/>
        <w:pageBreakBefore w:val="0"/>
        <w:kinsoku/>
        <w:wordWrap/>
        <w:overflowPunct/>
        <w:topLinePunct w:val="0"/>
        <w:bidi w:val="0"/>
        <w:adjustRightInd w:val="0"/>
        <w:snapToGrid w:val="0"/>
        <w:spacing w:before="156"/>
        <w:ind w:firstLine="0" w:firstLineChars="0"/>
        <w:rPr>
          <w:rFonts w:hint="eastAsia"/>
          <w:i w:val="0"/>
          <w:iCs w:val="0"/>
          <w:color w:val="000000"/>
          <w:sz w:val="28"/>
          <w:szCs w:val="28"/>
          <w:highlight w:val="none"/>
          <w:u w:val="single"/>
          <w:lang w:val="en-US" w:eastAsia="zh-CN"/>
        </w:rPr>
      </w:pPr>
      <w:r>
        <w:rPr>
          <w:rFonts w:hint="eastAsia"/>
          <w:i w:val="0"/>
          <w:iCs w:val="0"/>
          <w:color w:val="000000"/>
          <w:sz w:val="28"/>
          <w:szCs w:val="28"/>
          <w:highlight w:val="none"/>
          <w:u w:val="single"/>
          <w:lang w:val="en-US" w:eastAsia="zh-CN"/>
        </w:rPr>
        <w:t>评审原则：推荐综合评分排名第一的响应人为中选候选人。</w:t>
      </w:r>
    </w:p>
    <w:p w14:paraId="41ED321C">
      <w:pPr>
        <w:pStyle w:val="6"/>
        <w:keepNext/>
        <w:keepLines/>
        <w:pageBreakBefore w:val="0"/>
        <w:kinsoku/>
        <w:wordWrap/>
        <w:overflowPunct/>
        <w:topLinePunct w:val="0"/>
        <w:bidi w:val="0"/>
        <w:adjustRightInd w:val="0"/>
        <w:snapToGrid w:val="0"/>
        <w:spacing w:before="156"/>
        <w:ind w:firstLine="0" w:firstLineChars="0"/>
        <w:rPr>
          <w:rFonts w:hint="eastAsia"/>
          <w:i w:val="0"/>
          <w:iCs w:val="0"/>
          <w:color w:val="000000"/>
          <w:sz w:val="28"/>
          <w:szCs w:val="28"/>
          <w:highlight w:val="none"/>
          <w:u w:val="none"/>
          <w:lang w:val="en-US" w:eastAsia="zh-CN"/>
        </w:rPr>
      </w:pPr>
      <w:r>
        <w:rPr>
          <w:rFonts w:hint="eastAsia"/>
          <w:i w:val="0"/>
          <w:iCs w:val="0"/>
          <w:color w:val="000000"/>
          <w:sz w:val="28"/>
          <w:szCs w:val="28"/>
          <w:highlight w:val="none"/>
          <w:u w:val="none"/>
          <w:lang w:val="en-US" w:eastAsia="zh-CN"/>
        </w:rPr>
        <w:t>备注：</w:t>
      </w:r>
    </w:p>
    <w:p w14:paraId="3AE410D3">
      <w:pPr>
        <w:pStyle w:val="6"/>
        <w:keepNext/>
        <w:keepLines/>
        <w:pageBreakBefore w:val="0"/>
        <w:kinsoku/>
        <w:wordWrap/>
        <w:overflowPunct/>
        <w:topLinePunct w:val="0"/>
        <w:bidi w:val="0"/>
        <w:adjustRightInd w:val="0"/>
        <w:snapToGrid w:val="0"/>
        <w:spacing w:before="156"/>
        <w:ind w:firstLine="0" w:firstLineChars="0"/>
        <w:rPr>
          <w:rFonts w:hint="eastAsia"/>
          <w:i w:val="0"/>
          <w:iCs w:val="0"/>
          <w:color w:val="000000"/>
          <w:sz w:val="28"/>
          <w:szCs w:val="28"/>
          <w:highlight w:val="none"/>
          <w:u w:val="none"/>
          <w:lang w:val="en-US" w:eastAsia="zh-CN"/>
        </w:rPr>
      </w:pPr>
      <w:r>
        <w:rPr>
          <w:rFonts w:hint="eastAsia"/>
          <w:i w:val="0"/>
          <w:iCs w:val="0"/>
          <w:color w:val="000000"/>
          <w:sz w:val="28"/>
          <w:szCs w:val="28"/>
          <w:highlight w:val="none"/>
          <w:u w:val="none"/>
          <w:lang w:val="en-US" w:eastAsia="zh-CN"/>
        </w:rPr>
        <w:t>1. 寻源人有权对响应文件进行核实和要求响应人进行澄清（包括但不限于提供合同对应发票、出货单、验收证明等），若寻源人在评标时或必要的调查过程中发现响应人有弄虚作假行为，将取消其投标或中标资格，并依据法律法规及南方电网公司供应商管理有关制度追究责任。</w:t>
      </w:r>
    </w:p>
    <w:p w14:paraId="1DA1D393">
      <w:pPr>
        <w:pStyle w:val="6"/>
        <w:keepNext/>
        <w:keepLines/>
        <w:pageBreakBefore w:val="0"/>
        <w:kinsoku/>
        <w:wordWrap/>
        <w:overflowPunct/>
        <w:topLinePunct w:val="0"/>
        <w:bidi w:val="0"/>
        <w:adjustRightInd w:val="0"/>
        <w:snapToGrid w:val="0"/>
        <w:spacing w:before="156"/>
        <w:ind w:firstLine="0" w:firstLineChars="0"/>
      </w:pPr>
      <w:r>
        <w:rPr>
          <w:rFonts w:hint="eastAsia"/>
          <w:i w:val="0"/>
          <w:iCs w:val="0"/>
          <w:color w:val="000000"/>
          <w:sz w:val="28"/>
          <w:szCs w:val="28"/>
          <w:highlight w:val="none"/>
          <w:u w:val="none"/>
          <w:lang w:val="en-US" w:eastAsia="zh-CN"/>
        </w:rPr>
        <w:t>2. 采用代理商（经销商）投标的，“企业资质证书情况”各评审项产品制造商和代理商（经销商）各方均具备方可得分；“财务状况”按代理商（经销商） 20%的权重，产品制造商 80%的权重进行取值；“诚信经营”取产品制造商和代理商（经销商）各方分值低者。</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Dialog">
    <w:altName w:val="Times New Roman"/>
    <w:panose1 w:val="00000000000000000000"/>
    <w:charset w:val="00"/>
    <w:family w:val="roman"/>
    <w:pitch w:val="default"/>
    <w:sig w:usb0="00000000"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C29E0"/>
    <w:multiLevelType w:val="singleLevel"/>
    <w:tmpl w:val="BD7C29E0"/>
    <w:lvl w:ilvl="0" w:tentative="0">
      <w:start w:val="1"/>
      <w:numFmt w:val="decimal"/>
      <w:lvlText w:val="%1."/>
      <w:lvlJc w:val="left"/>
      <w:pPr>
        <w:tabs>
          <w:tab w:val="left" w:pos="312"/>
        </w:tabs>
      </w:pPr>
    </w:lvl>
  </w:abstractNum>
  <w:abstractNum w:abstractNumId="1">
    <w:nsid w:val="3115872F"/>
    <w:multiLevelType w:val="multilevel"/>
    <w:tmpl w:val="3115872F"/>
    <w:lvl w:ilvl="0" w:tentative="0">
      <w:start w:val="1"/>
      <w:numFmt w:val="decimal"/>
      <w:pStyle w:val="4"/>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467391"/>
    <w:rsid w:val="0AEE256E"/>
    <w:rsid w:val="0B1A0D6F"/>
    <w:rsid w:val="0BE63174"/>
    <w:rsid w:val="0D671574"/>
    <w:rsid w:val="0D731E06"/>
    <w:rsid w:val="0F6F0AD3"/>
    <w:rsid w:val="11D5049D"/>
    <w:rsid w:val="12467391"/>
    <w:rsid w:val="163A1DC3"/>
    <w:rsid w:val="179C2817"/>
    <w:rsid w:val="1B742AD4"/>
    <w:rsid w:val="1D656EEE"/>
    <w:rsid w:val="1E2D55F2"/>
    <w:rsid w:val="1F432537"/>
    <w:rsid w:val="211F0262"/>
    <w:rsid w:val="23B47B07"/>
    <w:rsid w:val="25B606E4"/>
    <w:rsid w:val="2A877269"/>
    <w:rsid w:val="2E7E3A24"/>
    <w:rsid w:val="30324DCE"/>
    <w:rsid w:val="32F50D48"/>
    <w:rsid w:val="3B7850F4"/>
    <w:rsid w:val="3DBD42B3"/>
    <w:rsid w:val="40796667"/>
    <w:rsid w:val="407A02F6"/>
    <w:rsid w:val="45151570"/>
    <w:rsid w:val="452F6120"/>
    <w:rsid w:val="46B22668"/>
    <w:rsid w:val="527415FA"/>
    <w:rsid w:val="56C8032B"/>
    <w:rsid w:val="6250320D"/>
    <w:rsid w:val="6572406C"/>
    <w:rsid w:val="68D108F1"/>
    <w:rsid w:val="6CEB4B34"/>
    <w:rsid w:val="6E22099B"/>
    <w:rsid w:val="7B326AA4"/>
    <w:rsid w:val="7FF05B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widowControl/>
      <w:numPr>
        <w:ilvl w:val="0"/>
        <w:numId w:val="1"/>
      </w:numPr>
      <w:tabs>
        <w:tab w:val="left" w:pos="425"/>
      </w:tabs>
      <w:spacing w:before="240" w:after="240" w:line="360" w:lineRule="auto"/>
      <w:outlineLvl w:val="0"/>
    </w:pPr>
    <w:rPr>
      <w:rFonts w:ascii="仿宋_GB2312" w:hAnsi="仿宋_GB2312" w:eastAsia="黑体"/>
      <w:b/>
      <w:bCs/>
      <w:kern w:val="44"/>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6">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2358</Words>
  <Characters>2512</Characters>
  <Lines>0</Lines>
  <Paragraphs>0</Paragraphs>
  <TotalTime>9</TotalTime>
  <ScaleCrop>false</ScaleCrop>
  <LinksUpToDate>false</LinksUpToDate>
  <CharactersWithSpaces>2517</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2026-05-25T02:30:00Z</dcterms:created>
  <dc:creator>B2712895724C4B0FA8C3D4996850ABC6</dc:creator>
  <cp:lastModifiedBy>嘘鼠乐</cp:lastModifiedBy>
  <dcterms:modified xsi:type="dcterms:W3CDTF">2026-07-24T07:26:33Z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0D8C826C99CA445AB230CE64B4662ECD_13</vt:lpwstr>
  </property>
  <property fmtid="{D5CDD505-2E9C-101B-9397-08002B2CF9AE}" pid="4" name="KSOTemplateDocerSaveRecord">
    <vt:lpwstr>eyJoZGlkIjoiOWE5ZjE3YWRjMWM0Y2ZjYTBhZThlOGJkZWIzOGJmOWEiLCJ1c2VySWQiOiI0MDM4MjA4NTEifQ==</vt:lpwstr>
  </property>
</Properties>
</file>