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ind w:firstLine="0" w:firstLineChars="0"/>
        <w:jc w:val="both"/>
        <w:textAlignment w:val="auto"/>
        <w:rPr>
          <w:rFonts w:hint="eastAsia" w:ascii="Times New Roman" w:hAnsi="Times New Roman" w:eastAsia="黑体" w:cs="Times New Roman"/>
          <w:b/>
          <w:color w:val="auto"/>
          <w:sz w:val="52"/>
          <w:szCs w:val="20"/>
          <w:highlight w:val="none"/>
          <w:lang w:eastAsia="zh-CN"/>
        </w:rPr>
      </w:pPr>
      <w:bookmarkStart w:id="0" w:name="_Hlt186339968"/>
      <w:bookmarkEnd w:id="0"/>
      <w:bookmarkStart w:id="1" w:name="_Hlt186343530"/>
      <w:bookmarkEnd w:id="1"/>
      <w:bookmarkStart w:id="2" w:name="_Toc24004"/>
      <w:bookmarkStart w:id="3" w:name="_Toc15640"/>
      <w:bookmarkStart w:id="4" w:name="_Toc13781"/>
      <w:bookmarkStart w:id="5" w:name="_Toc5201"/>
      <w:bookmarkStart w:id="6" w:name="hp_TitlePage"/>
    </w:p>
    <w:p>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ind w:firstLine="0" w:firstLineChars="0"/>
        <w:jc w:val="center"/>
        <w:textAlignment w:val="auto"/>
        <w:rPr>
          <w:rFonts w:hint="default" w:ascii="Times New Roman" w:hAnsi="Times New Roman" w:eastAsia="黑体" w:cs="Times New Roman"/>
          <w:b/>
          <w:color w:val="auto"/>
          <w:sz w:val="52"/>
          <w:szCs w:val="20"/>
          <w:highlight w:val="none"/>
          <w:lang w:eastAsia="zh-CN"/>
        </w:rPr>
      </w:pPr>
      <w:r>
        <w:rPr>
          <w:rFonts w:hint="eastAsia" w:ascii="Times New Roman" w:hAnsi="Times New Roman" w:eastAsia="黑体" w:cs="Times New Roman"/>
          <w:b/>
          <w:color w:val="auto"/>
          <w:sz w:val="52"/>
          <w:szCs w:val="20"/>
          <w:highlight w:val="none"/>
          <w:lang w:eastAsia="zh-CN"/>
        </w:rPr>
        <w:t>2026年南方电网数据平台与安全（广东）有限公司数据库投标寻源项</w:t>
      </w:r>
      <w:r>
        <w:rPr>
          <w:rFonts w:hint="eastAsia" w:eastAsia="黑体" w:cs="Times New Roman"/>
          <w:b/>
          <w:color w:val="auto"/>
          <w:sz w:val="52"/>
          <w:szCs w:val="20"/>
          <w:highlight w:val="none"/>
          <w:lang w:val="en-US" w:eastAsia="zh-CN"/>
        </w:rPr>
        <w:t>目</w:t>
      </w:r>
      <w:r>
        <w:rPr>
          <w:rFonts w:hint="eastAsia" w:ascii="Times New Roman" w:hAnsi="Times New Roman" w:eastAsia="黑体" w:cs="Times New Roman"/>
          <w:b/>
          <w:color w:val="auto"/>
          <w:sz w:val="52"/>
          <w:szCs w:val="20"/>
          <w:highlight w:val="none"/>
          <w:lang w:eastAsia="zh-CN"/>
        </w:rPr>
        <w:t>技术规范书</w:t>
      </w:r>
      <w:bookmarkEnd w:id="2"/>
      <w:bookmarkEnd w:id="3"/>
      <w:bookmarkEnd w:id="4"/>
      <w:bookmarkEnd w:id="5"/>
    </w:p>
    <w:bookmarkEnd w:id="6"/>
    <w:p>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ind w:firstLine="0" w:firstLineChars="0"/>
        <w:jc w:val="center"/>
        <w:textAlignment w:val="auto"/>
        <w:rPr>
          <w:rFonts w:hint="eastAsia" w:ascii="Times New Roman" w:hAnsi="Times New Roman" w:eastAsia="黑体" w:cs="Times New Roman"/>
          <w:b/>
          <w:color w:val="auto"/>
          <w:sz w:val="52"/>
          <w:szCs w:val="20"/>
          <w:highlight w:val="none"/>
          <w:lang w:eastAsia="zh-CN"/>
        </w:rPr>
      </w:pPr>
      <w:bookmarkStart w:id="7" w:name="_Toc27724"/>
      <w:bookmarkStart w:id="8" w:name="_Toc22805"/>
      <w:bookmarkStart w:id="9" w:name="_Toc22260"/>
    </w:p>
    <w:p>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ind w:firstLine="0" w:firstLineChars="0"/>
        <w:jc w:val="center"/>
        <w:textAlignment w:val="auto"/>
        <w:rPr>
          <w:rFonts w:hint="eastAsia" w:ascii="Times New Roman" w:hAnsi="Times New Roman" w:eastAsia="黑体" w:cs="Times New Roman"/>
          <w:b/>
          <w:color w:val="auto"/>
          <w:sz w:val="52"/>
          <w:szCs w:val="20"/>
          <w:highlight w:val="none"/>
          <w:lang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before="624" w:beforeLines="200" w:line="240" w:lineRule="auto"/>
        <w:ind w:firstLine="0" w:firstLineChars="0"/>
        <w:jc w:val="center"/>
        <w:textAlignment w:val="auto"/>
        <w:rPr>
          <w:rFonts w:hint="eastAsia" w:ascii="Times New Roman" w:hAnsi="Times New Roman" w:eastAsia="黑体" w:cs="Times New Roman"/>
          <w:b/>
          <w:color w:val="auto"/>
          <w:sz w:val="52"/>
          <w:szCs w:val="20"/>
          <w:highlight w:val="none"/>
          <w:lang w:eastAsia="zh-CN"/>
        </w:rPr>
      </w:pPr>
    </w:p>
    <w:p>
      <w:pPr>
        <w:pStyle w:val="2"/>
        <w:rPr>
          <w:rFonts w:hint="eastAsia" w:ascii="Times New Roman" w:hAnsi="Times New Roman" w:eastAsia="黑体" w:cs="Times New Roman"/>
          <w:b/>
          <w:color w:val="auto"/>
          <w:sz w:val="52"/>
          <w:szCs w:val="20"/>
          <w:highlight w:val="none"/>
          <w:lang w:eastAsia="zh-CN"/>
        </w:rPr>
      </w:pPr>
    </w:p>
    <w:p>
      <w:pPr>
        <w:rPr>
          <w:rFonts w:hint="eastAsia" w:ascii="Times New Roman" w:hAnsi="Times New Roman" w:eastAsia="黑体" w:cs="Times New Roman"/>
          <w:b/>
          <w:color w:val="auto"/>
          <w:sz w:val="52"/>
          <w:szCs w:val="20"/>
          <w:highlight w:val="none"/>
          <w:lang w:eastAsia="zh-CN"/>
        </w:rPr>
      </w:pPr>
    </w:p>
    <w:p>
      <w:pPr>
        <w:pStyle w:val="2"/>
        <w:rPr>
          <w:rFonts w:hint="eastAsia" w:ascii="Times New Roman" w:hAnsi="Times New Roman" w:eastAsia="黑体" w:cs="Times New Roman"/>
          <w:b/>
          <w:color w:val="auto"/>
          <w:sz w:val="52"/>
          <w:szCs w:val="20"/>
          <w:highlight w:val="none"/>
          <w:lang w:eastAsia="zh-CN"/>
        </w:rPr>
      </w:pPr>
    </w:p>
    <w:p>
      <w:pPr>
        <w:rPr>
          <w:rFonts w:hint="eastAsia"/>
          <w:lang w:eastAsia="zh-CN"/>
        </w:rPr>
      </w:pPr>
    </w:p>
    <w:bookmarkEnd w:id="7"/>
    <w:bookmarkEnd w:id="8"/>
    <w:bookmarkEnd w:id="9"/>
    <w:p>
      <w:pPr>
        <w:shd w:val="clear" w:color="auto" w:fill="auto"/>
        <w:spacing w:before="624" w:beforeLines="200" w:line="240" w:lineRule="auto"/>
        <w:ind w:left="0" w:leftChars="0" w:firstLine="0" w:firstLineChars="0"/>
        <w:jc w:val="center"/>
        <w:rPr>
          <w:rFonts w:hint="default" w:ascii="黑体" w:hAnsi="宋体" w:eastAsia="黑体" w:cs="Times New Roman"/>
          <w:b/>
          <w:color w:val="auto"/>
          <w:spacing w:val="20"/>
          <w:w w:val="135"/>
          <w:sz w:val="30"/>
          <w:szCs w:val="20"/>
          <w:highlight w:val="none"/>
          <w:lang w:val="en-US" w:eastAsia="zh-CN"/>
        </w:rPr>
      </w:pPr>
      <w:r>
        <w:rPr>
          <w:rFonts w:hint="eastAsia" w:ascii="黑体" w:hAnsi="宋体" w:eastAsia="黑体" w:cs="Times New Roman"/>
          <w:b/>
          <w:color w:val="auto"/>
          <w:spacing w:val="20"/>
          <w:w w:val="135"/>
          <w:sz w:val="30"/>
          <w:szCs w:val="20"/>
          <w:highlight w:val="none"/>
          <w:lang w:val="en-US" w:eastAsia="zh-CN"/>
        </w:rPr>
        <w:t>南方电网数据平台与安全（广东）有限公司</w:t>
      </w:r>
    </w:p>
    <w:p>
      <w:pPr>
        <w:shd w:val="clear" w:color="auto" w:fill="auto"/>
        <w:spacing w:before="624" w:beforeLines="200" w:line="240" w:lineRule="auto"/>
        <w:ind w:left="0" w:leftChars="0" w:firstLine="0" w:firstLineChars="0"/>
        <w:jc w:val="center"/>
        <w:rPr>
          <w:rFonts w:hint="eastAsia" w:ascii="黑体" w:hAnsi="宋体" w:eastAsia="黑体" w:cs="Times New Roman"/>
          <w:b/>
          <w:color w:val="auto"/>
          <w:spacing w:val="20"/>
          <w:w w:val="135"/>
          <w:sz w:val="30"/>
          <w:szCs w:val="20"/>
          <w:highlight w:val="none"/>
        </w:rPr>
      </w:pPr>
      <w:r>
        <w:rPr>
          <w:rFonts w:hint="eastAsia" w:ascii="黑体" w:hAnsi="宋体" w:eastAsia="黑体" w:cs="Times New Roman"/>
          <w:b/>
          <w:color w:val="auto"/>
          <w:spacing w:val="20"/>
          <w:w w:val="135"/>
          <w:sz w:val="30"/>
          <w:szCs w:val="20"/>
          <w:highlight w:val="none"/>
        </w:rPr>
        <w:t>202</w:t>
      </w:r>
      <w:r>
        <w:rPr>
          <w:rFonts w:hint="eastAsia" w:ascii="黑体" w:hAnsi="宋体" w:eastAsia="黑体" w:cs="Times New Roman"/>
          <w:b/>
          <w:color w:val="auto"/>
          <w:spacing w:val="20"/>
          <w:w w:val="135"/>
          <w:sz w:val="30"/>
          <w:szCs w:val="20"/>
          <w:highlight w:val="none"/>
          <w:lang w:val="en-US" w:eastAsia="zh-CN"/>
        </w:rPr>
        <w:t>6</w:t>
      </w:r>
      <w:r>
        <w:rPr>
          <w:rFonts w:hint="eastAsia" w:ascii="黑体" w:hAnsi="宋体" w:eastAsia="黑体" w:cs="Times New Roman"/>
          <w:b/>
          <w:color w:val="auto"/>
          <w:spacing w:val="20"/>
          <w:w w:val="135"/>
          <w:sz w:val="30"/>
          <w:szCs w:val="20"/>
          <w:highlight w:val="none"/>
        </w:rPr>
        <w:t>年</w:t>
      </w:r>
      <w:r>
        <w:rPr>
          <w:rFonts w:hint="eastAsia" w:ascii="黑体" w:hAnsi="宋体" w:eastAsia="黑体" w:cs="Times New Roman"/>
          <w:b/>
          <w:color w:val="auto"/>
          <w:spacing w:val="20"/>
          <w:w w:val="135"/>
          <w:sz w:val="30"/>
          <w:szCs w:val="20"/>
          <w:highlight w:val="none"/>
          <w:lang w:val="en-US" w:eastAsia="zh-CN"/>
        </w:rPr>
        <w:t>7</w:t>
      </w:r>
      <w:r>
        <w:rPr>
          <w:rFonts w:hint="eastAsia" w:ascii="黑体" w:hAnsi="宋体" w:eastAsia="黑体" w:cs="Times New Roman"/>
          <w:b/>
          <w:color w:val="auto"/>
          <w:spacing w:val="20"/>
          <w:w w:val="135"/>
          <w:sz w:val="30"/>
          <w:szCs w:val="20"/>
          <w:highlight w:val="none"/>
        </w:rPr>
        <w:t>月</w:t>
      </w:r>
    </w:p>
    <w:p>
      <w:pPr>
        <w:shd w:val="clear" w:color="auto" w:fill="auto"/>
        <w:spacing w:before="624" w:beforeLines="200" w:line="240" w:lineRule="auto"/>
        <w:ind w:left="0" w:leftChars="0" w:firstLine="0" w:firstLineChars="0"/>
        <w:jc w:val="center"/>
        <w:rPr>
          <w:rFonts w:hint="eastAsia" w:ascii="黑体" w:hAnsi="宋体" w:eastAsia="黑体" w:cs="Times New Roman"/>
          <w:b/>
          <w:color w:val="auto"/>
          <w:spacing w:val="20"/>
          <w:w w:val="135"/>
          <w:sz w:val="30"/>
          <w:szCs w:val="20"/>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7" w:bottom="1418" w:left="1417" w:header="851" w:footer="567" w:gutter="0"/>
          <w:cols w:space="425" w:num="1"/>
          <w:docGrid w:type="lines" w:linePitch="312" w:charSpace="0"/>
        </w:sectPr>
      </w:pPr>
    </w:p>
    <w:p>
      <w:pPr>
        <w:spacing w:before="156" w:beforeLines="50" w:after="156" w:afterLines="50"/>
        <w:ind w:firstLine="0" w:firstLineChars="0"/>
        <w:jc w:val="center"/>
        <w:rPr>
          <w:rFonts w:ascii="宋体" w:hAnsi="宋体"/>
          <w:b/>
          <w:color w:val="auto"/>
          <w:sz w:val="32"/>
          <w:szCs w:val="32"/>
          <w:highlight w:val="none"/>
        </w:rPr>
      </w:pPr>
      <w:r>
        <w:rPr>
          <w:rFonts w:ascii="宋体" w:hAnsi="宋体"/>
          <w:b/>
          <w:color w:val="auto"/>
          <w:sz w:val="32"/>
          <w:szCs w:val="32"/>
          <w:highlight w:val="none"/>
        </w:rPr>
        <w:t>目录</w:t>
      </w:r>
    </w:p>
    <w:p>
      <w:pPr>
        <w:pStyle w:val="21"/>
        <w:tabs>
          <w:tab w:val="right" w:leader="dot" w:pos="8306"/>
          <w:tab w:val="clear" w:pos="8296"/>
        </w:tabs>
      </w:pPr>
      <w:r>
        <w:rPr>
          <w:rFonts w:ascii="宋体" w:hAnsi="宋体"/>
          <w:color w:val="auto"/>
          <w:highlight w:val="none"/>
        </w:rPr>
        <w:fldChar w:fldCharType="begin"/>
      </w:r>
      <w:r>
        <w:rPr>
          <w:rFonts w:ascii="宋体" w:hAnsi="宋体"/>
          <w:color w:val="auto"/>
          <w:highlight w:val="none"/>
        </w:rPr>
        <w:instrText xml:space="preserve"> TOC \o "1-3" \h \z \u </w:instrText>
      </w:r>
      <w:r>
        <w:rPr>
          <w:rFonts w:ascii="宋体" w:hAnsi="宋体"/>
          <w:color w:val="auto"/>
          <w:highlight w:val="none"/>
        </w:rPr>
        <w:fldChar w:fldCharType="separate"/>
      </w:r>
      <w:r>
        <w:rPr>
          <w:rFonts w:ascii="宋体" w:hAnsi="宋体"/>
          <w:color w:val="auto"/>
          <w:highlight w:val="none"/>
        </w:rPr>
        <w:fldChar w:fldCharType="begin"/>
      </w:r>
      <w:r>
        <w:rPr>
          <w:rFonts w:ascii="宋体" w:hAnsi="宋体"/>
          <w:highlight w:val="none"/>
        </w:rPr>
        <w:instrText xml:space="preserve"> HYPERLINK \l _Toc22581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1</w:t>
      </w:r>
      <w:r>
        <w:rPr>
          <w:rFonts w:hint="eastAsia" w:asciiTheme="majorEastAsia" w:hAnsiTheme="majorEastAsia" w:eastAsiaTheme="majorEastAsia"/>
          <w:bCs w:val="0"/>
          <w:szCs w:val="32"/>
          <w:highlight w:val="none"/>
        </w:rPr>
        <w:t>项目描述</w:t>
      </w:r>
      <w:r>
        <w:tab/>
      </w:r>
      <w:r>
        <w:fldChar w:fldCharType="begin"/>
      </w:r>
      <w:r>
        <w:instrText xml:space="preserve"> PAGEREF _Toc22581 \h </w:instrText>
      </w:r>
      <w:r>
        <w:fldChar w:fldCharType="separate"/>
      </w:r>
      <w:r>
        <w:t>1</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_Toc11432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1.1</w:t>
      </w:r>
      <w:r>
        <w:rPr>
          <w:rFonts w:hint="eastAsia" w:asciiTheme="majorEastAsia" w:hAnsiTheme="majorEastAsia" w:eastAsiaTheme="majorEastAsia"/>
          <w:szCs w:val="30"/>
          <w:highlight w:val="none"/>
        </w:rPr>
        <w:t>项目背景</w:t>
      </w:r>
      <w:r>
        <w:tab/>
      </w:r>
      <w:r>
        <w:fldChar w:fldCharType="begin"/>
      </w:r>
      <w:r>
        <w:instrText xml:space="preserve"> PAGEREF _Toc11432 \h </w:instrText>
      </w:r>
      <w:r>
        <w:fldChar w:fldCharType="separate"/>
      </w:r>
      <w:r>
        <w:t>1</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_Toc19709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1.2</w:t>
      </w:r>
      <w:r>
        <w:rPr>
          <w:rFonts w:hint="eastAsia" w:asciiTheme="majorEastAsia" w:hAnsiTheme="majorEastAsia" w:eastAsiaTheme="majorEastAsia"/>
          <w:szCs w:val="30"/>
          <w:highlight w:val="none"/>
        </w:rPr>
        <w:t>项目目标</w:t>
      </w:r>
      <w:r>
        <w:tab/>
      </w:r>
      <w:r>
        <w:fldChar w:fldCharType="begin"/>
      </w:r>
      <w:r>
        <w:instrText xml:space="preserve"> PAGEREF _Toc19709 \h </w:instrText>
      </w:r>
      <w:r>
        <w:fldChar w:fldCharType="separate"/>
      </w:r>
      <w:r>
        <w:t>1</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_Toc11814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1.3服务期限</w:t>
      </w:r>
      <w:r>
        <w:tab/>
      </w:r>
      <w:r>
        <w:fldChar w:fldCharType="begin"/>
      </w:r>
      <w:r>
        <w:instrText xml:space="preserve"> PAGEREF _Toc11814 \h </w:instrText>
      </w:r>
      <w:r>
        <w:fldChar w:fldCharType="separate"/>
      </w:r>
      <w:r>
        <w:t>2</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_Toc12961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1.4项目实施范围</w:t>
      </w:r>
      <w:r>
        <w:tab/>
      </w:r>
      <w:r>
        <w:fldChar w:fldCharType="begin"/>
      </w:r>
      <w:r>
        <w:instrText xml:space="preserve"> PAGEREF _Toc12961 \h </w:instrText>
      </w:r>
      <w:r>
        <w:fldChar w:fldCharType="separate"/>
      </w:r>
      <w:r>
        <w:t>2</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_Toc8703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2</w:t>
      </w:r>
      <w:r>
        <w:rPr>
          <w:rFonts w:hint="eastAsia" w:asciiTheme="majorEastAsia" w:hAnsiTheme="majorEastAsia" w:eastAsiaTheme="majorEastAsia"/>
          <w:bCs w:val="0"/>
          <w:szCs w:val="32"/>
          <w:highlight w:val="none"/>
        </w:rPr>
        <w:t>项目内容及</w:t>
      </w:r>
      <w:r>
        <w:rPr>
          <w:rFonts w:hint="eastAsia" w:asciiTheme="majorEastAsia" w:hAnsiTheme="majorEastAsia" w:eastAsiaTheme="majorEastAsia"/>
          <w:bCs w:val="0"/>
          <w:szCs w:val="32"/>
          <w:highlight w:val="none"/>
          <w:lang w:val="en-US" w:eastAsia="zh-CN"/>
        </w:rPr>
        <w:t>需求</w:t>
      </w:r>
      <w:r>
        <w:tab/>
      </w:r>
      <w:r>
        <w:fldChar w:fldCharType="begin"/>
      </w:r>
      <w:r>
        <w:instrText xml:space="preserve"> PAGEREF _Toc8703 \h </w:instrText>
      </w:r>
      <w:r>
        <w:fldChar w:fldCharType="separate"/>
      </w:r>
      <w:r>
        <w:t>2</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_Toc16229 </w:instrText>
      </w:r>
      <w:r>
        <w:rPr>
          <w:rFonts w:ascii="宋体" w:hAnsi="宋体"/>
          <w:highlight w:val="none"/>
        </w:rPr>
        <w:fldChar w:fldCharType="separate"/>
      </w:r>
      <w:r>
        <w:rPr>
          <w:rFonts w:hint="eastAsia" w:ascii="宋体" w:hAnsi="宋体" w:eastAsia="宋体" w:cs="Times New Roman"/>
          <w:bCs/>
          <w:kern w:val="24"/>
          <w:szCs w:val="30"/>
          <w:lang w:val="en-US" w:eastAsia="zh-CN" w:bidi="ar-SA"/>
        </w:rPr>
        <w:t>2.1</w:t>
      </w:r>
      <w:r>
        <w:rPr>
          <w:rFonts w:hint="eastAsia" w:asciiTheme="majorEastAsia" w:hAnsiTheme="majorEastAsia" w:eastAsiaTheme="majorEastAsia"/>
          <w:szCs w:val="30"/>
          <w:highlight w:val="none"/>
        </w:rPr>
        <w:t>项目内容</w:t>
      </w:r>
      <w:r>
        <w:tab/>
      </w:r>
      <w:r>
        <w:fldChar w:fldCharType="begin"/>
      </w:r>
      <w:r>
        <w:instrText xml:space="preserve"> PAGEREF _Toc16229 \h </w:instrText>
      </w:r>
      <w:r>
        <w:fldChar w:fldCharType="separate"/>
      </w:r>
      <w:r>
        <w:t>2</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_Toc16098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2.2</w:t>
      </w:r>
      <w:r>
        <w:rPr>
          <w:rFonts w:hint="eastAsia" w:asciiTheme="majorEastAsia" w:hAnsiTheme="majorEastAsia" w:eastAsiaTheme="majorEastAsia"/>
          <w:szCs w:val="30"/>
          <w:highlight w:val="none"/>
        </w:rPr>
        <w:t>数据库功能需求</w:t>
      </w:r>
      <w:r>
        <w:tab/>
      </w:r>
      <w:r>
        <w:fldChar w:fldCharType="begin"/>
      </w:r>
      <w:r>
        <w:instrText xml:space="preserve"> PAGEREF _Toc16098 \h </w:instrText>
      </w:r>
      <w:r>
        <w:fldChar w:fldCharType="separate"/>
      </w:r>
      <w:r>
        <w:t>2</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_Toc10961 </w:instrText>
      </w:r>
      <w:r>
        <w:rPr>
          <w:rFonts w:ascii="宋体" w:hAnsi="宋体"/>
          <w:highlight w:val="none"/>
        </w:rPr>
        <w:fldChar w:fldCharType="separate"/>
      </w:r>
      <w:r>
        <w:rPr>
          <w:rFonts w:hint="eastAsia" w:asciiTheme="majorEastAsia" w:hAnsiTheme="majorEastAsia" w:eastAsiaTheme="majorEastAsia" w:cstheme="majorEastAsia"/>
          <w:szCs w:val="32"/>
          <w:highlight w:val="none"/>
          <w:lang w:val="en-US" w:eastAsia="zh-CN"/>
        </w:rPr>
        <w:t>3 技术要求</w:t>
      </w:r>
      <w:r>
        <w:tab/>
      </w:r>
      <w:r>
        <w:fldChar w:fldCharType="begin"/>
      </w:r>
      <w:r>
        <w:instrText xml:space="preserve"> PAGEREF _Toc10961 \h </w:instrText>
      </w:r>
      <w:r>
        <w:fldChar w:fldCharType="separate"/>
      </w:r>
      <w:r>
        <w:t>5</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_Toc4989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3.1</w:t>
      </w:r>
      <w:r>
        <w:rPr>
          <w:rFonts w:hint="eastAsia" w:asciiTheme="majorEastAsia" w:hAnsiTheme="majorEastAsia" w:eastAsiaTheme="majorEastAsia"/>
          <w:szCs w:val="30"/>
          <w:highlight w:val="none"/>
        </w:rPr>
        <w:t>数据库可靠性</w:t>
      </w:r>
      <w:r>
        <w:rPr>
          <w:rFonts w:hint="eastAsia" w:asciiTheme="majorEastAsia" w:hAnsiTheme="majorEastAsia" w:eastAsiaTheme="majorEastAsia"/>
          <w:szCs w:val="30"/>
          <w:highlight w:val="none"/>
          <w:lang w:val="en-US" w:eastAsia="zh-CN"/>
        </w:rPr>
        <w:t>要</w:t>
      </w:r>
      <w:r>
        <w:rPr>
          <w:rFonts w:hint="eastAsia" w:asciiTheme="majorEastAsia" w:hAnsiTheme="majorEastAsia" w:eastAsiaTheme="majorEastAsia"/>
          <w:szCs w:val="30"/>
          <w:highlight w:val="none"/>
        </w:rPr>
        <w:t>求</w:t>
      </w:r>
      <w:r>
        <w:tab/>
      </w:r>
      <w:r>
        <w:fldChar w:fldCharType="begin"/>
      </w:r>
      <w:r>
        <w:instrText xml:space="preserve"> PAGEREF _Toc4989 \h </w:instrText>
      </w:r>
      <w:r>
        <w:fldChar w:fldCharType="separate"/>
      </w:r>
      <w:r>
        <w:t>5</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_Toc20730 </w:instrText>
      </w:r>
      <w:r>
        <w:rPr>
          <w:rFonts w:ascii="宋体" w:hAnsi="宋体"/>
          <w:highlight w:val="none"/>
        </w:rPr>
        <w:fldChar w:fldCharType="separate"/>
      </w:r>
      <w:r>
        <w:rPr>
          <w:rFonts w:hint="eastAsia" w:cs="Times New Roman"/>
          <w:bCs/>
          <w:kern w:val="24"/>
          <w:szCs w:val="28"/>
          <w:lang w:val="en-US" w:eastAsia="zh-CN" w:bidi="ar-SA"/>
        </w:rPr>
        <w:t>3</w:t>
      </w:r>
      <w:r>
        <w:rPr>
          <w:rFonts w:hint="eastAsia" w:ascii="宋体" w:hAnsi="宋体" w:eastAsia="宋体" w:cs="Times New Roman"/>
          <w:bCs/>
          <w:kern w:val="24"/>
          <w:szCs w:val="28"/>
          <w:lang w:val="en-US" w:eastAsia="zh-CN" w:bidi="ar-SA"/>
        </w:rPr>
        <w:t>.</w:t>
      </w:r>
      <w:r>
        <w:rPr>
          <w:rFonts w:hint="eastAsia" w:cs="Times New Roman"/>
          <w:bCs/>
          <w:kern w:val="24"/>
          <w:szCs w:val="28"/>
          <w:lang w:val="en-US" w:eastAsia="zh-CN" w:bidi="ar-SA"/>
        </w:rPr>
        <w:t>2</w:t>
      </w:r>
      <w:r>
        <w:rPr>
          <w:rFonts w:hint="eastAsia" w:asciiTheme="majorEastAsia" w:hAnsiTheme="majorEastAsia" w:eastAsiaTheme="majorEastAsia"/>
          <w:szCs w:val="30"/>
          <w:highlight w:val="none"/>
        </w:rPr>
        <w:t>数据库性能要求</w:t>
      </w:r>
      <w:r>
        <w:tab/>
      </w:r>
      <w:r>
        <w:fldChar w:fldCharType="begin"/>
      </w:r>
      <w:r>
        <w:instrText xml:space="preserve"> PAGEREF _Toc20730 \h </w:instrText>
      </w:r>
      <w:r>
        <w:fldChar w:fldCharType="separate"/>
      </w:r>
      <w:r>
        <w:t>6</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_Toc31538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3.3</w:t>
      </w:r>
      <w:r>
        <w:rPr>
          <w:rFonts w:hint="eastAsia" w:asciiTheme="majorEastAsia" w:hAnsiTheme="majorEastAsia" w:eastAsiaTheme="majorEastAsia"/>
          <w:szCs w:val="30"/>
          <w:highlight w:val="none"/>
        </w:rPr>
        <w:t>数据库安全</w:t>
      </w:r>
      <w:r>
        <w:rPr>
          <w:rFonts w:hint="eastAsia" w:asciiTheme="majorEastAsia" w:hAnsiTheme="majorEastAsia" w:eastAsiaTheme="majorEastAsia"/>
          <w:szCs w:val="30"/>
          <w:highlight w:val="none"/>
          <w:lang w:val="en-US" w:eastAsia="zh-CN"/>
        </w:rPr>
        <w:t>要</w:t>
      </w:r>
      <w:r>
        <w:rPr>
          <w:rFonts w:hint="eastAsia" w:asciiTheme="majorEastAsia" w:hAnsiTheme="majorEastAsia" w:eastAsiaTheme="majorEastAsia"/>
          <w:szCs w:val="30"/>
          <w:highlight w:val="none"/>
        </w:rPr>
        <w:t>求</w:t>
      </w:r>
      <w:r>
        <w:tab/>
      </w:r>
      <w:r>
        <w:fldChar w:fldCharType="begin"/>
      </w:r>
      <w:r>
        <w:instrText xml:space="preserve"> PAGEREF _Toc31538 \h </w:instrText>
      </w:r>
      <w:r>
        <w:fldChar w:fldCharType="separate"/>
      </w:r>
      <w:r>
        <w:t>7</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_Toc14575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3.4</w:t>
      </w:r>
      <w:r>
        <w:rPr>
          <w:rFonts w:hint="eastAsia" w:asciiTheme="majorEastAsia" w:hAnsiTheme="majorEastAsia" w:eastAsiaTheme="majorEastAsia"/>
          <w:szCs w:val="30"/>
          <w:highlight w:val="none"/>
        </w:rPr>
        <w:t>数据库兼容性</w:t>
      </w:r>
      <w:r>
        <w:rPr>
          <w:rFonts w:hint="eastAsia" w:asciiTheme="majorEastAsia" w:hAnsiTheme="majorEastAsia" w:eastAsiaTheme="majorEastAsia"/>
          <w:szCs w:val="30"/>
          <w:highlight w:val="none"/>
          <w:lang w:val="en-US" w:eastAsia="zh-CN"/>
        </w:rPr>
        <w:t>要</w:t>
      </w:r>
      <w:r>
        <w:rPr>
          <w:rFonts w:hint="eastAsia" w:asciiTheme="majorEastAsia" w:hAnsiTheme="majorEastAsia" w:eastAsiaTheme="majorEastAsia"/>
          <w:szCs w:val="30"/>
          <w:highlight w:val="none"/>
        </w:rPr>
        <w:t>求</w:t>
      </w:r>
      <w:r>
        <w:tab/>
      </w:r>
      <w:r>
        <w:fldChar w:fldCharType="begin"/>
      </w:r>
      <w:r>
        <w:instrText xml:space="preserve"> PAGEREF _Toc14575 \h </w:instrText>
      </w:r>
      <w:r>
        <w:fldChar w:fldCharType="separate"/>
      </w:r>
      <w:r>
        <w:t>7</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_Toc23866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3.5</w:t>
      </w:r>
      <w:r>
        <w:rPr>
          <w:rFonts w:hint="eastAsia" w:asciiTheme="majorEastAsia" w:hAnsiTheme="majorEastAsia" w:eastAsiaTheme="majorEastAsia"/>
          <w:szCs w:val="30"/>
          <w:highlight w:val="none"/>
        </w:rPr>
        <w:t>数据库成熟度</w:t>
      </w:r>
      <w:r>
        <w:rPr>
          <w:rFonts w:hint="eastAsia" w:asciiTheme="majorEastAsia" w:hAnsiTheme="majorEastAsia" w:eastAsiaTheme="majorEastAsia"/>
          <w:szCs w:val="30"/>
          <w:highlight w:val="none"/>
          <w:lang w:val="en-US" w:eastAsia="zh-CN"/>
        </w:rPr>
        <w:t>要</w:t>
      </w:r>
      <w:r>
        <w:rPr>
          <w:rFonts w:hint="eastAsia" w:asciiTheme="majorEastAsia" w:hAnsiTheme="majorEastAsia" w:eastAsiaTheme="majorEastAsia"/>
          <w:szCs w:val="30"/>
          <w:highlight w:val="none"/>
        </w:rPr>
        <w:t>求</w:t>
      </w:r>
      <w:r>
        <w:tab/>
      </w:r>
      <w:r>
        <w:fldChar w:fldCharType="begin"/>
      </w:r>
      <w:r>
        <w:instrText xml:space="preserve"> PAGEREF _Toc23866 \h </w:instrText>
      </w:r>
      <w:r>
        <w:fldChar w:fldCharType="separate"/>
      </w:r>
      <w:r>
        <w:t>8</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_Toc24516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4</w:t>
      </w:r>
      <w:r>
        <w:rPr>
          <w:rFonts w:hint="eastAsia" w:asciiTheme="majorEastAsia" w:hAnsiTheme="majorEastAsia" w:eastAsiaTheme="majorEastAsia"/>
          <w:bCs w:val="0"/>
          <w:szCs w:val="32"/>
          <w:highlight w:val="none"/>
        </w:rPr>
        <w:t>技术服务要求</w:t>
      </w:r>
      <w:r>
        <w:tab/>
      </w:r>
      <w:r>
        <w:fldChar w:fldCharType="begin"/>
      </w:r>
      <w:r>
        <w:instrText xml:space="preserve"> PAGEREF _Toc24516 \h </w:instrText>
      </w:r>
      <w:r>
        <w:fldChar w:fldCharType="separate"/>
      </w:r>
      <w:r>
        <w:t>9</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_Toc12818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5双方职责</w:t>
      </w:r>
      <w:r>
        <w:tab/>
      </w:r>
      <w:r>
        <w:fldChar w:fldCharType="begin"/>
      </w:r>
      <w:r>
        <w:instrText xml:space="preserve"> PAGEREF _Toc12818 \h </w:instrText>
      </w:r>
      <w:r>
        <w:fldChar w:fldCharType="separate"/>
      </w:r>
      <w:r>
        <w:t>10</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_Toc29912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5.1牵头方职责</w:t>
      </w:r>
      <w:r>
        <w:tab/>
      </w:r>
      <w:r>
        <w:fldChar w:fldCharType="begin"/>
      </w:r>
      <w:r>
        <w:instrText xml:space="preserve"> PAGEREF _Toc29912 \h </w:instrText>
      </w:r>
      <w:r>
        <w:fldChar w:fldCharType="separate"/>
      </w:r>
      <w:r>
        <w:t>10</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_Toc26921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5.2成员方职责</w:t>
      </w:r>
      <w:r>
        <w:tab/>
      </w:r>
      <w:r>
        <w:fldChar w:fldCharType="begin"/>
      </w:r>
      <w:r>
        <w:instrText xml:space="preserve"> PAGEREF _Toc26921 \h </w:instrText>
      </w:r>
      <w:r>
        <w:fldChar w:fldCharType="separate"/>
      </w:r>
      <w:r>
        <w:t>11</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_Toc22843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6、质量要求</w:t>
      </w:r>
      <w:r>
        <w:tab/>
      </w:r>
      <w:r>
        <w:fldChar w:fldCharType="begin"/>
      </w:r>
      <w:r>
        <w:instrText xml:space="preserve"> PAGEREF _Toc22843 \h </w:instrText>
      </w:r>
      <w:r>
        <w:fldChar w:fldCharType="separate"/>
      </w:r>
      <w:r>
        <w:t>11</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_Toc22823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7组织保证</w:t>
      </w:r>
      <w:r>
        <w:tab/>
      </w:r>
      <w:r>
        <w:fldChar w:fldCharType="begin"/>
      </w:r>
      <w:r>
        <w:instrText xml:space="preserve"> PAGEREF _Toc22823 \h </w:instrText>
      </w:r>
      <w:r>
        <w:fldChar w:fldCharType="separate"/>
      </w:r>
      <w:r>
        <w:t>12</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_Toc872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7.1人员要求</w:t>
      </w:r>
      <w:r>
        <w:tab/>
      </w:r>
      <w:r>
        <w:fldChar w:fldCharType="begin"/>
      </w:r>
      <w:r>
        <w:instrText xml:space="preserve"> PAGEREF _Toc872 \h </w:instrText>
      </w:r>
      <w:r>
        <w:fldChar w:fldCharType="separate"/>
      </w:r>
      <w:r>
        <w:t>12</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_Toc30537 </w:instrText>
      </w:r>
      <w:r>
        <w:rPr>
          <w:rFonts w:ascii="宋体" w:hAnsi="宋体"/>
          <w:highlight w:val="none"/>
        </w:rPr>
        <w:fldChar w:fldCharType="separate"/>
      </w:r>
      <w:r>
        <w:rPr>
          <w:rFonts w:hint="eastAsia" w:cs="Times New Roman" w:asciiTheme="majorEastAsia" w:hAnsiTheme="majorEastAsia" w:eastAsiaTheme="majorEastAsia"/>
          <w:bCs/>
          <w:kern w:val="24"/>
          <w:szCs w:val="30"/>
          <w:lang w:val="en-US" w:eastAsia="zh-CN" w:bidi="ar-SA"/>
        </w:rPr>
        <w:t>7.2队伍稳定要求</w:t>
      </w:r>
      <w:r>
        <w:tab/>
      </w:r>
      <w:r>
        <w:fldChar w:fldCharType="begin"/>
      </w:r>
      <w:r>
        <w:instrText xml:space="preserve"> PAGEREF _Toc30537 \h </w:instrText>
      </w:r>
      <w:r>
        <w:fldChar w:fldCharType="separate"/>
      </w:r>
      <w:r>
        <w:t>12</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_Toc12717 </w:instrText>
      </w:r>
      <w:r>
        <w:rPr>
          <w:rFonts w:ascii="宋体" w:hAnsi="宋体"/>
          <w:highlight w:val="none"/>
        </w:rPr>
        <w:fldChar w:fldCharType="separate"/>
      </w:r>
      <w:r>
        <w:rPr>
          <w:rFonts w:hint="eastAsia" w:asciiTheme="majorEastAsia" w:hAnsiTheme="majorEastAsia" w:eastAsiaTheme="majorEastAsia"/>
          <w:bCs w:val="0"/>
          <w:szCs w:val="32"/>
          <w:highlight w:val="none"/>
          <w:lang w:val="en-US" w:eastAsia="zh-CN"/>
        </w:rPr>
        <w:t>8</w:t>
      </w:r>
      <w:r>
        <w:rPr>
          <w:rFonts w:hint="eastAsia" w:asciiTheme="majorEastAsia" w:hAnsiTheme="majorEastAsia" w:eastAsiaTheme="majorEastAsia"/>
          <w:bCs w:val="0"/>
          <w:szCs w:val="32"/>
          <w:highlight w:val="none"/>
        </w:rPr>
        <w:t>项目交付物</w:t>
      </w:r>
      <w:r>
        <w:tab/>
      </w:r>
      <w:r>
        <w:fldChar w:fldCharType="begin"/>
      </w:r>
      <w:r>
        <w:instrText xml:space="preserve"> PAGEREF _Toc12717 \h </w:instrText>
      </w:r>
      <w:r>
        <w:fldChar w:fldCharType="separate"/>
      </w:r>
      <w:r>
        <w:t>12</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_Toc13978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9</w:t>
      </w:r>
      <w:r>
        <w:rPr>
          <w:rFonts w:hint="eastAsia" w:asciiTheme="majorEastAsia" w:hAnsiTheme="majorEastAsia" w:eastAsiaTheme="majorEastAsia"/>
          <w:bCs w:val="0"/>
          <w:szCs w:val="32"/>
          <w:highlight w:val="none"/>
        </w:rPr>
        <w:t>项目实施要求</w:t>
      </w:r>
      <w:r>
        <w:tab/>
      </w:r>
      <w:r>
        <w:fldChar w:fldCharType="begin"/>
      </w:r>
      <w:r>
        <w:instrText xml:space="preserve"> PAGEREF _Toc13978 \h </w:instrText>
      </w:r>
      <w:r>
        <w:fldChar w:fldCharType="separate"/>
      </w:r>
      <w:r>
        <w:t>13</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_Toc26871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.1</w:t>
      </w:r>
      <w:r>
        <w:rPr>
          <w:highlight w:val="none"/>
        </w:rPr>
        <w:t>项目阶段</w:t>
      </w:r>
      <w:r>
        <w:tab/>
      </w:r>
      <w:r>
        <w:fldChar w:fldCharType="begin"/>
      </w:r>
      <w:r>
        <w:instrText xml:space="preserve"> PAGEREF _Toc26871 \h </w:instrText>
      </w:r>
      <w:r>
        <w:fldChar w:fldCharType="separate"/>
      </w:r>
      <w:r>
        <w:t>13</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_Toc13855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.2</w:t>
      </w:r>
      <w:r>
        <w:rPr>
          <w:highlight w:val="none"/>
        </w:rPr>
        <w:t>实施技术服务能力要求</w:t>
      </w:r>
      <w:r>
        <w:tab/>
      </w:r>
      <w:r>
        <w:fldChar w:fldCharType="begin"/>
      </w:r>
      <w:r>
        <w:instrText xml:space="preserve"> PAGEREF _Toc13855 \h </w:instrText>
      </w:r>
      <w:r>
        <w:fldChar w:fldCharType="separate"/>
      </w:r>
      <w:r>
        <w:t>13</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_Toc27359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.3</w:t>
      </w:r>
      <w:r>
        <w:rPr>
          <w:rFonts w:hint="eastAsia"/>
          <w:highlight w:val="none"/>
          <w:lang w:eastAsia="zh-CN"/>
        </w:rPr>
        <w:t>成员方</w:t>
      </w:r>
      <w:r>
        <w:rPr>
          <w:highlight w:val="none"/>
        </w:rPr>
        <w:t>的一般责任</w:t>
      </w:r>
      <w:r>
        <w:tab/>
      </w:r>
      <w:r>
        <w:fldChar w:fldCharType="begin"/>
      </w:r>
      <w:r>
        <w:instrText xml:space="preserve"> PAGEREF _Toc27359 \h </w:instrText>
      </w:r>
      <w:r>
        <w:fldChar w:fldCharType="separate"/>
      </w:r>
      <w:r>
        <w:t>14</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_Toc23847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.4</w:t>
      </w:r>
      <w:r>
        <w:rPr>
          <w:highlight w:val="none"/>
        </w:rPr>
        <w:t>进度计划及分段考核</w:t>
      </w:r>
      <w:r>
        <w:tab/>
      </w:r>
      <w:r>
        <w:fldChar w:fldCharType="begin"/>
      </w:r>
      <w:r>
        <w:instrText xml:space="preserve"> PAGEREF _Toc23847 \h </w:instrText>
      </w:r>
      <w:r>
        <w:fldChar w:fldCharType="separate"/>
      </w:r>
      <w:r>
        <w:t>14</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_Toc25891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.5</w:t>
      </w:r>
      <w:r>
        <w:rPr>
          <w:highlight w:val="none"/>
        </w:rPr>
        <w:t>项目结束约定</w:t>
      </w:r>
      <w:r>
        <w:tab/>
      </w:r>
      <w:r>
        <w:fldChar w:fldCharType="begin"/>
      </w:r>
      <w:r>
        <w:instrText xml:space="preserve"> PAGEREF _Toc25891 \h </w:instrText>
      </w:r>
      <w:r>
        <w:fldChar w:fldCharType="separate"/>
      </w:r>
      <w:r>
        <w:t>14</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_Toc16227 </w:instrText>
      </w:r>
      <w:r>
        <w:rPr>
          <w:rFonts w:ascii="宋体" w:hAnsi="宋体"/>
          <w:highlight w:val="none"/>
        </w:rPr>
        <w:fldChar w:fldCharType="separate"/>
      </w:r>
      <w:r>
        <w:rPr>
          <w:rFonts w:hint="eastAsia" w:cs="Times New Roman"/>
          <w:bCs/>
          <w:kern w:val="24"/>
          <w:szCs w:val="28"/>
          <w:lang w:val="en-US" w:eastAsia="zh-CN" w:bidi="ar-SA"/>
        </w:rPr>
        <w:t>9</w:t>
      </w:r>
      <w:r>
        <w:rPr>
          <w:rFonts w:hint="eastAsia" w:ascii="宋体" w:hAnsi="宋体" w:eastAsia="宋体" w:cs="Times New Roman"/>
          <w:bCs/>
          <w:kern w:val="24"/>
          <w:szCs w:val="28"/>
          <w:lang w:val="en-US" w:eastAsia="zh-CN" w:bidi="ar-SA"/>
        </w:rPr>
        <w:t>.</w:t>
      </w:r>
      <w:r>
        <w:rPr>
          <w:rFonts w:hint="eastAsia" w:cs="Times New Roman"/>
          <w:bCs/>
          <w:kern w:val="24"/>
          <w:szCs w:val="28"/>
          <w:lang w:val="en-US" w:eastAsia="zh-CN" w:bidi="ar-SA"/>
        </w:rPr>
        <w:t>6</w:t>
      </w:r>
      <w:r>
        <w:rPr>
          <w:highlight w:val="none"/>
        </w:rPr>
        <w:t>项目质量安全保障</w:t>
      </w:r>
      <w:r>
        <w:tab/>
      </w:r>
      <w:r>
        <w:fldChar w:fldCharType="begin"/>
      </w:r>
      <w:r>
        <w:instrText xml:space="preserve"> PAGEREF _Toc16227 \h </w:instrText>
      </w:r>
      <w:r>
        <w:fldChar w:fldCharType="separate"/>
      </w:r>
      <w:r>
        <w:t>14</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_Toc28151 </w:instrText>
      </w:r>
      <w:r>
        <w:rPr>
          <w:rFonts w:ascii="宋体" w:hAnsi="宋体"/>
          <w:highlight w:val="none"/>
        </w:rPr>
        <w:fldChar w:fldCharType="separate"/>
      </w:r>
      <w:r>
        <w:rPr>
          <w:rFonts w:hint="eastAsia" w:cs="Times New Roman" w:asciiTheme="majorEastAsia" w:hAnsiTheme="majorEastAsia" w:eastAsiaTheme="majorEastAsia"/>
          <w:bCs w:val="0"/>
          <w:kern w:val="24"/>
          <w:szCs w:val="32"/>
          <w:lang w:val="en-US" w:eastAsia="zh-CN" w:bidi="ar-SA"/>
        </w:rPr>
        <w:t>10</w:t>
      </w:r>
      <w:r>
        <w:rPr>
          <w:rFonts w:hint="eastAsia" w:asciiTheme="majorEastAsia" w:hAnsiTheme="majorEastAsia" w:eastAsiaTheme="majorEastAsia"/>
          <w:bCs w:val="0"/>
          <w:szCs w:val="32"/>
          <w:highlight w:val="none"/>
        </w:rPr>
        <w:t>售后服务要求</w:t>
      </w:r>
      <w:r>
        <w:tab/>
      </w:r>
      <w:r>
        <w:fldChar w:fldCharType="begin"/>
      </w:r>
      <w:r>
        <w:instrText xml:space="preserve"> PAGEREF _Toc28151 \h </w:instrText>
      </w:r>
      <w:r>
        <w:fldChar w:fldCharType="separate"/>
      </w:r>
      <w:r>
        <w:t>15</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_Toc11889 </w:instrText>
      </w:r>
      <w:r>
        <w:rPr>
          <w:rFonts w:ascii="宋体" w:hAnsi="宋体"/>
          <w:highlight w:val="none"/>
        </w:rPr>
        <w:fldChar w:fldCharType="separate"/>
      </w:r>
      <w:r>
        <w:rPr>
          <w:rFonts w:hint="eastAsia" w:cs="Times New Roman"/>
          <w:bCs/>
          <w:kern w:val="24"/>
          <w:szCs w:val="28"/>
          <w:lang w:val="en-US" w:eastAsia="zh-CN" w:bidi="ar-SA"/>
        </w:rPr>
        <w:t>10</w:t>
      </w:r>
      <w:r>
        <w:rPr>
          <w:rFonts w:hint="eastAsia" w:ascii="宋体" w:hAnsi="宋体" w:eastAsia="宋体" w:cs="Times New Roman"/>
          <w:bCs/>
          <w:kern w:val="24"/>
          <w:szCs w:val="28"/>
          <w:lang w:val="en-US" w:eastAsia="zh-CN" w:bidi="ar-SA"/>
        </w:rPr>
        <w:t>.1</w:t>
      </w:r>
      <w:r>
        <w:rPr>
          <w:rFonts w:hint="eastAsia"/>
          <w:highlight w:val="none"/>
        </w:rPr>
        <w:t>质保服务</w:t>
      </w:r>
      <w:r>
        <w:tab/>
      </w:r>
      <w:r>
        <w:fldChar w:fldCharType="begin"/>
      </w:r>
      <w:r>
        <w:instrText xml:space="preserve"> PAGEREF _Toc11889 \h </w:instrText>
      </w:r>
      <w:r>
        <w:fldChar w:fldCharType="separate"/>
      </w:r>
      <w:r>
        <w:t>15</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_Toc15312 </w:instrText>
      </w:r>
      <w:r>
        <w:rPr>
          <w:rFonts w:ascii="宋体" w:hAnsi="宋体"/>
          <w:highlight w:val="none"/>
        </w:rPr>
        <w:fldChar w:fldCharType="separate"/>
      </w:r>
      <w:r>
        <w:rPr>
          <w:rFonts w:hint="eastAsia" w:cs="Times New Roman"/>
          <w:bCs/>
          <w:kern w:val="24"/>
          <w:szCs w:val="28"/>
          <w:lang w:val="en-US" w:eastAsia="zh-CN" w:bidi="ar-SA"/>
        </w:rPr>
        <w:t>10</w:t>
      </w:r>
      <w:r>
        <w:rPr>
          <w:rFonts w:hint="eastAsia" w:ascii="宋体" w:hAnsi="宋体" w:eastAsia="宋体" w:cs="Times New Roman"/>
          <w:bCs/>
          <w:kern w:val="24"/>
          <w:szCs w:val="28"/>
          <w:lang w:val="en-US" w:eastAsia="zh-CN" w:bidi="ar-SA"/>
        </w:rPr>
        <w:t>.2</w:t>
      </w:r>
      <w:r>
        <w:rPr>
          <w:rFonts w:hint="eastAsia"/>
          <w:highlight w:val="none"/>
        </w:rPr>
        <w:t>维护及升级</w:t>
      </w:r>
      <w:r>
        <w:tab/>
      </w:r>
      <w:r>
        <w:fldChar w:fldCharType="begin"/>
      </w:r>
      <w:r>
        <w:instrText xml:space="preserve"> PAGEREF _Toc15312 \h </w:instrText>
      </w:r>
      <w:r>
        <w:fldChar w:fldCharType="separate"/>
      </w:r>
      <w:r>
        <w:t>15</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_Toc19706 </w:instrText>
      </w:r>
      <w:r>
        <w:rPr>
          <w:rFonts w:ascii="宋体" w:hAnsi="宋体"/>
          <w:highlight w:val="none"/>
        </w:rPr>
        <w:fldChar w:fldCharType="separate"/>
      </w:r>
      <w:r>
        <w:rPr>
          <w:rFonts w:hint="eastAsia" w:cs="Times New Roman"/>
          <w:bCs/>
          <w:kern w:val="24"/>
          <w:szCs w:val="28"/>
          <w:lang w:val="en-US" w:eastAsia="zh-CN" w:bidi="ar-SA"/>
        </w:rPr>
        <w:t>10</w:t>
      </w:r>
      <w:r>
        <w:rPr>
          <w:rFonts w:hint="eastAsia" w:ascii="宋体" w:hAnsi="宋体" w:eastAsia="宋体" w:cs="Times New Roman"/>
          <w:bCs/>
          <w:kern w:val="24"/>
          <w:szCs w:val="28"/>
          <w:lang w:val="en-US" w:eastAsia="zh-CN" w:bidi="ar-SA"/>
        </w:rPr>
        <w:t>.3</w:t>
      </w:r>
      <w:r>
        <w:rPr>
          <w:rFonts w:hint="eastAsia"/>
          <w:highlight w:val="none"/>
        </w:rPr>
        <w:t>项目培训</w:t>
      </w:r>
      <w:r>
        <w:tab/>
      </w:r>
      <w:r>
        <w:fldChar w:fldCharType="begin"/>
      </w:r>
      <w:r>
        <w:instrText xml:space="preserve"> PAGEREF _Toc19706 \h </w:instrText>
      </w:r>
      <w:r>
        <w:fldChar w:fldCharType="separate"/>
      </w:r>
      <w:r>
        <w:t>16</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_Toc15513 </w:instrText>
      </w:r>
      <w:r>
        <w:rPr>
          <w:rFonts w:ascii="宋体" w:hAnsi="宋体"/>
          <w:highlight w:val="none"/>
        </w:rPr>
        <w:fldChar w:fldCharType="separate"/>
      </w:r>
      <w:r>
        <w:rPr>
          <w:rFonts w:hint="eastAsia" w:cs="Times New Roman" w:asciiTheme="majorEastAsia" w:hAnsiTheme="majorEastAsia" w:eastAsiaTheme="majorEastAsia"/>
          <w:bCs w:val="0"/>
          <w:szCs w:val="32"/>
          <w:lang w:val="en-US" w:eastAsia="zh-CN" w:bidi="ar-SA"/>
        </w:rPr>
        <w:t>11</w:t>
      </w:r>
      <w:r>
        <w:rPr>
          <w:rFonts w:hint="eastAsia" w:cs="Times New Roman" w:asciiTheme="majorEastAsia" w:hAnsiTheme="majorEastAsia" w:eastAsiaTheme="majorEastAsia"/>
          <w:bCs w:val="0"/>
          <w:szCs w:val="32"/>
          <w:lang w:bidi="ar-SA"/>
        </w:rPr>
        <w:t>安全要求</w:t>
      </w:r>
      <w:r>
        <w:tab/>
      </w:r>
      <w:r>
        <w:fldChar w:fldCharType="begin"/>
      </w:r>
      <w:r>
        <w:instrText xml:space="preserve"> PAGEREF _Toc15513 \h </w:instrText>
      </w:r>
      <w:r>
        <w:fldChar w:fldCharType="separate"/>
      </w:r>
      <w:r>
        <w:t>16</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_Toc22425 </w:instrText>
      </w:r>
      <w:r>
        <w:rPr>
          <w:rFonts w:ascii="宋体" w:hAnsi="宋体"/>
          <w:highlight w:val="none"/>
        </w:rPr>
        <w:fldChar w:fldCharType="separate"/>
      </w:r>
      <w:r>
        <w:rPr>
          <w:rFonts w:hint="eastAsia" w:asciiTheme="majorEastAsia" w:hAnsiTheme="majorEastAsia" w:eastAsiaTheme="majorEastAsia"/>
          <w:bCs w:val="0"/>
          <w:szCs w:val="32"/>
          <w:lang w:val="en-US" w:eastAsia="zh-CN"/>
        </w:rPr>
        <w:t>12</w:t>
      </w:r>
      <w:r>
        <w:rPr>
          <w:rFonts w:hint="eastAsia" w:asciiTheme="majorEastAsia" w:hAnsiTheme="majorEastAsia" w:eastAsiaTheme="majorEastAsia"/>
          <w:bCs w:val="0"/>
          <w:szCs w:val="32"/>
          <w:highlight w:val="none"/>
          <w:lang w:val="en-US" w:eastAsia="zh-CN"/>
        </w:rPr>
        <w:t>保密</w:t>
      </w:r>
      <w:r>
        <w:rPr>
          <w:rFonts w:hint="eastAsia" w:asciiTheme="majorEastAsia" w:hAnsiTheme="majorEastAsia" w:eastAsiaTheme="majorEastAsia"/>
          <w:bCs w:val="0"/>
          <w:szCs w:val="32"/>
          <w:highlight w:val="none"/>
        </w:rPr>
        <w:t>要求</w:t>
      </w:r>
      <w:r>
        <w:tab/>
      </w:r>
      <w:r>
        <w:fldChar w:fldCharType="begin"/>
      </w:r>
      <w:r>
        <w:instrText xml:space="preserve"> PAGEREF _Toc22425 \h </w:instrText>
      </w:r>
      <w:r>
        <w:fldChar w:fldCharType="separate"/>
      </w:r>
      <w:r>
        <w:t>16</w:t>
      </w:r>
      <w:r>
        <w:fldChar w:fldCharType="end"/>
      </w:r>
      <w:r>
        <w:rPr>
          <w:rFonts w:ascii="宋体" w:hAnsi="宋体"/>
          <w:color w:val="auto"/>
          <w:highlight w:val="none"/>
        </w:rPr>
        <w:fldChar w:fldCharType="end"/>
      </w:r>
    </w:p>
    <w:p>
      <w:pPr>
        <w:pStyle w:val="21"/>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_Toc3950 </w:instrText>
      </w:r>
      <w:r>
        <w:rPr>
          <w:rFonts w:ascii="宋体" w:hAnsi="宋体"/>
          <w:highlight w:val="none"/>
        </w:rPr>
        <w:fldChar w:fldCharType="separate"/>
      </w:r>
      <w:r>
        <w:rPr>
          <w:rFonts w:hint="eastAsia" w:cs="Times New Roman" w:asciiTheme="majorEastAsia" w:hAnsiTheme="majorEastAsia" w:eastAsiaTheme="majorEastAsia"/>
          <w:bCs w:val="0"/>
          <w:szCs w:val="32"/>
          <w:lang w:val="en-US" w:eastAsia="zh-CN" w:bidi="ar-SA"/>
        </w:rPr>
        <w:t>13</w:t>
      </w:r>
      <w:r>
        <w:rPr>
          <w:rFonts w:hint="eastAsia" w:cs="Times New Roman" w:asciiTheme="majorEastAsia" w:hAnsiTheme="majorEastAsia" w:eastAsiaTheme="majorEastAsia"/>
          <w:bCs w:val="0"/>
          <w:szCs w:val="32"/>
          <w:highlight w:val="none"/>
          <w:lang w:val="en-US" w:eastAsia="zh-CN" w:bidi="ar-SA"/>
        </w:rPr>
        <w:t>知识产权要求</w:t>
      </w:r>
      <w:r>
        <w:tab/>
      </w:r>
      <w:r>
        <w:fldChar w:fldCharType="begin"/>
      </w:r>
      <w:r>
        <w:instrText xml:space="preserve"> PAGEREF _Toc3950 \h </w:instrText>
      </w:r>
      <w:r>
        <w:fldChar w:fldCharType="separate"/>
      </w:r>
      <w:r>
        <w:t>18</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_Toc14884 </w:instrText>
      </w:r>
      <w:r>
        <w:rPr>
          <w:rFonts w:ascii="宋体" w:hAnsi="宋体"/>
          <w:highlight w:val="none"/>
        </w:rPr>
        <w:fldChar w:fldCharType="separate"/>
      </w:r>
      <w:r>
        <w:rPr>
          <w:rFonts w:hint="eastAsia" w:ascii="宋体" w:hAnsi="宋体" w:eastAsia="宋体" w:cs="Times New Roman"/>
          <w:lang w:val="en-US" w:eastAsia="zh-CN"/>
        </w:rPr>
        <w:t>13.1</w:t>
      </w:r>
      <w:r>
        <w:rPr>
          <w:rFonts w:hint="eastAsia"/>
        </w:rPr>
        <w:t>权利保证与瑕疵担保</w:t>
      </w:r>
      <w:r>
        <w:tab/>
      </w:r>
      <w:r>
        <w:fldChar w:fldCharType="begin"/>
      </w:r>
      <w:r>
        <w:instrText xml:space="preserve"> PAGEREF _Toc14884 \h </w:instrText>
      </w:r>
      <w:r>
        <w:fldChar w:fldCharType="separate"/>
      </w:r>
      <w:r>
        <w:t>18</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_Toc15697 </w:instrText>
      </w:r>
      <w:r>
        <w:rPr>
          <w:rFonts w:ascii="宋体" w:hAnsi="宋体"/>
          <w:highlight w:val="none"/>
        </w:rPr>
        <w:fldChar w:fldCharType="separate"/>
      </w:r>
      <w:r>
        <w:rPr>
          <w:rFonts w:hint="eastAsia" w:ascii="宋体" w:hAnsi="宋体" w:eastAsia="宋体" w:cs="Times New Roman"/>
          <w:lang w:val="en-US" w:eastAsia="zh-CN"/>
        </w:rPr>
        <w:t>13.2</w:t>
      </w:r>
      <w:r>
        <w:rPr>
          <w:rFonts w:hint="eastAsia"/>
        </w:rPr>
        <w:t>已有知识产权的归属</w:t>
      </w:r>
      <w:r>
        <w:tab/>
      </w:r>
      <w:r>
        <w:fldChar w:fldCharType="begin"/>
      </w:r>
      <w:r>
        <w:instrText xml:space="preserve"> PAGEREF _Toc15697 \h </w:instrText>
      </w:r>
      <w:r>
        <w:fldChar w:fldCharType="separate"/>
      </w:r>
      <w:r>
        <w:t>19</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_Toc31758 </w:instrText>
      </w:r>
      <w:r>
        <w:rPr>
          <w:rFonts w:ascii="宋体" w:hAnsi="宋体"/>
          <w:highlight w:val="none"/>
        </w:rPr>
        <w:fldChar w:fldCharType="separate"/>
      </w:r>
      <w:r>
        <w:rPr>
          <w:rFonts w:hint="eastAsia" w:ascii="宋体" w:hAnsi="宋体" w:eastAsia="宋体" w:cs="Times New Roman"/>
          <w:lang w:val="en-US" w:eastAsia="zh-CN"/>
        </w:rPr>
        <w:t>13.3</w:t>
      </w:r>
      <w:r>
        <w:rPr>
          <w:rFonts w:hint="eastAsia"/>
        </w:rPr>
        <w:t>项目成果的知识产权归属</w:t>
      </w:r>
      <w:r>
        <w:tab/>
      </w:r>
      <w:r>
        <w:fldChar w:fldCharType="begin"/>
      </w:r>
      <w:r>
        <w:instrText xml:space="preserve"> PAGEREF _Toc31758 \h </w:instrText>
      </w:r>
      <w:r>
        <w:fldChar w:fldCharType="separate"/>
      </w:r>
      <w:r>
        <w:t>19</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_Toc12411 </w:instrText>
      </w:r>
      <w:r>
        <w:rPr>
          <w:rFonts w:ascii="宋体" w:hAnsi="宋体"/>
          <w:highlight w:val="none"/>
        </w:rPr>
        <w:fldChar w:fldCharType="separate"/>
      </w:r>
      <w:r>
        <w:rPr>
          <w:rFonts w:hint="eastAsia" w:ascii="宋体" w:hAnsi="宋体" w:eastAsia="宋体" w:cs="Times New Roman"/>
          <w:lang w:val="en-US" w:eastAsia="zh-CN"/>
        </w:rPr>
        <w:t>13.4</w:t>
      </w:r>
      <w:r>
        <w:rPr>
          <w:rFonts w:hint="eastAsia"/>
        </w:rPr>
        <w:t>项目成果的使用许可</w:t>
      </w:r>
      <w:r>
        <w:tab/>
      </w:r>
      <w:r>
        <w:fldChar w:fldCharType="begin"/>
      </w:r>
      <w:r>
        <w:instrText xml:space="preserve"> PAGEREF _Toc12411 \h </w:instrText>
      </w:r>
      <w:r>
        <w:fldChar w:fldCharType="separate"/>
      </w:r>
      <w:r>
        <w:t>19</w:t>
      </w:r>
      <w:r>
        <w:fldChar w:fldCharType="end"/>
      </w:r>
      <w:r>
        <w:rPr>
          <w:rFonts w:ascii="宋体" w:hAnsi="宋体"/>
          <w:color w:val="auto"/>
          <w:highlight w:val="none"/>
        </w:rPr>
        <w:fldChar w:fldCharType="end"/>
      </w:r>
    </w:p>
    <w:p>
      <w:pPr>
        <w:pStyle w:val="23"/>
        <w:tabs>
          <w:tab w:val="right" w:leader="dot" w:pos="8306"/>
          <w:tab w:val="clear" w:pos="8296"/>
        </w:tabs>
      </w:pPr>
      <w:r>
        <w:rPr>
          <w:rFonts w:ascii="宋体" w:hAnsi="宋体"/>
          <w:color w:val="auto"/>
          <w:highlight w:val="none"/>
        </w:rPr>
        <w:fldChar w:fldCharType="begin"/>
      </w:r>
      <w:r>
        <w:rPr>
          <w:rFonts w:ascii="宋体" w:hAnsi="宋体"/>
          <w:highlight w:val="none"/>
        </w:rPr>
        <w:instrText xml:space="preserve"> HYPERLINK \l _Toc9463 </w:instrText>
      </w:r>
      <w:r>
        <w:rPr>
          <w:rFonts w:ascii="宋体" w:hAnsi="宋体"/>
          <w:highlight w:val="none"/>
        </w:rPr>
        <w:fldChar w:fldCharType="separate"/>
      </w:r>
      <w:r>
        <w:rPr>
          <w:rFonts w:hint="eastAsia" w:ascii="宋体" w:hAnsi="宋体" w:eastAsia="宋体" w:cs="Times New Roman"/>
          <w:lang w:val="en-US" w:eastAsia="zh-CN"/>
        </w:rPr>
        <w:t>13.5</w:t>
      </w:r>
      <w:r>
        <w:rPr>
          <w:rFonts w:hint="eastAsia"/>
        </w:rPr>
        <w:t>合规使用与法律责任</w:t>
      </w:r>
      <w:r>
        <w:tab/>
      </w:r>
      <w:r>
        <w:fldChar w:fldCharType="begin"/>
      </w:r>
      <w:r>
        <w:instrText xml:space="preserve"> PAGEREF _Toc9463 \h </w:instrText>
      </w:r>
      <w:r>
        <w:fldChar w:fldCharType="separate"/>
      </w:r>
      <w:r>
        <w:t>19</w:t>
      </w:r>
      <w:r>
        <w:fldChar w:fldCharType="end"/>
      </w:r>
      <w:r>
        <w:rPr>
          <w:rFonts w:ascii="宋体" w:hAnsi="宋体"/>
          <w:color w:val="auto"/>
          <w:highlight w:val="none"/>
        </w:rPr>
        <w:fldChar w:fldCharType="end"/>
      </w:r>
    </w:p>
    <w:p>
      <w:pPr>
        <w:ind w:firstLine="0" w:firstLineChars="0"/>
        <w:rPr>
          <w:rFonts w:ascii="宋体" w:hAnsi="宋体"/>
          <w:color w:val="auto"/>
          <w:highlight w:val="none"/>
        </w:rPr>
        <w:sectPr>
          <w:headerReference r:id="rId11" w:type="default"/>
          <w:footerReference r:id="rId12" w:type="default"/>
          <w:pgSz w:w="11906" w:h="16838"/>
          <w:pgMar w:top="1440" w:right="1800" w:bottom="1440" w:left="1800" w:header="851" w:footer="992" w:gutter="0"/>
          <w:pgNumType w:fmt="upperRoman" w:start="1"/>
          <w:cols w:space="425" w:num="1"/>
          <w:docGrid w:type="lines" w:linePitch="312" w:charSpace="0"/>
        </w:sectPr>
      </w:pPr>
      <w:r>
        <w:rPr>
          <w:rFonts w:ascii="宋体" w:hAnsi="宋体"/>
          <w:color w:val="auto"/>
          <w:highlight w:val="none"/>
        </w:rPr>
        <w:fldChar w:fldCharType="end"/>
      </w:r>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10" w:name="_Toc357413124"/>
      <w:bookmarkStart w:id="11" w:name="_Toc13668"/>
      <w:bookmarkStart w:id="12" w:name="_Toc19363"/>
      <w:bookmarkStart w:id="13" w:name="_Toc3875"/>
      <w:bookmarkStart w:id="14" w:name="_Toc8"/>
      <w:bookmarkStart w:id="15" w:name="_Toc27993"/>
      <w:bookmarkStart w:id="16" w:name="_Toc28135"/>
      <w:bookmarkStart w:id="17" w:name="_Toc4964"/>
      <w:bookmarkStart w:id="18" w:name="_Toc10063"/>
      <w:bookmarkStart w:id="19" w:name="_Toc7537"/>
      <w:bookmarkStart w:id="20" w:name="_Toc14562"/>
      <w:bookmarkStart w:id="21" w:name="_Toc22291"/>
      <w:bookmarkStart w:id="22" w:name="_Toc10312"/>
      <w:bookmarkStart w:id="23" w:name="_Toc17531"/>
      <w:bookmarkStart w:id="24" w:name="_Toc16838"/>
      <w:bookmarkStart w:id="25" w:name="_Toc24194"/>
      <w:bookmarkStart w:id="26" w:name="_Toc25580519"/>
      <w:bookmarkStart w:id="27" w:name="_Toc4288"/>
      <w:bookmarkStart w:id="28" w:name="_Toc12598"/>
      <w:bookmarkStart w:id="29" w:name="_Toc22581"/>
      <w:bookmarkStart w:id="30" w:name="_Toc25974"/>
      <w:bookmarkStart w:id="31" w:name="_Toc15674"/>
      <w:bookmarkStart w:id="32" w:name="_Toc9111"/>
      <w:r>
        <w:rPr>
          <w:rFonts w:hint="eastAsia" w:cs="Times New Roman" w:asciiTheme="majorEastAsia" w:hAnsiTheme="majorEastAsia" w:eastAsiaTheme="majorEastAsia"/>
          <w:b/>
          <w:bCs w:val="0"/>
          <w:color w:val="auto"/>
          <w:kern w:val="24"/>
          <w:sz w:val="32"/>
          <w:szCs w:val="32"/>
          <w:lang w:val="en-US" w:eastAsia="zh-CN" w:bidi="ar-SA"/>
        </w:rPr>
        <w:t>1</w:t>
      </w:r>
      <w:r>
        <w:rPr>
          <w:rFonts w:hint="eastAsia" w:asciiTheme="majorEastAsia" w:hAnsiTheme="majorEastAsia" w:eastAsiaTheme="majorEastAsia"/>
          <w:b/>
          <w:bCs w:val="0"/>
          <w:color w:val="auto"/>
          <w:sz w:val="32"/>
          <w:szCs w:val="32"/>
          <w:highlight w:val="none"/>
        </w:rPr>
        <w:t>项目</w:t>
      </w:r>
      <w:bookmarkEnd w:id="10"/>
      <w:r>
        <w:rPr>
          <w:rFonts w:hint="eastAsia" w:asciiTheme="majorEastAsia" w:hAnsiTheme="majorEastAsia" w:eastAsiaTheme="majorEastAsia"/>
          <w:b/>
          <w:bCs w:val="0"/>
          <w:color w:val="auto"/>
          <w:sz w:val="32"/>
          <w:szCs w:val="32"/>
          <w:highlight w:val="none"/>
        </w:rPr>
        <w:t>描述</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4"/>
        <w:keepNext/>
        <w:numPr>
          <w:ilvl w:val="1"/>
          <w:numId w:val="0"/>
        </w:numPr>
        <w:spacing w:before="120" w:beforeAutospacing="0" w:after="120" w:afterAutospacing="0"/>
        <w:rPr>
          <w:rFonts w:asciiTheme="majorEastAsia" w:hAnsiTheme="majorEastAsia" w:eastAsiaTheme="majorEastAsia"/>
          <w:color w:val="auto"/>
          <w:sz w:val="30"/>
          <w:szCs w:val="30"/>
          <w:highlight w:val="none"/>
        </w:rPr>
      </w:pPr>
      <w:bookmarkStart w:id="33" w:name="_Toc14836"/>
      <w:bookmarkStart w:id="34" w:name="_Toc8668"/>
      <w:bookmarkStart w:id="35" w:name="_Toc27294"/>
      <w:bookmarkStart w:id="36" w:name="_Toc11361"/>
      <w:bookmarkStart w:id="37" w:name="_Toc20510"/>
      <w:bookmarkStart w:id="38" w:name="_Toc45"/>
      <w:bookmarkStart w:id="39" w:name="_Toc25580520"/>
      <w:bookmarkStart w:id="40" w:name="_Toc19346"/>
      <w:bookmarkStart w:id="41" w:name="_Toc29785"/>
      <w:bookmarkStart w:id="42" w:name="_Toc28542"/>
      <w:bookmarkStart w:id="43" w:name="_Toc19172"/>
      <w:bookmarkStart w:id="44" w:name="_Toc21018"/>
      <w:bookmarkStart w:id="45" w:name="_Toc28713"/>
      <w:bookmarkStart w:id="46" w:name="_Toc9649"/>
      <w:bookmarkStart w:id="47" w:name="_Toc3083"/>
      <w:bookmarkStart w:id="48" w:name="_Toc16461"/>
      <w:bookmarkStart w:id="49" w:name="_Toc30889"/>
      <w:bookmarkStart w:id="50" w:name="_Toc22738"/>
      <w:bookmarkStart w:id="51" w:name="_Toc489880622"/>
      <w:bookmarkStart w:id="52" w:name="_Toc27461"/>
      <w:bookmarkStart w:id="53" w:name="_Toc20669"/>
      <w:bookmarkStart w:id="54" w:name="_Toc2615"/>
      <w:bookmarkStart w:id="55" w:name="_Toc11432"/>
      <w:r>
        <w:rPr>
          <w:rFonts w:hint="eastAsia" w:cs="Times New Roman" w:asciiTheme="majorEastAsia" w:hAnsiTheme="majorEastAsia" w:eastAsiaTheme="majorEastAsia"/>
          <w:b/>
          <w:bCs/>
          <w:color w:val="auto"/>
          <w:kern w:val="24"/>
          <w:sz w:val="30"/>
          <w:szCs w:val="30"/>
          <w:lang w:val="en-US" w:eastAsia="zh-CN" w:bidi="ar-SA"/>
        </w:rPr>
        <w:t>1.1</w:t>
      </w:r>
      <w:r>
        <w:rPr>
          <w:rFonts w:hint="eastAsia" w:asciiTheme="majorEastAsia" w:hAnsiTheme="majorEastAsia" w:eastAsiaTheme="majorEastAsia"/>
          <w:color w:val="auto"/>
          <w:sz w:val="30"/>
          <w:szCs w:val="30"/>
          <w:highlight w:val="none"/>
        </w:rPr>
        <w:t>项目背景</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pPr>
        <w:ind w:firstLine="480"/>
        <w:outlineLvl w:val="9"/>
        <w:rPr>
          <w:rFonts w:hint="eastAsia" w:ascii="宋体" w:hAnsi="宋体" w:cs="宋体"/>
          <w:color w:val="auto"/>
          <w:highlight w:val="none"/>
        </w:rPr>
      </w:pPr>
      <w:bookmarkStart w:id="56" w:name="_Hlk160631607"/>
      <w:r>
        <w:rPr>
          <w:rFonts w:hint="eastAsia" w:ascii="宋体" w:hAnsi="宋体" w:cs="宋体"/>
          <w:color w:val="auto"/>
          <w:highlight w:val="none"/>
          <w:lang w:val="en-US" w:eastAsia="zh-CN"/>
        </w:rPr>
        <w:t>数字化转型和数字电网建设，是南方电网公司深入贯彻落实习近平总书记网络强国思想和建设数字中国的重要指示精神的具体内容，是公司把握新一轮科技革命和产业变革新机遇的战略选择，是推动公司转型和高质量发展、建设具有全球竞争力的世界一流企业的重大举措。公司“十四五”数字化规划提出，要按照“巩固、完善、提升、发展”的总体策略，把数字技术作为核心生产力，数据作为关键生产要素，遵循“中台化”技术路线，构建场景化应用，实现数字电网、数字运营、数字服务、数字产业，推动电网向安全、可靠、绿色、高效、智能转型升级。</w:t>
      </w:r>
    </w:p>
    <w:p>
      <w:pPr>
        <w:ind w:firstLine="480"/>
        <w:rPr>
          <w:color w:val="auto"/>
          <w:highlight w:val="none"/>
        </w:rPr>
      </w:pPr>
      <w:r>
        <w:rPr>
          <w:rFonts w:hint="eastAsia"/>
          <w:highlight w:val="none"/>
          <w:lang w:val="en-US" w:eastAsia="zh-CN"/>
        </w:rPr>
        <w:t>公司</w:t>
      </w:r>
      <w:r>
        <w:rPr>
          <w:rFonts w:hint="eastAsia"/>
        </w:rPr>
        <w:t>云盾平台、供应链安全平台、统一密码服务平台、安全中台、身份认证系统</w:t>
      </w:r>
      <w:r>
        <w:rPr>
          <w:rFonts w:hint="eastAsia"/>
          <w:lang w:eastAsia="zh-CN"/>
        </w:rPr>
        <w:t>、电网管理平台、数字化技术平台、移动应用平台、数字化中台、物联网平台、云景、南网云（公有云）、云化数据中心、云化数据中心灾备系统（同城异地容灾自主可控数据库高可用升级改造）</w:t>
      </w:r>
      <w:r>
        <w:rPr>
          <w:rFonts w:hint="eastAsia"/>
          <w:highlight w:val="none"/>
        </w:rPr>
        <w:t>及其他待建设的信息化系统</w:t>
      </w:r>
      <w:r>
        <w:rPr>
          <w:rFonts w:hint="eastAsia"/>
          <w:highlight w:val="none"/>
          <w:lang w:val="en-US" w:eastAsia="zh-CN"/>
        </w:rPr>
        <w:t>等作为</w:t>
      </w:r>
      <w:r>
        <w:rPr>
          <w:rFonts w:hint="eastAsia"/>
          <w:highlight w:val="none"/>
        </w:rPr>
        <w:t>公司</w:t>
      </w:r>
      <w:r>
        <w:rPr>
          <w:rFonts w:hint="eastAsia"/>
          <w:highlight w:val="none"/>
          <w:lang w:eastAsia="zh-CN"/>
        </w:rPr>
        <w:t>数字化转型和数字电网建设方案的</w:t>
      </w:r>
      <w:r>
        <w:rPr>
          <w:rFonts w:hint="eastAsia"/>
          <w:highlight w:val="none"/>
          <w:lang w:val="en-US" w:eastAsia="zh-CN"/>
        </w:rPr>
        <w:t>重要</w:t>
      </w:r>
      <w:r>
        <w:rPr>
          <w:rFonts w:hint="eastAsia"/>
          <w:highlight w:val="none"/>
          <w:lang w:eastAsia="zh-CN"/>
        </w:rPr>
        <w:t>技术路线，</w:t>
      </w:r>
      <w:r>
        <w:rPr>
          <w:rFonts w:hint="eastAsia"/>
          <w:highlight w:val="none"/>
        </w:rPr>
        <w:t>是公司贯彻落实党中央提出的数字中国战略的重要实践</w:t>
      </w:r>
      <w:r>
        <w:rPr>
          <w:rFonts w:hint="eastAsia"/>
          <w:highlight w:val="none"/>
          <w:lang w:eastAsia="zh-CN"/>
        </w:rPr>
        <w:t>。</w:t>
      </w:r>
      <w:r>
        <w:rPr>
          <w:rFonts w:hint="eastAsia" w:ascii="仿宋_GB2312" w:hAnsi="仿宋"/>
          <w:highlight w:val="none"/>
        </w:rPr>
        <w:t>随着</w:t>
      </w:r>
      <w:r>
        <w:rPr>
          <w:rFonts w:hint="eastAsia"/>
          <w:highlight w:val="none"/>
          <w:lang w:eastAsia="zh-Hans"/>
        </w:rPr>
        <w:t>202</w:t>
      </w:r>
      <w:r>
        <w:rPr>
          <w:rFonts w:hint="eastAsia"/>
          <w:highlight w:val="none"/>
          <w:lang w:val="en-US" w:eastAsia="zh-CN"/>
        </w:rPr>
        <w:t>6</w:t>
      </w:r>
      <w:r>
        <w:rPr>
          <w:rFonts w:hint="eastAsia"/>
          <w:highlight w:val="none"/>
          <w:lang w:eastAsia="zh-Hans"/>
        </w:rPr>
        <w:t>年</w:t>
      </w:r>
      <w:r>
        <w:rPr>
          <w:rFonts w:hint="eastAsia"/>
          <w:highlight w:val="none"/>
          <w:lang w:val="en-US" w:eastAsia="zh-CN"/>
        </w:rPr>
        <w:t>公司在电网全环节数字化建设的进一步深化，公司各级关键平台</w:t>
      </w:r>
      <w:r>
        <w:rPr>
          <w:rFonts w:hint="eastAsia" w:ascii="仿宋_GB2312" w:hAnsi="仿宋"/>
          <w:highlight w:val="none"/>
          <w:lang w:eastAsia="zh-Hans"/>
        </w:rPr>
        <w:t>及其他待建设的信息化系统</w:t>
      </w:r>
      <w:r>
        <w:rPr>
          <w:rFonts w:hint="eastAsia" w:ascii="仿宋_GB2312" w:hAnsi="仿宋"/>
          <w:highlight w:val="none"/>
          <w:lang w:val="en-US" w:eastAsia="zh-CN"/>
        </w:rPr>
        <w:t>对关系型数据库</w:t>
      </w:r>
      <w:r>
        <w:rPr>
          <w:rFonts w:hint="eastAsia" w:ascii="仿宋_GB2312" w:hAnsi="仿宋"/>
          <w:highlight w:val="none"/>
          <w:lang w:eastAsia="zh-Hans"/>
        </w:rPr>
        <w:t>需求日益增加</w:t>
      </w:r>
      <w:r>
        <w:rPr>
          <w:rFonts w:ascii="仿宋_GB2312" w:hAnsi="仿宋"/>
          <w:highlight w:val="none"/>
          <w:lang w:eastAsia="zh-Hans"/>
        </w:rPr>
        <w:t>，</w:t>
      </w:r>
      <w:r>
        <w:rPr>
          <w:rFonts w:hint="eastAsia" w:ascii="仿宋_GB2312" w:hAnsi="仿宋"/>
          <w:highlight w:val="none"/>
        </w:rPr>
        <w:t>为满足系统建设需求，</w:t>
      </w:r>
      <w:r>
        <w:rPr>
          <w:rFonts w:hint="eastAsia"/>
          <w:highlight w:val="none"/>
        </w:rPr>
        <w:t>需</w:t>
      </w:r>
      <w:r>
        <w:rPr>
          <w:rFonts w:hint="eastAsia"/>
          <w:highlight w:val="none"/>
          <w:lang w:val="en-US" w:eastAsia="zh-CN"/>
        </w:rPr>
        <w:t>继续</w:t>
      </w:r>
      <w:r>
        <w:rPr>
          <w:rFonts w:hint="eastAsia"/>
          <w:highlight w:val="none"/>
        </w:rPr>
        <w:t>开展相关业务系统中</w:t>
      </w:r>
      <w:r>
        <w:rPr>
          <w:rFonts w:hint="eastAsia"/>
          <w:highlight w:val="none"/>
          <w:lang w:eastAsia="zh-CN"/>
        </w:rPr>
        <w:t>关系型</w:t>
      </w:r>
      <w:r>
        <w:rPr>
          <w:rFonts w:hint="eastAsia" w:ascii="仿宋_GB2312" w:hAnsi="仿宋"/>
          <w:highlight w:val="none"/>
          <w:lang w:val="en-US" w:eastAsia="zh-CN"/>
        </w:rPr>
        <w:t>数据库</w:t>
      </w:r>
      <w:r>
        <w:rPr>
          <w:rFonts w:hint="eastAsia"/>
          <w:highlight w:val="none"/>
        </w:rPr>
        <w:t>采购</w:t>
      </w:r>
      <w:r>
        <w:rPr>
          <w:rFonts w:hint="eastAsia"/>
          <w:highlight w:val="none"/>
          <w:lang w:eastAsia="zh-CN"/>
        </w:rPr>
        <w:t>。</w:t>
      </w:r>
    </w:p>
    <w:bookmarkEnd w:id="56"/>
    <w:p>
      <w:pPr>
        <w:pStyle w:val="4"/>
        <w:keepNext/>
        <w:numPr>
          <w:ilvl w:val="1"/>
          <w:numId w:val="0"/>
        </w:numPr>
        <w:spacing w:before="120" w:beforeAutospacing="0" w:after="120" w:afterAutospacing="0"/>
        <w:rPr>
          <w:rFonts w:asciiTheme="majorEastAsia" w:hAnsiTheme="majorEastAsia" w:eastAsiaTheme="majorEastAsia"/>
          <w:color w:val="auto"/>
          <w:sz w:val="30"/>
          <w:szCs w:val="30"/>
          <w:highlight w:val="none"/>
        </w:rPr>
      </w:pPr>
      <w:bookmarkStart w:id="57" w:name="_Toc32389"/>
      <w:bookmarkStart w:id="58" w:name="_Toc29966"/>
      <w:bookmarkStart w:id="59" w:name="_Toc609"/>
      <w:bookmarkStart w:id="60" w:name="_Toc12851"/>
      <w:bookmarkStart w:id="61" w:name="_Toc31488"/>
      <w:bookmarkStart w:id="62" w:name="_Toc14252"/>
      <w:bookmarkStart w:id="63" w:name="_Toc22992"/>
      <w:bookmarkStart w:id="64" w:name="_Toc24850"/>
      <w:bookmarkStart w:id="65" w:name="_Toc30378"/>
      <w:bookmarkStart w:id="66" w:name="_Toc489880624"/>
      <w:bookmarkStart w:id="67" w:name="_Toc30625"/>
      <w:bookmarkStart w:id="68" w:name="_Toc29550"/>
      <w:bookmarkStart w:id="69" w:name="_Toc27190"/>
      <w:bookmarkStart w:id="70" w:name="_Toc12537"/>
      <w:bookmarkStart w:id="71" w:name="_Toc4395"/>
      <w:bookmarkStart w:id="72" w:name="_Toc19709"/>
      <w:bookmarkStart w:id="73" w:name="_Toc25681"/>
      <w:bookmarkStart w:id="74" w:name="_Toc2028"/>
      <w:bookmarkStart w:id="75" w:name="_Toc25580523"/>
      <w:bookmarkStart w:id="76" w:name="_Toc16115"/>
      <w:bookmarkStart w:id="77" w:name="_Toc14066"/>
      <w:bookmarkStart w:id="78" w:name="_Toc22211"/>
      <w:bookmarkStart w:id="79" w:name="_Toc19042"/>
      <w:r>
        <w:rPr>
          <w:rFonts w:hint="eastAsia" w:cs="Times New Roman" w:asciiTheme="majorEastAsia" w:hAnsiTheme="majorEastAsia" w:eastAsiaTheme="majorEastAsia"/>
          <w:b/>
          <w:bCs/>
          <w:color w:val="auto"/>
          <w:kern w:val="24"/>
          <w:sz w:val="30"/>
          <w:szCs w:val="30"/>
          <w:lang w:val="en-US" w:eastAsia="zh-CN" w:bidi="ar-SA"/>
        </w:rPr>
        <w:t>1.2</w:t>
      </w:r>
      <w:r>
        <w:rPr>
          <w:rFonts w:hint="eastAsia" w:asciiTheme="majorEastAsia" w:hAnsiTheme="majorEastAsia" w:eastAsiaTheme="majorEastAsia"/>
          <w:color w:val="auto"/>
          <w:sz w:val="30"/>
          <w:szCs w:val="30"/>
          <w:highlight w:val="none"/>
        </w:rPr>
        <w:t>项目目标</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pPr>
        <w:ind w:firstLine="480"/>
        <w:rPr>
          <w:color w:val="auto"/>
          <w:highlight w:val="none"/>
        </w:rPr>
      </w:pPr>
      <w:bookmarkStart w:id="80" w:name="_Toc10906"/>
      <w:bookmarkStart w:id="81" w:name="_Toc4568"/>
      <w:bookmarkStart w:id="82" w:name="_Toc31433"/>
      <w:bookmarkStart w:id="83" w:name="_Toc21347"/>
      <w:bookmarkStart w:id="84" w:name="_Toc1524"/>
      <w:bookmarkStart w:id="85" w:name="_Toc4814"/>
      <w:bookmarkStart w:id="86" w:name="_Toc22454"/>
      <w:bookmarkStart w:id="87" w:name="_Toc30157"/>
      <w:bookmarkStart w:id="88" w:name="_Toc22273"/>
      <w:r>
        <w:rPr>
          <w:rFonts w:hint="eastAsia"/>
          <w:color w:val="auto"/>
          <w:highlight w:val="none"/>
        </w:rPr>
        <w:t>本项目建设遵循公司数字化转型和数字电网建设方案的技术路线要求，通过增加关系型（集中式）数据库采购，逐步建立起大型信息系统应用关系型（集中式）数据库使用生态，有力支撑公司云盾平台、供应链安全平台、统一密码服务平台、安全中台、身份认证系统、电网管理平台、数字化技术平台、移动应用平台、数字化中台、物联网平台、云景、南网云（公有云）、云化数据中心、云化数据中心灾备系统（同城异地容灾自主可控数据库高可用升级改造）及其他待建设的信息化系统建设需求，满足用户安全高效使用系统要求，持续提升公司自主可控能力和整体解决方案能力。</w:t>
      </w:r>
    </w:p>
    <w:bookmarkEnd w:id="80"/>
    <w:bookmarkEnd w:id="81"/>
    <w:bookmarkEnd w:id="82"/>
    <w:bookmarkEnd w:id="83"/>
    <w:bookmarkEnd w:id="84"/>
    <w:bookmarkEnd w:id="85"/>
    <w:bookmarkEnd w:id="86"/>
    <w:bookmarkEnd w:id="87"/>
    <w:bookmarkEnd w:id="88"/>
    <w:p>
      <w:pPr>
        <w:pStyle w:val="2"/>
        <w:ind w:firstLine="480"/>
        <w:rPr>
          <w:color w:val="auto"/>
          <w:highlight w:val="none"/>
        </w:rPr>
      </w:pPr>
      <w:r>
        <w:rPr>
          <w:color w:val="auto"/>
          <w:highlight w:val="none"/>
        </w:rPr>
        <w:br w:type="page"/>
      </w:r>
    </w:p>
    <w:p>
      <w:pPr>
        <w:pStyle w:val="4"/>
        <w:keepNext/>
        <w:numPr>
          <w:ilvl w:val="1"/>
          <w:numId w:val="0"/>
        </w:numPr>
        <w:spacing w:before="120" w:beforeAutospacing="0" w:after="120" w:afterAutospacing="0"/>
        <w:rPr>
          <w:rFonts w:hint="eastAsia" w:cs="Times New Roman" w:asciiTheme="majorEastAsia" w:hAnsiTheme="majorEastAsia" w:eastAsiaTheme="majorEastAsia"/>
          <w:b/>
          <w:bCs/>
          <w:color w:val="auto"/>
          <w:kern w:val="24"/>
          <w:sz w:val="30"/>
          <w:szCs w:val="30"/>
          <w:lang w:val="en-US" w:eastAsia="zh-CN" w:bidi="ar-SA"/>
        </w:rPr>
      </w:pPr>
      <w:bookmarkStart w:id="89" w:name="_Toc17271"/>
      <w:bookmarkStart w:id="90" w:name="_Toc26503"/>
      <w:bookmarkStart w:id="91" w:name="_Toc16955"/>
      <w:bookmarkStart w:id="92" w:name="_Toc2720"/>
      <w:bookmarkStart w:id="93" w:name="_Toc25580525"/>
      <w:bookmarkStart w:id="94" w:name="_Toc18083"/>
      <w:bookmarkStart w:id="95" w:name="_Toc9190"/>
      <w:bookmarkStart w:id="96" w:name="_Toc24894"/>
      <w:bookmarkStart w:id="97" w:name="_Toc2467"/>
      <w:bookmarkStart w:id="98" w:name="_Toc12409"/>
      <w:bookmarkStart w:id="99" w:name="_Toc4757"/>
      <w:bookmarkStart w:id="100" w:name="_Toc1137"/>
      <w:bookmarkStart w:id="101" w:name="_Toc489880623"/>
      <w:bookmarkStart w:id="102" w:name="_Toc13350"/>
      <w:bookmarkStart w:id="103" w:name="_Toc7487"/>
      <w:bookmarkStart w:id="104" w:name="_Toc26978"/>
      <w:bookmarkStart w:id="105" w:name="_Toc30780"/>
      <w:bookmarkStart w:id="106" w:name="_Toc30453"/>
      <w:bookmarkStart w:id="107" w:name="_Toc31286"/>
      <w:bookmarkStart w:id="108" w:name="_Toc2308"/>
      <w:bookmarkStart w:id="109" w:name="_Toc11814"/>
      <w:bookmarkStart w:id="110" w:name="_Toc22609"/>
      <w:bookmarkStart w:id="111" w:name="_Toc5099"/>
      <w:r>
        <w:rPr>
          <w:rFonts w:hint="eastAsia" w:cs="Times New Roman" w:asciiTheme="majorEastAsia" w:hAnsiTheme="majorEastAsia" w:eastAsiaTheme="majorEastAsia"/>
          <w:b/>
          <w:bCs/>
          <w:color w:val="auto"/>
          <w:kern w:val="24"/>
          <w:sz w:val="30"/>
          <w:szCs w:val="30"/>
          <w:lang w:val="en-US" w:eastAsia="zh-CN" w:bidi="ar-SA"/>
        </w:rPr>
        <w:t>1.3</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Start w:id="112" w:name="_Toc23094"/>
      <w:bookmarkStart w:id="113" w:name="_Toc1"/>
      <w:bookmarkStart w:id="114" w:name="_Toc25580541"/>
      <w:bookmarkStart w:id="115" w:name="_Toc26688"/>
      <w:bookmarkStart w:id="116" w:name="_Toc28744"/>
      <w:bookmarkStart w:id="117" w:name="_Toc15404"/>
      <w:bookmarkStart w:id="118" w:name="_Toc17936"/>
      <w:bookmarkStart w:id="119" w:name="_Toc17689"/>
      <w:bookmarkStart w:id="120" w:name="_Toc1485"/>
      <w:bookmarkStart w:id="121" w:name="_Toc17216"/>
      <w:bookmarkStart w:id="122" w:name="_Toc340242292"/>
      <w:bookmarkStart w:id="123" w:name="_Toc1789"/>
      <w:bookmarkStart w:id="124" w:name="_Toc13923"/>
      <w:bookmarkStart w:id="125" w:name="_Toc2157"/>
      <w:bookmarkStart w:id="126" w:name="_Toc12129"/>
      <w:bookmarkStart w:id="127" w:name="_Toc18408"/>
      <w:bookmarkStart w:id="128" w:name="_Toc12093"/>
      <w:bookmarkStart w:id="129" w:name="_Toc10488"/>
      <w:bookmarkStart w:id="130" w:name="_Toc1069"/>
      <w:bookmarkStart w:id="131" w:name="_Toc25702"/>
      <w:bookmarkStart w:id="132" w:name="_Toc10232"/>
      <w:r>
        <w:rPr>
          <w:rFonts w:hint="eastAsia" w:cs="Times New Roman" w:asciiTheme="majorEastAsia" w:hAnsiTheme="majorEastAsia" w:eastAsiaTheme="majorEastAsia"/>
          <w:b/>
          <w:bCs/>
          <w:color w:val="auto"/>
          <w:kern w:val="24"/>
          <w:sz w:val="30"/>
          <w:szCs w:val="30"/>
          <w:lang w:val="en-US" w:eastAsia="zh-CN" w:bidi="ar-SA"/>
        </w:rPr>
        <w:t>服务期限</w:t>
      </w:r>
      <w:bookmarkEnd w:id="109"/>
      <w:bookmarkEnd w:id="110"/>
      <w:bookmarkEnd w:id="111"/>
      <w:bookmarkEnd w:id="112"/>
    </w:p>
    <w:p>
      <w:pPr>
        <w:ind w:firstLine="480"/>
        <w:rPr>
          <w:rFonts w:hint="eastAsia"/>
          <w:lang w:val="en-US" w:eastAsia="zh-CN"/>
        </w:rPr>
      </w:pPr>
      <w:r>
        <w:rPr>
          <w:rFonts w:hint="eastAsia"/>
          <w:color w:val="auto"/>
          <w:highlight w:val="none"/>
        </w:rPr>
        <w:t>本技术规范书项目内容及要求中，标注“</w:t>
      </w:r>
      <w:r>
        <w:rPr>
          <w:rFonts w:hint="eastAsia"/>
          <w:color w:val="auto"/>
          <w:highlight w:val="none"/>
          <w:lang w:val="en-US" w:eastAsia="zh-CN"/>
        </w:rPr>
        <w:t>*</w:t>
      </w:r>
      <w:r>
        <w:rPr>
          <w:rFonts w:hint="eastAsia"/>
          <w:color w:val="auto"/>
          <w:highlight w:val="none"/>
        </w:rPr>
        <w:t>”的条款为</w:t>
      </w:r>
      <w:r>
        <w:rPr>
          <w:rFonts w:hint="eastAsia"/>
          <w:color w:val="auto"/>
          <w:highlight w:val="none"/>
          <w:lang w:val="en-US" w:eastAsia="zh-CN"/>
        </w:rPr>
        <w:t>废标</w:t>
      </w:r>
      <w:r>
        <w:rPr>
          <w:rFonts w:hint="eastAsia"/>
          <w:color w:val="auto"/>
          <w:highlight w:val="none"/>
        </w:rPr>
        <w:t>条款</w:t>
      </w:r>
      <w:r>
        <w:rPr>
          <w:rFonts w:hint="eastAsia"/>
          <w:color w:val="auto"/>
          <w:highlight w:val="none"/>
          <w:lang w:eastAsia="zh-CN"/>
        </w:rPr>
        <w:t>；</w:t>
      </w:r>
      <w:r>
        <w:rPr>
          <w:rFonts w:hint="eastAsia"/>
          <w:color w:val="auto"/>
          <w:highlight w:val="none"/>
        </w:rPr>
        <w:t>标注“★”的条款为关键条款，作为评标时打分的重点参考。</w:t>
      </w:r>
    </w:p>
    <w:p>
      <w:pPr>
        <w:pStyle w:val="2"/>
        <w:rPr>
          <w:rFonts w:hint="eastAsia" w:eastAsia="宋体"/>
          <w:color w:val="auto"/>
          <w:highlight w:val="none"/>
          <w:lang w:eastAsia="zh-CN"/>
        </w:rPr>
      </w:pPr>
      <w:r>
        <w:rPr>
          <w:rFonts w:hint="eastAsia" w:asciiTheme="minorEastAsia" w:hAnsiTheme="minorEastAsia" w:eastAsiaTheme="minorEastAsia"/>
          <w:color w:val="auto"/>
          <w:sz w:val="24"/>
          <w:szCs w:val="24"/>
          <w:highlight w:val="none"/>
          <w:lang w:val="en-US" w:eastAsia="zh-CN"/>
        </w:rPr>
        <w:t>*</w:t>
      </w:r>
      <w:r>
        <w:rPr>
          <w:rFonts w:hint="eastAsia" w:eastAsia="宋体"/>
          <w:color w:val="auto"/>
          <w:highlight w:val="none"/>
        </w:rPr>
        <w:t>在项目建设阶段，从签订合同起，1个月</w:t>
      </w:r>
      <w:r>
        <w:rPr>
          <w:rFonts w:hint="eastAsia" w:eastAsia="宋体"/>
          <w:color w:val="auto"/>
          <w:highlight w:val="none"/>
          <w:lang w:val="en-US" w:eastAsia="zh-CN"/>
        </w:rPr>
        <w:t>内</w:t>
      </w:r>
      <w:r>
        <w:rPr>
          <w:rFonts w:hint="eastAsia" w:eastAsia="宋体"/>
          <w:color w:val="auto"/>
          <w:highlight w:val="none"/>
        </w:rPr>
        <w:t>完成供货，</w:t>
      </w:r>
      <w:r>
        <w:rPr>
          <w:rFonts w:hint="eastAsia"/>
          <w:color w:val="auto"/>
          <w:highlight w:val="none"/>
          <w:lang w:val="en-US" w:eastAsia="zh-CN"/>
        </w:rPr>
        <w:t>完成竣工验收后</w:t>
      </w:r>
      <w:r>
        <w:rPr>
          <w:rFonts w:hint="eastAsia" w:eastAsia="宋体"/>
          <w:color w:val="auto"/>
          <w:highlight w:val="none"/>
        </w:rPr>
        <w:t>，</w:t>
      </w:r>
      <w:r>
        <w:rPr>
          <w:rFonts w:hint="eastAsia"/>
          <w:color w:val="auto"/>
          <w:highlight w:val="none"/>
          <w:lang w:val="en-US" w:eastAsia="zh-CN"/>
        </w:rPr>
        <w:t>根据实际验收时间开始算质保期，</w:t>
      </w:r>
      <w:r>
        <w:rPr>
          <w:rFonts w:hint="eastAsia" w:eastAsia="宋体"/>
          <w:color w:val="auto"/>
          <w:highlight w:val="none"/>
        </w:rPr>
        <w:t>买方享有软件产品保修的权利，</w:t>
      </w:r>
      <w:r>
        <w:rPr>
          <w:rFonts w:hint="eastAsia" w:ascii="宋体" w:hAnsi="宋体" w:eastAsia="宋体"/>
          <w:color w:val="auto"/>
          <w:highlight w:val="none"/>
          <w:lang w:bidi="ar"/>
        </w:rPr>
        <w:t>提供为期</w:t>
      </w:r>
      <w:r>
        <w:rPr>
          <w:rFonts w:hint="eastAsia" w:ascii="宋体" w:hAnsi="宋体" w:eastAsia="宋体"/>
          <w:color w:val="auto"/>
          <w:highlight w:val="none"/>
          <w:lang w:val="en-US" w:eastAsia="zh-CN" w:bidi="ar"/>
        </w:rPr>
        <w:t>三</w:t>
      </w:r>
      <w:r>
        <w:rPr>
          <w:rFonts w:hint="eastAsia" w:ascii="宋体" w:hAnsi="宋体" w:eastAsia="宋体"/>
          <w:color w:val="auto"/>
          <w:highlight w:val="none"/>
          <w:lang w:bidi="ar"/>
        </w:rPr>
        <w:t>年的质量保证期</w:t>
      </w:r>
      <w:r>
        <w:rPr>
          <w:rFonts w:hint="eastAsia" w:ascii="宋体" w:hAnsi="宋体" w:eastAsia="宋体"/>
          <w:color w:val="auto"/>
          <w:highlight w:val="none"/>
          <w:lang w:val="en-US" w:eastAsia="zh-CN" w:bidi="ar"/>
        </w:rPr>
        <w:t>及</w:t>
      </w:r>
      <w:r>
        <w:rPr>
          <w:rFonts w:hint="eastAsia" w:ascii="宋体" w:hAnsi="宋体" w:eastAsia="宋体"/>
          <w:color w:val="auto"/>
          <w:highlight w:val="none"/>
          <w:lang w:bidi="ar"/>
        </w:rPr>
        <w:t>7X24小时原厂技术支持服务</w:t>
      </w:r>
      <w:r>
        <w:rPr>
          <w:rFonts w:hint="eastAsia" w:eastAsia="宋体"/>
          <w:color w:val="auto"/>
          <w:highlight w:val="none"/>
        </w:rPr>
        <w:t>，卖方负责在该期间内免费修复或更换软件中任何有运行或计算等错误的部分</w:t>
      </w:r>
      <w:r>
        <w:rPr>
          <w:rFonts w:hint="eastAsia" w:eastAsia="宋体"/>
          <w:color w:val="auto"/>
          <w:highlight w:val="none"/>
          <w:lang w:eastAsia="zh-CN"/>
        </w:rPr>
        <w:t>。</w:t>
      </w:r>
    </w:p>
    <w:p>
      <w:pPr>
        <w:pStyle w:val="4"/>
        <w:keepNext/>
        <w:numPr>
          <w:ilvl w:val="1"/>
          <w:numId w:val="0"/>
        </w:numPr>
        <w:spacing w:before="120" w:beforeAutospacing="0" w:after="120" w:afterAutospacing="0"/>
        <w:rPr>
          <w:rFonts w:hint="eastAsia" w:cs="Times New Roman" w:asciiTheme="majorEastAsia" w:hAnsiTheme="majorEastAsia" w:eastAsiaTheme="majorEastAsia"/>
          <w:b/>
          <w:bCs/>
          <w:color w:val="auto"/>
          <w:kern w:val="24"/>
          <w:sz w:val="30"/>
          <w:szCs w:val="30"/>
          <w:lang w:val="en-US" w:eastAsia="zh-CN" w:bidi="ar-SA"/>
        </w:rPr>
      </w:pPr>
      <w:bookmarkStart w:id="133" w:name="_Toc1557"/>
      <w:bookmarkStart w:id="134" w:name="_Toc16176"/>
      <w:bookmarkStart w:id="135" w:name="_Toc12961"/>
      <w:bookmarkStart w:id="136" w:name="_Toc20279"/>
      <w:r>
        <w:rPr>
          <w:rFonts w:hint="eastAsia" w:cs="Times New Roman" w:asciiTheme="majorEastAsia" w:hAnsiTheme="majorEastAsia" w:eastAsiaTheme="majorEastAsia"/>
          <w:b/>
          <w:bCs/>
          <w:color w:val="auto"/>
          <w:kern w:val="24"/>
          <w:sz w:val="30"/>
          <w:szCs w:val="30"/>
          <w:lang w:val="en-US" w:eastAsia="zh-CN" w:bidi="ar-SA"/>
        </w:rPr>
        <w:t>1.4项目实施范围</w:t>
      </w:r>
      <w:bookmarkEnd w:id="133"/>
      <w:bookmarkEnd w:id="134"/>
      <w:bookmarkEnd w:id="135"/>
      <w:bookmarkEnd w:id="136"/>
    </w:p>
    <w:p>
      <w:pPr>
        <w:ind w:firstLine="480"/>
        <w:rPr>
          <w:rFonts w:hint="eastAsia" w:eastAsia="宋体"/>
          <w:color w:val="auto"/>
          <w:highlight w:val="none"/>
          <w:lang w:eastAsia="zh-CN"/>
        </w:rPr>
      </w:pPr>
      <w:r>
        <w:rPr>
          <w:rFonts w:hint="eastAsia" w:eastAsia="宋体"/>
          <w:color w:val="auto"/>
          <w:highlight w:val="none"/>
        </w:rPr>
        <w:t>南方电网公司及各分子单位。</w:t>
      </w:r>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137" w:name="_Toc8703"/>
      <w:bookmarkStart w:id="138" w:name="_Toc12359"/>
      <w:bookmarkStart w:id="139" w:name="_Toc7868"/>
      <w:r>
        <w:rPr>
          <w:rFonts w:hint="eastAsia" w:cs="Times New Roman" w:asciiTheme="majorEastAsia" w:hAnsiTheme="majorEastAsia" w:eastAsiaTheme="majorEastAsia"/>
          <w:b/>
          <w:bCs w:val="0"/>
          <w:color w:val="auto"/>
          <w:kern w:val="24"/>
          <w:sz w:val="32"/>
          <w:szCs w:val="32"/>
          <w:lang w:val="en-US" w:eastAsia="zh-CN" w:bidi="ar-SA"/>
        </w:rPr>
        <w:t>2</w:t>
      </w:r>
      <w:r>
        <w:rPr>
          <w:rFonts w:hint="eastAsia" w:asciiTheme="majorEastAsia" w:hAnsiTheme="majorEastAsia" w:eastAsiaTheme="majorEastAsia"/>
          <w:b/>
          <w:bCs w:val="0"/>
          <w:color w:val="auto"/>
          <w:sz w:val="32"/>
          <w:szCs w:val="32"/>
          <w:highlight w:val="none"/>
        </w:rPr>
        <w:t>项目内容</w:t>
      </w:r>
      <w:bookmarkEnd w:id="113"/>
      <w:bookmarkEnd w:id="114"/>
      <w:bookmarkEnd w:id="115"/>
      <w:bookmarkEnd w:id="116"/>
      <w:bookmarkEnd w:id="117"/>
      <w:bookmarkEnd w:id="118"/>
      <w:r>
        <w:rPr>
          <w:rFonts w:hint="eastAsia" w:asciiTheme="majorEastAsia" w:hAnsiTheme="majorEastAsia" w:eastAsiaTheme="majorEastAsia"/>
          <w:b/>
          <w:bCs w:val="0"/>
          <w:color w:val="auto"/>
          <w:sz w:val="32"/>
          <w:szCs w:val="32"/>
          <w:highlight w:val="none"/>
        </w:rPr>
        <w:t>及</w:t>
      </w:r>
      <w:bookmarkEnd w:id="119"/>
      <w:bookmarkEnd w:id="120"/>
      <w:bookmarkEnd w:id="121"/>
      <w:bookmarkEnd w:id="122"/>
      <w:bookmarkEnd w:id="123"/>
      <w:bookmarkEnd w:id="124"/>
      <w:bookmarkEnd w:id="125"/>
      <w:bookmarkEnd w:id="126"/>
      <w:bookmarkEnd w:id="127"/>
      <w:bookmarkEnd w:id="128"/>
      <w:bookmarkStart w:id="140" w:name="_Toc19715"/>
      <w:bookmarkStart w:id="141" w:name="_Toc2586"/>
      <w:bookmarkStart w:id="142" w:name="_Toc5173"/>
      <w:bookmarkStart w:id="143" w:name="_Toc18571"/>
      <w:bookmarkStart w:id="144" w:name="_Toc158468058"/>
      <w:bookmarkStart w:id="145" w:name="_Toc320042204"/>
      <w:bookmarkStart w:id="146" w:name="_Toc25580542"/>
      <w:bookmarkStart w:id="147" w:name="_Toc313984434"/>
      <w:bookmarkStart w:id="148" w:name="_Toc29844"/>
      <w:bookmarkStart w:id="149" w:name="_Toc340242297"/>
      <w:r>
        <w:rPr>
          <w:rFonts w:hint="eastAsia" w:asciiTheme="majorEastAsia" w:hAnsiTheme="majorEastAsia" w:eastAsiaTheme="majorEastAsia"/>
          <w:b/>
          <w:bCs w:val="0"/>
          <w:color w:val="auto"/>
          <w:sz w:val="32"/>
          <w:szCs w:val="32"/>
          <w:highlight w:val="none"/>
          <w:lang w:val="en-US" w:eastAsia="zh-CN"/>
        </w:rPr>
        <w:t>需求</w:t>
      </w:r>
      <w:bookmarkEnd w:id="129"/>
      <w:bookmarkEnd w:id="130"/>
      <w:bookmarkEnd w:id="131"/>
      <w:bookmarkEnd w:id="132"/>
      <w:bookmarkEnd w:id="137"/>
      <w:bookmarkEnd w:id="138"/>
      <w:bookmarkEnd w:id="139"/>
    </w:p>
    <w:p>
      <w:pPr>
        <w:pStyle w:val="4"/>
        <w:keepNext/>
        <w:numPr>
          <w:ilvl w:val="1"/>
          <w:numId w:val="0"/>
        </w:numPr>
        <w:spacing w:before="120" w:after="120"/>
        <w:rPr>
          <w:color w:val="auto"/>
          <w:sz w:val="30"/>
          <w:szCs w:val="30"/>
          <w:highlight w:val="none"/>
        </w:rPr>
      </w:pPr>
      <w:bookmarkStart w:id="150" w:name="_Toc15764"/>
      <w:bookmarkStart w:id="151" w:name="_Toc16229"/>
      <w:bookmarkStart w:id="152" w:name="_Toc6393"/>
      <w:bookmarkStart w:id="153" w:name="_Toc28668"/>
      <w:bookmarkStart w:id="154" w:name="_Toc5100"/>
      <w:bookmarkStart w:id="155" w:name="_Toc11382"/>
      <w:bookmarkStart w:id="156" w:name="_Toc19253"/>
      <w:bookmarkStart w:id="157" w:name="_Toc8638"/>
      <w:bookmarkStart w:id="158" w:name="_Toc11031"/>
      <w:bookmarkStart w:id="159" w:name="_Toc7392"/>
      <w:r>
        <w:rPr>
          <w:rFonts w:hint="eastAsia" w:ascii="宋体" w:hAnsi="宋体" w:eastAsia="宋体" w:cs="Times New Roman"/>
          <w:b/>
          <w:bCs/>
          <w:color w:val="auto"/>
          <w:kern w:val="24"/>
          <w:sz w:val="30"/>
          <w:szCs w:val="30"/>
          <w:lang w:val="en-US" w:eastAsia="zh-CN" w:bidi="ar-SA"/>
        </w:rPr>
        <w:t>2.1</w:t>
      </w:r>
      <w:r>
        <w:rPr>
          <w:rFonts w:hint="eastAsia" w:asciiTheme="majorEastAsia" w:hAnsiTheme="majorEastAsia" w:eastAsiaTheme="majorEastAsia"/>
          <w:color w:val="auto"/>
          <w:sz w:val="30"/>
          <w:szCs w:val="30"/>
          <w:highlight w:val="none"/>
        </w:rPr>
        <w:t>项目内容</w:t>
      </w:r>
      <w:bookmarkEnd w:id="150"/>
      <w:bookmarkEnd w:id="151"/>
      <w:bookmarkEnd w:id="152"/>
      <w:bookmarkEnd w:id="153"/>
      <w:bookmarkEnd w:id="154"/>
      <w:bookmarkEnd w:id="155"/>
      <w:bookmarkEnd w:id="156"/>
      <w:bookmarkEnd w:id="157"/>
      <w:bookmarkEnd w:id="158"/>
      <w:bookmarkEnd w:id="159"/>
    </w:p>
    <w:p>
      <w:pPr>
        <w:ind w:firstLine="420" w:firstLineChars="0"/>
        <w:rPr>
          <w:rFonts w:hint="eastAsia"/>
          <w:color w:val="auto"/>
          <w:highlight w:val="none"/>
          <w:lang w:val="en-US" w:eastAsia="zh-CN"/>
        </w:rPr>
      </w:pPr>
      <w:bookmarkStart w:id="160" w:name="_Toc3706"/>
      <w:bookmarkStart w:id="161" w:name="_Toc1890"/>
      <w:bookmarkStart w:id="162" w:name="_Toc20590"/>
      <w:bookmarkStart w:id="163" w:name="_Toc29452"/>
      <w:bookmarkStart w:id="164" w:name="_Toc4448"/>
      <w:bookmarkStart w:id="165" w:name="_Toc30694"/>
      <w:r>
        <w:rPr>
          <w:rFonts w:hint="eastAsia"/>
          <w:color w:val="auto"/>
          <w:highlight w:val="none"/>
        </w:rPr>
        <w:t>随着公司信息化建设相关工作的进一步推进，公司各类建设应用系统对关系型数据库的需求量不断增加，结合公司目前系统建设需求，本项目计划采购关系型数据库</w:t>
      </w:r>
      <w:r>
        <w:rPr>
          <w:rFonts w:hint="eastAsia"/>
          <w:color w:val="auto"/>
          <w:highlight w:val="none"/>
          <w:lang w:val="en-US" w:eastAsia="zh-CN"/>
        </w:rPr>
        <w:t>，关系型数据库按照部署实例数进行授权。</w:t>
      </w:r>
    </w:p>
    <w:tbl>
      <w:tblPr>
        <w:tblStyle w:val="27"/>
        <w:tblW w:w="4998" w:type="pct"/>
        <w:tblInd w:w="0" w:type="dxa"/>
        <w:tblLayout w:type="autofit"/>
        <w:tblCellMar>
          <w:top w:w="0" w:type="dxa"/>
          <w:left w:w="108" w:type="dxa"/>
          <w:bottom w:w="0" w:type="dxa"/>
          <w:right w:w="108" w:type="dxa"/>
        </w:tblCellMar>
      </w:tblPr>
      <w:tblGrid>
        <w:gridCol w:w="1350"/>
        <w:gridCol w:w="4530"/>
        <w:gridCol w:w="3970"/>
      </w:tblGrid>
      <w:tr>
        <w:tblPrEx>
          <w:tblCellMar>
            <w:top w:w="0" w:type="dxa"/>
            <w:left w:w="108" w:type="dxa"/>
            <w:bottom w:w="0" w:type="dxa"/>
            <w:right w:w="108" w:type="dxa"/>
          </w:tblCellMar>
        </w:tblPrEx>
        <w:trPr>
          <w:trHeight w:val="90" w:hRule="atLeast"/>
        </w:trPr>
        <w:tc>
          <w:tcPr>
            <w:tcW w:w="685" w:type="pct"/>
            <w:tcBorders>
              <w:top w:val="single" w:color="000000" w:sz="4" w:space="0"/>
              <w:left w:val="single" w:color="000000" w:sz="4" w:space="0"/>
              <w:bottom w:val="single" w:color="000000" w:sz="4" w:space="0"/>
              <w:right w:val="single" w:color="000000" w:sz="4" w:space="0"/>
            </w:tcBorders>
            <w:shd w:val="clear" w:color="DCE6F1" w:fill="auto"/>
            <w:vAlign w:val="center"/>
          </w:tcPr>
          <w:p>
            <w:pPr>
              <w:widowControl/>
              <w:ind w:firstLine="0" w:firstLineChars="0"/>
              <w:jc w:val="center"/>
              <w:textAlignment w:val="center"/>
              <w:rPr>
                <w:rFonts w:ascii="宋体" w:hAnsi="宋体" w:cs="宋体"/>
                <w:b/>
                <w:bCs/>
                <w:color w:val="auto"/>
                <w:highlight w:val="none"/>
              </w:rPr>
            </w:pPr>
            <w:r>
              <w:rPr>
                <w:rFonts w:hint="eastAsia" w:ascii="宋体" w:hAnsi="宋体" w:cs="宋体"/>
                <w:b/>
                <w:bCs/>
                <w:color w:val="auto"/>
                <w:highlight w:val="none"/>
              </w:rPr>
              <w:t>序号</w:t>
            </w:r>
          </w:p>
        </w:tc>
        <w:tc>
          <w:tcPr>
            <w:tcW w:w="2299" w:type="pct"/>
            <w:tcBorders>
              <w:top w:val="single" w:color="000000" w:sz="4" w:space="0"/>
              <w:left w:val="single" w:color="000000" w:sz="4" w:space="0"/>
              <w:bottom w:val="single" w:color="000000" w:sz="4" w:space="0"/>
              <w:right w:val="single" w:color="000000" w:sz="4" w:space="0"/>
            </w:tcBorders>
            <w:shd w:val="clear" w:color="DCE6F1" w:fill="auto"/>
            <w:vAlign w:val="center"/>
          </w:tcPr>
          <w:p>
            <w:pPr>
              <w:widowControl/>
              <w:ind w:firstLine="0" w:firstLineChars="0"/>
              <w:jc w:val="center"/>
              <w:textAlignment w:val="center"/>
              <w:rPr>
                <w:rFonts w:ascii="宋体" w:hAnsi="宋体" w:cs="宋体"/>
                <w:b/>
                <w:bCs/>
                <w:color w:val="auto"/>
                <w:highlight w:val="none"/>
              </w:rPr>
            </w:pPr>
            <w:r>
              <w:rPr>
                <w:rFonts w:hint="eastAsia" w:ascii="宋体" w:hAnsi="宋体" w:cs="宋体"/>
                <w:b/>
                <w:bCs/>
                <w:color w:val="auto"/>
                <w:highlight w:val="none"/>
              </w:rPr>
              <w:t>项目名称</w:t>
            </w:r>
          </w:p>
        </w:tc>
        <w:tc>
          <w:tcPr>
            <w:tcW w:w="2015" w:type="pct"/>
            <w:tcBorders>
              <w:top w:val="single" w:color="000000" w:sz="4" w:space="0"/>
              <w:left w:val="single" w:color="000000" w:sz="4" w:space="0"/>
              <w:bottom w:val="single" w:color="000000" w:sz="4" w:space="0"/>
              <w:right w:val="single" w:color="000000" w:sz="4" w:space="0"/>
            </w:tcBorders>
            <w:shd w:val="clear" w:color="DCE6F1" w:fill="auto"/>
            <w:vAlign w:val="center"/>
          </w:tcPr>
          <w:p>
            <w:pPr>
              <w:widowControl/>
              <w:ind w:firstLine="0" w:firstLineChars="0"/>
              <w:jc w:val="center"/>
              <w:textAlignment w:val="center"/>
              <w:rPr>
                <w:rFonts w:ascii="宋体" w:hAnsi="宋体" w:cs="宋体"/>
                <w:b/>
                <w:bCs/>
                <w:color w:val="auto"/>
                <w:highlight w:val="none"/>
              </w:rPr>
            </w:pPr>
            <w:r>
              <w:rPr>
                <w:rFonts w:hint="eastAsia" w:ascii="宋体" w:hAnsi="宋体" w:cs="宋体"/>
                <w:b/>
                <w:bCs/>
                <w:color w:val="auto"/>
                <w:highlight w:val="none"/>
              </w:rPr>
              <w:t>采购内容</w:t>
            </w:r>
          </w:p>
        </w:tc>
      </w:tr>
      <w:tr>
        <w:tblPrEx>
          <w:tblCellMar>
            <w:top w:w="0" w:type="dxa"/>
            <w:left w:w="108" w:type="dxa"/>
            <w:bottom w:w="0" w:type="dxa"/>
            <w:right w:w="108" w:type="dxa"/>
          </w:tblCellMar>
        </w:tblPrEx>
        <w:trPr>
          <w:trHeight w:val="1029" w:hRule="atLeast"/>
        </w:trPr>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highlight w:val="none"/>
              </w:rPr>
            </w:pPr>
            <w:r>
              <w:rPr>
                <w:rFonts w:hint="eastAsia" w:ascii="宋体" w:hAnsi="宋体" w:cs="宋体"/>
                <w:color w:val="auto"/>
                <w:highlight w:val="none"/>
              </w:rPr>
              <w:t>1</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hint="eastAsia" w:ascii="宋体" w:hAnsi="宋体" w:eastAsia="仿宋" w:cs="宋体"/>
                <w:b/>
                <w:bCs/>
                <w:color w:val="auto"/>
                <w:highlight w:val="none"/>
                <w:lang w:val="en-US" w:eastAsia="zh-CN"/>
              </w:rPr>
            </w:pPr>
            <w:r>
              <w:rPr>
                <w:rFonts w:hint="eastAsia" w:ascii="仿宋" w:hAnsi="仿宋" w:eastAsia="仿宋" w:cs="仿宋"/>
                <w:color w:val="000000" w:themeColor="text1"/>
                <w:sz w:val="24"/>
                <w:highlight w:val="none"/>
                <w14:textFill>
                  <w14:solidFill>
                    <w14:schemeClr w14:val="tx1"/>
                  </w14:solidFill>
                </w14:textFill>
              </w:rPr>
              <w:t>2026年南方电网数据平台与安全（广东）有限公司数据库投标寻源项</w:t>
            </w:r>
            <w:r>
              <w:rPr>
                <w:rFonts w:hint="eastAsia" w:ascii="仿宋" w:hAnsi="仿宋" w:eastAsia="仿宋" w:cs="仿宋"/>
                <w:color w:val="000000" w:themeColor="text1"/>
                <w:sz w:val="24"/>
                <w:highlight w:val="none"/>
                <w:lang w:val="en-US" w:eastAsia="zh-CN"/>
                <w14:textFill>
                  <w14:solidFill>
                    <w14:schemeClr w14:val="tx1"/>
                  </w14:solidFill>
                </w14:textFill>
              </w:rPr>
              <w:t>目</w:t>
            </w:r>
          </w:p>
        </w:tc>
        <w:tc>
          <w:tcPr>
            <w:tcW w:w="20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textAlignment w:val="center"/>
              <w:rPr>
                <w:rFonts w:ascii="宋体" w:hAnsi="宋体" w:cs="宋体"/>
                <w:color w:val="auto"/>
                <w:highlight w:val="none"/>
              </w:rPr>
            </w:pPr>
            <w:r>
              <w:rPr>
                <w:rFonts w:hint="eastAsia" w:ascii="宋体" w:hAnsi="宋体" w:cs="宋体"/>
                <w:color w:val="auto"/>
                <w:highlight w:val="none"/>
              </w:rPr>
              <w:t>关系型数据库</w:t>
            </w:r>
          </w:p>
        </w:tc>
      </w:tr>
      <w:bookmarkEnd w:id="140"/>
      <w:bookmarkEnd w:id="141"/>
      <w:bookmarkEnd w:id="142"/>
      <w:bookmarkEnd w:id="143"/>
      <w:bookmarkEnd w:id="160"/>
      <w:bookmarkEnd w:id="161"/>
      <w:bookmarkEnd w:id="162"/>
      <w:bookmarkEnd w:id="163"/>
      <w:bookmarkEnd w:id="164"/>
      <w:bookmarkEnd w:id="165"/>
    </w:tbl>
    <w:p>
      <w:pPr>
        <w:bidi w:val="0"/>
        <w:rPr>
          <w:rFonts w:hint="eastAsia"/>
          <w:lang w:val="en-US" w:eastAsia="zh-CN"/>
        </w:rPr>
      </w:pPr>
      <w:bookmarkStart w:id="166" w:name="_Toc28909"/>
      <w:bookmarkStart w:id="167" w:name="_Toc130319374"/>
      <w:bookmarkStart w:id="168" w:name="_Toc30211"/>
      <w:bookmarkStart w:id="169" w:name="_Toc22134"/>
      <w:bookmarkStart w:id="170" w:name="_Toc23959"/>
      <w:bookmarkStart w:id="171" w:name="_Toc9467"/>
      <w:bookmarkStart w:id="172" w:name="_Toc25292"/>
      <w:bookmarkStart w:id="173" w:name="_Toc20577"/>
      <w:bookmarkStart w:id="174" w:name="_Toc1702"/>
      <w:bookmarkStart w:id="175" w:name="_Toc29322"/>
      <w:bookmarkStart w:id="176" w:name="_Toc14696061"/>
    </w:p>
    <w:p>
      <w:pPr>
        <w:pStyle w:val="4"/>
        <w:keepNext/>
        <w:numPr>
          <w:ilvl w:val="1"/>
          <w:numId w:val="0"/>
        </w:numPr>
        <w:spacing w:before="120" w:after="120"/>
        <w:rPr>
          <w:rFonts w:asciiTheme="majorEastAsia" w:hAnsiTheme="majorEastAsia" w:eastAsiaTheme="majorEastAsia"/>
          <w:color w:val="auto"/>
          <w:sz w:val="30"/>
          <w:szCs w:val="30"/>
          <w:highlight w:val="none"/>
        </w:rPr>
      </w:pPr>
      <w:bookmarkStart w:id="177" w:name="_Toc16098"/>
      <w:bookmarkStart w:id="178" w:name="_Toc29918"/>
      <w:bookmarkStart w:id="179" w:name="_Toc93"/>
      <w:r>
        <w:rPr>
          <w:rFonts w:hint="eastAsia" w:cs="Times New Roman" w:asciiTheme="majorEastAsia" w:hAnsiTheme="majorEastAsia" w:eastAsiaTheme="majorEastAsia"/>
          <w:b/>
          <w:bCs/>
          <w:color w:val="auto"/>
          <w:kern w:val="24"/>
          <w:sz w:val="30"/>
          <w:szCs w:val="30"/>
          <w:lang w:val="en-US" w:eastAsia="zh-CN" w:bidi="ar-SA"/>
        </w:rPr>
        <w:t>2.2</w:t>
      </w:r>
      <w:r>
        <w:rPr>
          <w:rFonts w:hint="eastAsia" w:asciiTheme="majorEastAsia" w:hAnsiTheme="majorEastAsia" w:eastAsiaTheme="majorEastAsia"/>
          <w:color w:val="auto"/>
          <w:sz w:val="30"/>
          <w:szCs w:val="30"/>
          <w:highlight w:val="none"/>
        </w:rPr>
        <w:t>数据库功能需求</w:t>
      </w:r>
      <w:bookmarkEnd w:id="166"/>
      <w:bookmarkEnd w:id="167"/>
      <w:bookmarkEnd w:id="168"/>
      <w:bookmarkEnd w:id="169"/>
      <w:bookmarkEnd w:id="170"/>
      <w:bookmarkEnd w:id="171"/>
      <w:bookmarkEnd w:id="172"/>
      <w:bookmarkEnd w:id="173"/>
      <w:bookmarkEnd w:id="177"/>
      <w:bookmarkEnd w:id="178"/>
      <w:bookmarkEnd w:id="179"/>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、支持多种硬件体系，可运行于飞腾、龙芯、鲲鹏、X86等硬件体系之上；支持 SMP 和 NUMA 的运行环境；兼容银河麒麟、中标麒麟、统信、凝思、Linux等多种通用/专有操作系统；兼容中创、金蝶、东方通等多种主流应用中间件。</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、所投产品需支持传统部署、虚拟化部署及容器化部署方式，支持命令行或图形化的安装和可配置能力，依据安装环境提供相应的初始化参数配置值，提供图形化软件组件管理向导工具。</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、提供软件安装的日志记录功能；记录的软件安装信息完整正确；提供安装配置操作的日志记录功能；记录的配置操作信息完整正确。</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、依据工作负载和运行环境，提供配置参数修改的能力；修改数据库配置参数后，配置参数立即生效或数据库重新启动生效，立即生效的配置参数和需要数据库重新启动方可生效的配置参数在相关文档中明确。</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、支持命令行或图形化的方式关闭和启动服务。</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6</w:t>
      </w:r>
      <w:r>
        <w:rPr>
          <w:rFonts w:hint="eastAsia" w:asciiTheme="minorEastAsia" w:hAnsiTheme="minorEastAsia" w:eastAsiaTheme="minorEastAsia"/>
          <w:color w:val="auto"/>
          <w:sz w:val="24"/>
          <w:szCs w:val="24"/>
          <w:highlight w:val="none"/>
        </w:rPr>
        <w:t>、中文字符集符合 GB 18030 的要求。</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7</w:t>
      </w:r>
      <w:r>
        <w:rPr>
          <w:rFonts w:hint="eastAsia" w:asciiTheme="minorEastAsia" w:hAnsiTheme="minorEastAsia" w:eastAsiaTheme="minorEastAsia"/>
          <w:color w:val="auto"/>
          <w:sz w:val="24"/>
          <w:szCs w:val="24"/>
          <w:highlight w:val="none"/>
        </w:rPr>
        <w:t>、支持事务的 ACID 基础特性。</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、支持创建、修改、删除用户的功能，提供定义用户的功能，支持创建、修改、删除角色的功能，且提供用户自定义角色的功能；支持用户账号权限管理、数据访问权限管理。</w:t>
      </w:r>
    </w:p>
    <w:p>
      <w:pPr>
        <w:pStyle w:val="71"/>
        <w:spacing w:line="360" w:lineRule="auto"/>
        <w:ind w:firstLine="480"/>
        <w:rPr>
          <w:rFonts w:asciiTheme="minorEastAsia" w:hAnsiTheme="minorEastAsia" w:eastAsiaTheme="minorEastAsia"/>
          <w:color w:val="auto"/>
          <w:sz w:val="24"/>
          <w:szCs w:val="24"/>
          <w:highlight w:val="none"/>
        </w:rPr>
      </w:pPr>
      <w:bookmarkStart w:id="180" w:name="_Toc12099"/>
      <w:r>
        <w:rPr>
          <w:rFonts w:asciiTheme="minorEastAsia" w:hAnsiTheme="minorEastAsia" w:eastAsiaTheme="minorEastAsia"/>
          <w:color w:val="auto"/>
          <w:sz w:val="24"/>
          <w:szCs w:val="24"/>
          <w:highlight w:val="none"/>
        </w:rPr>
        <w:t>9</w:t>
      </w:r>
      <w:r>
        <w:rPr>
          <w:rFonts w:hint="eastAsia" w:asciiTheme="minorEastAsia" w:hAnsiTheme="minorEastAsia" w:eastAsiaTheme="minorEastAsia"/>
          <w:color w:val="auto"/>
          <w:sz w:val="24"/>
          <w:szCs w:val="24"/>
          <w:highlight w:val="none"/>
        </w:rPr>
        <w:t>、支持多种表类型，包括但不限于基础表、视图、分区表、外部表、临时表、列存表；支持多种约束，包括但不限于主键、外键、唯一、检查、非空、默认值（缺省值），支持启用禁用约束；支持表空间管理，可以为行表空间设定固定大小。</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10</w:t>
      </w:r>
      <w:r>
        <w:rPr>
          <w:rFonts w:hint="eastAsia" w:asciiTheme="minorEastAsia" w:hAnsiTheme="minorEastAsia" w:eastAsiaTheme="minorEastAsia"/>
          <w:color w:val="auto"/>
          <w:sz w:val="24"/>
          <w:szCs w:val="24"/>
          <w:highlight w:val="none"/>
        </w:rPr>
        <w:t>、支持多种分区表类型，包括但不限于范围分区、哈希分区、列表分区、间隔分区等；支持组合分区，如可以实现列表、范围组合分区等；支持单表分区数量可以超过10000个；支持分区键包含多列，列数可以达到4列；支持增加、删除、合并、拆分、交换、截断、重命名等分区操作；支持分区表迁移；单表支持创建列数可以超过1000列。提供权威检测机构出具的测试报告。</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11</w:t>
      </w:r>
      <w:r>
        <w:rPr>
          <w:rFonts w:hint="eastAsia" w:asciiTheme="minorEastAsia" w:hAnsiTheme="minorEastAsia" w:eastAsiaTheme="minorEastAsia"/>
          <w:color w:val="auto"/>
          <w:sz w:val="24"/>
          <w:szCs w:val="24"/>
          <w:highlight w:val="none"/>
        </w:rPr>
        <w:t>、支持多种数据类型，包括但不限于字符类型、数值类型、二进制类型、</w:t>
      </w:r>
      <w:bookmarkStart w:id="181" w:name="_Hlk160631967"/>
      <w:r>
        <w:rPr>
          <w:rFonts w:hint="eastAsia" w:asciiTheme="minorEastAsia" w:hAnsiTheme="minorEastAsia" w:eastAsiaTheme="minorEastAsia"/>
          <w:color w:val="auto"/>
          <w:sz w:val="24"/>
          <w:szCs w:val="24"/>
          <w:highlight w:val="none"/>
        </w:rPr>
        <w:t>日期和时间类型、布尔类型、（大）文本类型和</w:t>
      </w:r>
      <w:bookmarkEnd w:id="181"/>
      <w:r>
        <w:rPr>
          <w:rFonts w:hint="eastAsia" w:asciiTheme="minorEastAsia" w:hAnsiTheme="minorEastAsia" w:eastAsiaTheme="minorEastAsia"/>
          <w:color w:val="auto"/>
          <w:sz w:val="24"/>
          <w:szCs w:val="24"/>
          <w:highlight w:val="none"/>
        </w:rPr>
        <w:t>大对象类型等；支持非关系数据的操作，包括但不限于XML类型、JSON类型、CSV类型、TXT类型；支持自定义类型TYPE，包括但不限于记录类型、对象类型、数组类型和嵌套表类型，支持重编译类型；</w:t>
      </w:r>
      <w:bookmarkStart w:id="182" w:name="_Hlk160631982"/>
      <w:r>
        <w:rPr>
          <w:rFonts w:hint="eastAsia" w:asciiTheme="minorEastAsia" w:hAnsiTheme="minorEastAsia" w:eastAsiaTheme="minorEastAsia"/>
          <w:color w:val="auto"/>
          <w:sz w:val="24"/>
          <w:szCs w:val="24"/>
          <w:highlight w:val="none"/>
        </w:rPr>
        <w:t>支持数据存储、数据检索基础功能</w:t>
      </w:r>
      <w:bookmarkEnd w:id="182"/>
      <w:r>
        <w:rPr>
          <w:rFonts w:hint="eastAsia" w:asciiTheme="minorEastAsia" w:hAnsiTheme="minorEastAsia" w:eastAsiaTheme="minorEastAsia"/>
          <w:color w:val="auto"/>
          <w:sz w:val="24"/>
          <w:szCs w:val="24"/>
          <w:highlight w:val="none"/>
        </w:rPr>
        <w:t>。</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12</w:t>
      </w:r>
      <w:r>
        <w:rPr>
          <w:rFonts w:hint="eastAsia" w:asciiTheme="minorEastAsia" w:hAnsiTheme="minorEastAsia" w:eastAsiaTheme="minorEastAsia"/>
          <w:color w:val="auto"/>
          <w:sz w:val="24"/>
          <w:szCs w:val="24"/>
          <w:highlight w:val="none"/>
        </w:rPr>
        <w:t>、支持多种索引类型，包括但不限于B树索引、聚集索引、唯一索引、非唯一索引、函数索引、分区索引（包括本地分区索引和全局分区索引）、位图索引、空间索引、数组索引、全文索引/全文检索功能；支持创建索引时指定表空间；支持设置索引可见和不可见；支持设置索引失效；支持重建索引；支持索引监控。</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13</w:t>
      </w:r>
      <w:r>
        <w:rPr>
          <w:rFonts w:hint="eastAsia" w:asciiTheme="minorEastAsia" w:hAnsiTheme="minorEastAsia" w:eastAsiaTheme="minorEastAsia"/>
          <w:color w:val="auto"/>
          <w:sz w:val="24"/>
          <w:szCs w:val="24"/>
          <w:highlight w:val="none"/>
        </w:rPr>
        <w:t>、支持存储过程、自定义函数和包PACKAGE；支持创建带参数和不带参数的存储过程和函数；支持调用存储过程和函数；支持定义游标、打开游标、拨动游标和关闭游标；支持动态SQL语句；支持异常处理机制和用户自定义异常；支持创建确定性函数和管道函数；支持重编译存储过程和函数；支持调用和编译包PACKAGE。</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14</w:t>
      </w:r>
      <w:r>
        <w:rPr>
          <w:rFonts w:hint="eastAsia" w:asciiTheme="minorEastAsia" w:hAnsiTheme="minorEastAsia" w:eastAsiaTheme="minorEastAsia"/>
          <w:color w:val="auto"/>
          <w:sz w:val="24"/>
          <w:szCs w:val="24"/>
          <w:highlight w:val="none"/>
        </w:rPr>
        <w:t>、支持多种触发器，支持BEFORE、AFTER、INSTEAD OF、DDL事件、系统事件、时间、行级触发器，支持触发器对新行值、旧行值的引用，支持INSERTING、DELETING、UPDATING触发器谓词，支持触发器事件属性函数，支持启用触发器、禁用触发器、重编译触发器。</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、支持数据库的创建、删除、更新以及数据库属性的查询；支持在线变更表结构、索引；支持数据的增加、删除、修改和查询。</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6</w:t>
      </w:r>
      <w:r>
        <w:rPr>
          <w:rFonts w:hint="eastAsia" w:asciiTheme="minorEastAsia" w:hAnsiTheme="minorEastAsia" w:eastAsiaTheme="minorEastAsia"/>
          <w:color w:val="auto"/>
          <w:sz w:val="24"/>
          <w:szCs w:val="24"/>
          <w:highlight w:val="none"/>
        </w:rPr>
        <w:t>、支持逻辑、比较、算术运算符及相关运算；支持对比、逻辑、空值、等于、模式匹配、区间、IN、存在条件表达式，且支持以上条件表达式的复合表达式。</w:t>
      </w:r>
    </w:p>
    <w:p>
      <w:pPr>
        <w:pStyle w:val="71"/>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17</w:t>
      </w:r>
      <w:r>
        <w:rPr>
          <w:rFonts w:hint="eastAsia" w:asciiTheme="minorEastAsia" w:hAnsiTheme="minorEastAsia" w:eastAsiaTheme="minorEastAsia"/>
          <w:color w:val="auto"/>
          <w:sz w:val="24"/>
          <w:szCs w:val="24"/>
          <w:highlight w:val="none"/>
        </w:rPr>
        <w:t>、</w:t>
      </w:r>
      <w:bookmarkStart w:id="183" w:name="_Hlk160632025"/>
      <w:r>
        <w:rPr>
          <w:rFonts w:hint="eastAsia" w:asciiTheme="minorEastAsia" w:hAnsiTheme="minorEastAsia" w:eastAsiaTheme="minorEastAsia"/>
          <w:color w:val="auto"/>
          <w:sz w:val="24"/>
          <w:szCs w:val="24"/>
          <w:highlight w:val="none"/>
        </w:rPr>
        <w:t>核心SQL能力支持左外连接、右外连接、内连接和全连接</w:t>
      </w:r>
      <w:bookmarkEnd w:id="183"/>
      <w:r>
        <w:rPr>
          <w:rFonts w:hint="eastAsia" w:asciiTheme="minorEastAsia" w:hAnsiTheme="minorEastAsia" w:eastAsiaTheme="minorEastAsia"/>
          <w:color w:val="auto"/>
          <w:sz w:val="24"/>
          <w:szCs w:val="24"/>
          <w:highlight w:val="none"/>
        </w:rPr>
        <w:t>。</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、支持可编程的SQL语言，包括但不限于存储过程、函数、外部函数、过程包和触发器等，用于实现复杂的判断和运算功能，可编程SQL语言支持数组类型、内嵌表类型和动态SQL类型等。</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19</w:t>
      </w:r>
      <w:r>
        <w:rPr>
          <w:rFonts w:hint="eastAsia" w:asciiTheme="minorEastAsia" w:hAnsiTheme="minorEastAsia" w:eastAsiaTheme="minorEastAsia"/>
          <w:color w:val="auto"/>
          <w:sz w:val="24"/>
          <w:szCs w:val="24"/>
          <w:highlight w:val="none"/>
        </w:rPr>
        <w:t>、支持细粒度的锁管理机制，支持包括但不限于表级锁、页级锁等，并提供灵活的锁自动升级策略</w:t>
      </w:r>
      <w:bookmarkStart w:id="184" w:name="_Hlk160632104"/>
      <w:r>
        <w:rPr>
          <w:rFonts w:hint="eastAsia" w:asciiTheme="minorEastAsia" w:hAnsiTheme="minorEastAsia" w:eastAsiaTheme="minorEastAsia"/>
          <w:color w:val="auto"/>
          <w:sz w:val="24"/>
          <w:szCs w:val="24"/>
          <w:highlight w:val="none"/>
        </w:rPr>
        <w:t>；在并发执行过程中，能检测到死锁，提供解决全局死锁的机制，具备死锁超时回滚的能力，具备死锁检测与处理记录功能</w:t>
      </w:r>
      <w:bookmarkEnd w:id="184"/>
      <w:r>
        <w:rPr>
          <w:rFonts w:hint="eastAsia" w:asciiTheme="minorEastAsia" w:hAnsiTheme="minorEastAsia" w:eastAsiaTheme="minorEastAsia"/>
          <w:color w:val="auto"/>
          <w:sz w:val="24"/>
          <w:szCs w:val="24"/>
          <w:highlight w:val="none"/>
        </w:rPr>
        <w:t>。</w:t>
      </w:r>
    </w:p>
    <w:p>
      <w:pPr>
        <w:pStyle w:val="71"/>
        <w:spacing w:line="360" w:lineRule="auto"/>
        <w:ind w:firstLine="480"/>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20</w:t>
      </w:r>
      <w:r>
        <w:rPr>
          <w:rFonts w:hint="eastAsia" w:asciiTheme="minorEastAsia" w:hAnsiTheme="minorEastAsia" w:eastAsiaTheme="minorEastAsia"/>
          <w:color w:val="auto"/>
          <w:sz w:val="24"/>
          <w:szCs w:val="24"/>
          <w:highlight w:val="none"/>
        </w:rPr>
        <w:t>、支持配置表的行级访问策略，登陆不同的用户只能访问匹配自己规则的数据</w:t>
      </w:r>
      <w:r>
        <w:rPr>
          <w:rFonts w:hint="eastAsia" w:asciiTheme="minorEastAsia" w:hAnsiTheme="minorEastAsia" w:eastAsiaTheme="minorEastAsia"/>
          <w:color w:val="auto"/>
          <w:sz w:val="24"/>
          <w:szCs w:val="24"/>
          <w:highlight w:val="none"/>
          <w:lang w:eastAsia="zh-CN"/>
        </w:rPr>
        <w:t>。</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、具备运行时统计信息基础功能，</w:t>
      </w:r>
      <w:r>
        <w:rPr>
          <w:rFonts w:hint="eastAsia" w:asciiTheme="minorEastAsia" w:hAnsiTheme="minorEastAsia" w:eastAsiaTheme="minorEastAsia"/>
          <w:color w:val="auto"/>
          <w:sz w:val="24"/>
          <w:szCs w:val="24"/>
          <w:highlight w:val="none"/>
          <w:lang w:val="en-US" w:eastAsia="zh-CN"/>
        </w:rPr>
        <w:t>包括但不限于数据库慢SQL统计，每秒事务数等数据库性能状态统计</w:t>
      </w:r>
      <w:r>
        <w:rPr>
          <w:rFonts w:hint="eastAsia" w:asciiTheme="minorEastAsia" w:hAnsiTheme="minorEastAsia" w:eastAsiaTheme="minorEastAsia"/>
          <w:color w:val="auto"/>
          <w:sz w:val="24"/>
          <w:szCs w:val="24"/>
          <w:highlight w:val="none"/>
        </w:rPr>
        <w:t>。</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日志具备对各类事件进行日志记录的功能，可通过日志查看操作内容、执行过程和结果；具备提示功能，提示数据库结构修改、数据库运行配置修改等重要操作；日志完整正确，并且提供可读文本的形式；支持中文日志。</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、提供安全可靠、界面友好的图形化系统管理工具进行数据库管理，支持数据库实例、数据库对象、实例运行情况</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用户权限的</w:t>
      </w:r>
      <w:r>
        <w:rPr>
          <w:rFonts w:hint="eastAsia" w:asciiTheme="minorEastAsia" w:hAnsiTheme="minorEastAsia" w:eastAsiaTheme="minorEastAsia"/>
          <w:color w:val="auto"/>
          <w:sz w:val="24"/>
          <w:szCs w:val="24"/>
          <w:highlight w:val="none"/>
          <w:lang w:val="en-US" w:eastAsia="zh-CN"/>
        </w:rPr>
        <w:t>统</w:t>
      </w:r>
      <w:r>
        <w:rPr>
          <w:rFonts w:hint="eastAsia" w:asciiTheme="minorEastAsia" w:hAnsiTheme="minorEastAsia" w:eastAsiaTheme="minorEastAsia"/>
          <w:color w:val="auto"/>
          <w:sz w:val="24"/>
          <w:szCs w:val="24"/>
          <w:highlight w:val="none"/>
        </w:rPr>
        <w:t>一管理，数据库管理操作方便，提供统一的Web管理界面；具备远程维护功能。</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、提供图形化的开发工具；数据库开发调试工具具备图形化功能，提高易用性；具备导入、编辑、保存、执行 SQL语句和 SQL 脚本功能；具备复制、编辑现有数据库对象功能；具备关键词显示标记、动态语法提示的 SQL 编辑器功能。</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5</w:t>
      </w:r>
      <w:r>
        <w:rPr>
          <w:rFonts w:hint="eastAsia" w:asciiTheme="minorEastAsia" w:hAnsiTheme="minorEastAsia" w:eastAsiaTheme="minorEastAsia"/>
          <w:color w:val="auto"/>
          <w:sz w:val="24"/>
          <w:szCs w:val="24"/>
          <w:highlight w:val="none"/>
        </w:rPr>
        <w:t>、数据库对象工具支持创建、修改、删除表的功能，支持定义表结构、约束、存储配置管理的功能；支持创建、修改、删除索引的功能，支持定义索引结构、类型、存储配置管理的功能；支持创建、修改、删除视图的功能，支持视图定义的功能；支持创建、修改、删除约束的功能，支持约束定义的功能。</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6</w:t>
      </w:r>
      <w:r>
        <w:rPr>
          <w:rFonts w:hint="eastAsia" w:asciiTheme="minorEastAsia" w:hAnsiTheme="minorEastAsia" w:eastAsiaTheme="minorEastAsia"/>
          <w:color w:val="auto"/>
          <w:sz w:val="24"/>
          <w:szCs w:val="24"/>
          <w:highlight w:val="none"/>
        </w:rPr>
        <w:t>、导入导出工具支持导出不同格式，可以将不同格式数据导入到数据库中；支持不同级别和不同数据库对象的导入/导出功能；支持从文本文件或者其他上游数据源将数据导入；支持 SQL 脚本进行导入导出。</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数据库需具备一系列的方法与工具对数据库性能进行跟踪和监控，包括但不限于实时监控管理平台、动态系统表、数据库SQL事件日志等。数据库的运行状态、资源情况、告警阈值等监控指标需要具备接入条件，并可集成至南方电网监控系统以及短信平台，实现数据库运行情况实时告警和运行报告自动输出。</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val="en-US" w:eastAsia="zh-CN"/>
        </w:rPr>
        <w:t>8</w:t>
      </w:r>
      <w:r>
        <w:rPr>
          <w:rFonts w:hint="eastAsia" w:asciiTheme="minorEastAsia" w:hAnsiTheme="minorEastAsia" w:eastAsiaTheme="minorEastAsia"/>
          <w:color w:val="auto"/>
          <w:sz w:val="24"/>
          <w:szCs w:val="24"/>
          <w:highlight w:val="none"/>
        </w:rPr>
        <w:t>、支持以光盘、便携式移动设备、镜像文件、在线下载等交付方式提供产品交付物。</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29、支持当用户自定义的存储过程、函数运行异常时，数据库稳定运行。</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30、支持网络中断时，保障事务一致性。</w:t>
      </w:r>
    </w:p>
    <w:p>
      <w:pPr>
        <w:pStyle w:val="3"/>
        <w:spacing w:line="360" w:lineRule="auto"/>
        <w:ind w:left="0" w:firstLine="0"/>
        <w:rPr>
          <w:rFonts w:hint="default" w:asciiTheme="minorEastAsia" w:hAnsiTheme="minorEastAsia" w:eastAsiaTheme="minorEastAsia"/>
          <w:color w:val="auto"/>
          <w:szCs w:val="24"/>
          <w:highlight w:val="none"/>
          <w:lang w:val="en-US" w:eastAsia="zh-CN"/>
        </w:rPr>
      </w:pPr>
      <w:bookmarkStart w:id="185" w:name="_Toc4651"/>
      <w:bookmarkStart w:id="186" w:name="_Toc20178"/>
      <w:bookmarkStart w:id="187" w:name="_Toc7669"/>
      <w:bookmarkStart w:id="188" w:name="_Toc25448"/>
      <w:bookmarkStart w:id="189" w:name="_Toc1411"/>
      <w:bookmarkStart w:id="190" w:name="_Toc22939"/>
      <w:bookmarkStart w:id="191" w:name="_Toc10961"/>
      <w:r>
        <w:rPr>
          <w:rFonts w:hint="eastAsia" w:asciiTheme="majorEastAsia" w:hAnsiTheme="majorEastAsia" w:eastAsiaTheme="majorEastAsia" w:cstheme="majorEastAsia"/>
          <w:color w:val="auto"/>
          <w:sz w:val="32"/>
          <w:szCs w:val="32"/>
          <w:highlight w:val="none"/>
          <w:lang w:val="en-US" w:eastAsia="zh-CN"/>
        </w:rPr>
        <w:t>3 技术要求</w:t>
      </w:r>
      <w:bookmarkEnd w:id="185"/>
      <w:bookmarkEnd w:id="186"/>
      <w:bookmarkEnd w:id="187"/>
      <w:bookmarkEnd w:id="188"/>
      <w:bookmarkEnd w:id="189"/>
      <w:bookmarkEnd w:id="190"/>
      <w:bookmarkEnd w:id="191"/>
    </w:p>
    <w:p>
      <w:pPr>
        <w:pStyle w:val="4"/>
        <w:keepNext/>
        <w:numPr>
          <w:ilvl w:val="1"/>
          <w:numId w:val="0"/>
        </w:numPr>
        <w:spacing w:before="120" w:after="120"/>
        <w:rPr>
          <w:rFonts w:asciiTheme="majorEastAsia" w:hAnsiTheme="majorEastAsia" w:eastAsiaTheme="majorEastAsia"/>
          <w:color w:val="auto"/>
          <w:sz w:val="30"/>
          <w:szCs w:val="30"/>
          <w:highlight w:val="none"/>
        </w:rPr>
      </w:pPr>
      <w:bookmarkStart w:id="192" w:name="_Toc22416"/>
      <w:bookmarkStart w:id="193" w:name="_Toc22694"/>
      <w:bookmarkStart w:id="194" w:name="_Toc1198"/>
      <w:bookmarkStart w:id="195" w:name="_Toc8306"/>
      <w:bookmarkStart w:id="196" w:name="_Toc4989"/>
      <w:bookmarkStart w:id="197" w:name="_Toc10862"/>
      <w:bookmarkStart w:id="198" w:name="_Toc23056"/>
      <w:bookmarkStart w:id="199" w:name="_Toc6891"/>
      <w:r>
        <w:rPr>
          <w:rFonts w:hint="eastAsia" w:cs="Times New Roman" w:asciiTheme="majorEastAsia" w:hAnsiTheme="majorEastAsia" w:eastAsiaTheme="majorEastAsia"/>
          <w:b/>
          <w:bCs/>
          <w:color w:val="auto"/>
          <w:kern w:val="24"/>
          <w:sz w:val="30"/>
          <w:szCs w:val="30"/>
          <w:lang w:val="en-US" w:eastAsia="zh-CN" w:bidi="ar-SA"/>
        </w:rPr>
        <w:t>3.1</w:t>
      </w:r>
      <w:r>
        <w:rPr>
          <w:rFonts w:hint="eastAsia" w:asciiTheme="majorEastAsia" w:hAnsiTheme="majorEastAsia" w:eastAsiaTheme="majorEastAsia"/>
          <w:color w:val="auto"/>
          <w:sz w:val="30"/>
          <w:szCs w:val="30"/>
          <w:highlight w:val="none"/>
        </w:rPr>
        <w:t>数据库可靠性</w:t>
      </w:r>
      <w:r>
        <w:rPr>
          <w:rFonts w:hint="eastAsia" w:asciiTheme="majorEastAsia" w:hAnsiTheme="majorEastAsia" w:eastAsiaTheme="majorEastAsia"/>
          <w:color w:val="auto"/>
          <w:sz w:val="30"/>
          <w:szCs w:val="30"/>
          <w:highlight w:val="none"/>
          <w:lang w:val="en-US" w:eastAsia="zh-CN"/>
        </w:rPr>
        <w:t>要</w:t>
      </w:r>
      <w:r>
        <w:rPr>
          <w:rFonts w:hint="eastAsia" w:asciiTheme="majorEastAsia" w:hAnsiTheme="majorEastAsia" w:eastAsiaTheme="majorEastAsia"/>
          <w:color w:val="auto"/>
          <w:sz w:val="30"/>
          <w:szCs w:val="30"/>
          <w:highlight w:val="none"/>
        </w:rPr>
        <w:t>求</w:t>
      </w:r>
      <w:bookmarkEnd w:id="192"/>
      <w:bookmarkEnd w:id="193"/>
      <w:bookmarkEnd w:id="194"/>
      <w:bookmarkEnd w:id="195"/>
      <w:bookmarkEnd w:id="196"/>
      <w:bookmarkEnd w:id="197"/>
      <w:bookmarkEnd w:id="198"/>
      <w:bookmarkEnd w:id="199"/>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、支持数据库共享存储集群，集群规模可达2个及以上节点；集群每个节点均支持写入且支持多节点间的缓存一致性；集群具备多节点负载均衡能力；以上需求应提供权威检测机构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出具的测试报告。共享存储集群有广泛的使用，具有</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个及以上实际应用案例，提供加盖用户公章的应用证明。</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、数据库共享存储集群需具备高效的故障自动处理能力，基于单用户查询场景、100并发查询场景、100并发写入场景以及100并发读写混合场景</w:t>
      </w:r>
      <w:r>
        <w:rPr>
          <w:rFonts w:hint="eastAsia" w:asciiTheme="minorEastAsia" w:hAnsiTheme="minorEastAsia" w:eastAsiaTheme="minorEastAsia"/>
          <w:color w:val="auto"/>
          <w:sz w:val="24"/>
          <w:szCs w:val="24"/>
          <w:highlight w:val="none"/>
          <w:lang w:val="en-US" w:eastAsia="zh-CN"/>
        </w:rPr>
        <w:t>等</w:t>
      </w:r>
      <w:r>
        <w:rPr>
          <w:rFonts w:hint="eastAsia" w:asciiTheme="minorEastAsia" w:hAnsiTheme="minorEastAsia" w:eastAsiaTheme="minorEastAsia"/>
          <w:color w:val="auto"/>
          <w:sz w:val="24"/>
          <w:szCs w:val="24"/>
          <w:highlight w:val="none"/>
        </w:rPr>
        <w:t>集群运行过程中，集群系统能够检测到故障并进行自动切换，故障切换的时间不超过5s。提供权威检测机构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出具的测试报告。</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、数据库共享存储集群支持7*24小时长时间不间断运行，提供权威检测机构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出具的测试报告。</w:t>
      </w:r>
    </w:p>
    <w:p>
      <w:pPr>
        <w:pStyle w:val="71"/>
        <w:spacing w:line="360" w:lineRule="auto"/>
        <w:ind w:firstLineChars="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、支持共享存储集群为主库、单机为备库的主备集群架构，并且该集群具备故障自动切换、故障恢复和恢复回切的功能。</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提供基于主机的数据库复制技术，包括基于日志的备用数据库远程数据库备份技术，并具备数据副本间的复制能力；支持多副本，支持主副本与从副本之间的数据同步；支持一主多备，支持同步备机和异步备机等多种方式；支持数据零丢失；支持通过守护进程将故障节点重新启动并自动加入集群，且历史数据自动同步；支持备机只读操作；支持备机中临时表的增加、删除、修改操作；支持列存表的创建、删除、修改与查询等操作</w:t>
      </w:r>
      <w:r>
        <w:rPr>
          <w:rFonts w:asciiTheme="minorEastAsia" w:hAnsiTheme="minorEastAsia" w:eastAsiaTheme="minorEastAsia"/>
          <w:color w:val="auto"/>
          <w:sz w:val="24"/>
          <w:szCs w:val="24"/>
          <w:highlight w:val="none"/>
        </w:rPr>
        <w:t>。</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6</w:t>
      </w:r>
      <w:r>
        <w:rPr>
          <w:rFonts w:hint="eastAsia" w:asciiTheme="minorEastAsia" w:hAnsiTheme="minorEastAsia" w:eastAsiaTheme="minorEastAsia"/>
          <w:color w:val="auto"/>
          <w:sz w:val="24"/>
          <w:szCs w:val="24"/>
          <w:highlight w:val="none"/>
        </w:rPr>
        <w:t>、主备集群支持快速切换，在主数据库出现故障时，能够快速切换到备用数据库，保障业务正常运行；支持无断点恢复能力。</w:t>
      </w:r>
    </w:p>
    <w:p>
      <w:pPr>
        <w:pStyle w:val="71"/>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7</w:t>
      </w:r>
      <w:r>
        <w:rPr>
          <w:rFonts w:hint="eastAsia" w:asciiTheme="minorEastAsia" w:hAnsiTheme="minorEastAsia" w:eastAsiaTheme="minorEastAsia"/>
          <w:color w:val="auto"/>
          <w:sz w:val="24"/>
          <w:szCs w:val="24"/>
          <w:highlight w:val="none"/>
        </w:rPr>
        <w:t>、系统支持在主备架构环境中实现在线增加实时同步的备份库。</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、在任意数据库实例出现故障时，集群内服务正常运行，数据不丢失，集群整体业务可用；在实例故障、节点故障等单数据库实例故障时，RPO 时间等于 0，RTO 时间小于 30s。</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9</w:t>
      </w:r>
      <w:r>
        <w:rPr>
          <w:rFonts w:hint="eastAsia" w:asciiTheme="minorEastAsia" w:hAnsiTheme="minorEastAsia" w:eastAsiaTheme="minorEastAsia"/>
          <w:color w:val="auto"/>
          <w:sz w:val="24"/>
          <w:szCs w:val="24"/>
          <w:highlight w:val="none"/>
        </w:rPr>
        <w:t>、支持同城双活/异地容灾的部署及运行方式；提供远程容灾部署与管理功能，提供生产中心与备份中心之间的容灾部署与管理功能；支持同城双中心部署，当主中心故障时，业务切换到备中心；由于网络、供电等原因造成的可用区级故障，触发集群计划外停机，在同城多可用区场景下，RPO 时间等于 0，RTO 时间小于 1 分钟。</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10</w:t>
      </w:r>
      <w:r>
        <w:rPr>
          <w:rFonts w:hint="eastAsia" w:asciiTheme="minorEastAsia" w:hAnsiTheme="minorEastAsia" w:eastAsiaTheme="minorEastAsia"/>
          <w:color w:val="auto"/>
          <w:sz w:val="24"/>
          <w:szCs w:val="24"/>
          <w:highlight w:val="none"/>
        </w:rPr>
        <w:t>、支持物理备份及恢复，包括但不限于全量、增量和差异备份及恢复功能；</w:t>
      </w:r>
      <w:bookmarkStart w:id="200" w:name="_Hlk160632272"/>
      <w:r>
        <w:rPr>
          <w:rFonts w:hint="eastAsia" w:asciiTheme="minorEastAsia" w:hAnsiTheme="minorEastAsia" w:eastAsiaTheme="minorEastAsia"/>
          <w:color w:val="auto"/>
          <w:sz w:val="24"/>
          <w:szCs w:val="24"/>
          <w:highlight w:val="none"/>
        </w:rPr>
        <w:t>支持运行状态下支持对数据库进行全库、部分、增量备份；支持多种备份存储媒体；提供数据库备份数据一致性校验的命令或工具；</w:t>
      </w:r>
      <w:bookmarkEnd w:id="200"/>
      <w:r>
        <w:rPr>
          <w:rFonts w:hint="eastAsia" w:asciiTheme="minorEastAsia" w:hAnsiTheme="minorEastAsia" w:eastAsiaTheme="minorEastAsia"/>
          <w:color w:val="auto"/>
          <w:sz w:val="24"/>
          <w:szCs w:val="24"/>
          <w:highlight w:val="none"/>
        </w:rPr>
        <w:t>支持恢复到指定时间点；支持归档备份；支持自动备份；支持备份压缩；支持逻辑备份及还原，包括但不限于数据库级、模式级、用户级、表级</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eastAsia="zh-Hans"/>
        </w:rPr>
        <w:t>与主流第三方备份软件如爱数</w:t>
      </w:r>
      <w:r>
        <w:rPr>
          <w:rFonts w:asciiTheme="minorEastAsia" w:hAnsiTheme="minorEastAsia" w:eastAsiaTheme="minorEastAsia"/>
          <w:color w:val="auto"/>
          <w:sz w:val="24"/>
          <w:szCs w:val="24"/>
          <w:highlight w:val="none"/>
          <w:lang w:eastAsia="zh-Hans"/>
        </w:rPr>
        <w:t>、</w:t>
      </w:r>
      <w:r>
        <w:rPr>
          <w:rFonts w:hint="eastAsia" w:asciiTheme="minorEastAsia" w:hAnsiTheme="minorEastAsia" w:eastAsiaTheme="minorEastAsia"/>
          <w:color w:val="auto"/>
          <w:sz w:val="24"/>
          <w:szCs w:val="24"/>
          <w:highlight w:val="none"/>
          <w:lang w:eastAsia="zh-Hans"/>
        </w:rPr>
        <w:t>鼎甲等具有良好的兼容性</w:t>
      </w:r>
      <w:r>
        <w:rPr>
          <w:rFonts w:hint="eastAsia" w:asciiTheme="minorEastAsia" w:hAnsiTheme="minorEastAsia" w:eastAsiaTheme="minorEastAsia"/>
          <w:color w:val="auto"/>
          <w:sz w:val="24"/>
          <w:szCs w:val="24"/>
          <w:highlight w:val="none"/>
        </w:rPr>
        <w:t>。</w:t>
      </w:r>
    </w:p>
    <w:p>
      <w:pPr>
        <w:pStyle w:val="71"/>
        <w:spacing w:line="360" w:lineRule="auto"/>
        <w:ind w:firstLineChars="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、数据库需具备重做日志文件和回滚日志文件能力，可完整记录数据库中数据变化，并保证多用户访问的读一致性。</w:t>
      </w:r>
    </w:p>
    <w:p>
      <w:pPr>
        <w:pStyle w:val="4"/>
        <w:keepNext/>
        <w:numPr>
          <w:ilvl w:val="1"/>
          <w:numId w:val="0"/>
        </w:numPr>
        <w:tabs>
          <w:tab w:val="left" w:pos="720"/>
        </w:tabs>
        <w:spacing w:before="120" w:after="120"/>
        <w:rPr>
          <w:color w:val="auto"/>
          <w:highlight w:val="none"/>
        </w:rPr>
      </w:pPr>
      <w:bookmarkStart w:id="201" w:name="_Toc11071"/>
      <w:bookmarkStart w:id="202" w:name="_Toc25336"/>
      <w:bookmarkStart w:id="203" w:name="_Toc97"/>
      <w:bookmarkStart w:id="204" w:name="_Toc130319376"/>
      <w:bookmarkStart w:id="205" w:name="_Toc19349"/>
      <w:bookmarkStart w:id="206" w:name="_Toc18455"/>
      <w:bookmarkStart w:id="207" w:name="_Toc22744"/>
      <w:bookmarkStart w:id="208" w:name="_Toc20730"/>
      <w:bookmarkStart w:id="209" w:name="_Toc10896"/>
      <w:bookmarkStart w:id="210" w:name="_Toc27869"/>
      <w:bookmarkStart w:id="211" w:name="_Toc5892"/>
      <w:r>
        <w:rPr>
          <w:rFonts w:hint="eastAsia" w:cs="Times New Roman"/>
          <w:b/>
          <w:bCs/>
          <w:color w:val="auto"/>
          <w:kern w:val="24"/>
          <w:sz w:val="28"/>
          <w:szCs w:val="28"/>
          <w:lang w:val="en-US" w:eastAsia="zh-CN" w:bidi="ar-SA"/>
        </w:rPr>
        <w:t>3</w:t>
      </w:r>
      <w:r>
        <w:rPr>
          <w:rFonts w:hint="eastAsia" w:ascii="宋体" w:hAnsi="宋体" w:eastAsia="宋体" w:cs="Times New Roman"/>
          <w:b/>
          <w:bCs/>
          <w:color w:val="auto"/>
          <w:kern w:val="24"/>
          <w:sz w:val="28"/>
          <w:szCs w:val="28"/>
          <w:lang w:val="en-US" w:eastAsia="zh-CN" w:bidi="ar-SA"/>
        </w:rPr>
        <w:t>.</w:t>
      </w:r>
      <w:r>
        <w:rPr>
          <w:rFonts w:hint="eastAsia" w:cs="Times New Roman"/>
          <w:b/>
          <w:bCs/>
          <w:color w:val="auto"/>
          <w:kern w:val="24"/>
          <w:sz w:val="28"/>
          <w:szCs w:val="28"/>
          <w:lang w:val="en-US" w:eastAsia="zh-CN" w:bidi="ar-SA"/>
        </w:rPr>
        <w:t>2</w:t>
      </w:r>
      <w:r>
        <w:rPr>
          <w:rFonts w:hint="eastAsia" w:asciiTheme="majorEastAsia" w:hAnsiTheme="majorEastAsia" w:eastAsiaTheme="majorEastAsia"/>
          <w:color w:val="auto"/>
          <w:sz w:val="30"/>
          <w:szCs w:val="30"/>
          <w:highlight w:val="none"/>
        </w:rPr>
        <w:t>数据库性能要求</w:t>
      </w:r>
      <w:bookmarkEnd w:id="180"/>
      <w:bookmarkEnd w:id="201"/>
      <w:bookmarkEnd w:id="202"/>
      <w:bookmarkEnd w:id="203"/>
      <w:bookmarkEnd w:id="204"/>
      <w:bookmarkEnd w:id="205"/>
      <w:bookmarkEnd w:id="206"/>
      <w:bookmarkEnd w:id="207"/>
      <w:bookmarkEnd w:id="208"/>
      <w:bookmarkEnd w:id="209"/>
      <w:bookmarkEnd w:id="210"/>
      <w:bookmarkEnd w:id="211"/>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、提供联机交易处理（OLTP）能力，同时也具备数据仓库分析（OLAP）特性。可同时支持表级的行存、列存、和行列混合存储引擎，并支持三种存储引擎表的混合查询，提供权威检测机构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出具的测试报告。</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w:t>
      </w:r>
      <w:bookmarkStart w:id="212" w:name="_Hlk160632384"/>
      <w:r>
        <w:rPr>
          <w:rFonts w:hint="eastAsia" w:asciiTheme="minorEastAsia" w:hAnsiTheme="minorEastAsia" w:eastAsiaTheme="minorEastAsia"/>
          <w:color w:val="auto"/>
          <w:sz w:val="24"/>
          <w:szCs w:val="24"/>
          <w:highlight w:val="none"/>
        </w:rPr>
        <w:t>支持 SQL 计划，使 SQL 按照指定的语句执行，并实现预期结果；</w:t>
      </w:r>
      <w:bookmarkEnd w:id="212"/>
      <w:r>
        <w:rPr>
          <w:rFonts w:hint="eastAsia" w:asciiTheme="minorEastAsia" w:hAnsiTheme="minorEastAsia" w:eastAsiaTheme="minorEastAsia"/>
          <w:color w:val="auto"/>
          <w:sz w:val="24"/>
          <w:szCs w:val="24"/>
          <w:highlight w:val="none"/>
        </w:rPr>
        <w:t>支持基于代价的查询优化器，支持表及索引的统计信息；支持通过分析对象统计信息来生成执行计划功能；支持数据库动态配置调整，支持数据库内存及执行计划智能配置</w:t>
      </w:r>
      <w:bookmarkStart w:id="213" w:name="_Hlk160632394"/>
      <w:r>
        <w:rPr>
          <w:rFonts w:hint="eastAsia" w:asciiTheme="minorEastAsia" w:hAnsiTheme="minorEastAsia" w:eastAsiaTheme="minorEastAsia"/>
          <w:color w:val="auto"/>
          <w:sz w:val="24"/>
          <w:szCs w:val="24"/>
          <w:highlight w:val="none"/>
        </w:rPr>
        <w:t>；提供与数据库管理系统进行 SQL 交互的工具，方便运维工作；支持查看 SQL 语句查询执行计划与统计信息</w:t>
      </w:r>
      <w:bookmarkEnd w:id="213"/>
      <w:r>
        <w:rPr>
          <w:rFonts w:hint="eastAsia" w:asciiTheme="minorEastAsia" w:hAnsiTheme="minorEastAsia" w:eastAsiaTheme="minorEastAsia"/>
          <w:color w:val="auto"/>
          <w:sz w:val="24"/>
          <w:szCs w:val="24"/>
          <w:highlight w:val="none"/>
        </w:rPr>
        <w:t>。</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、支持数据压缩，包括但不限于关系型数据压缩（表压缩、行压缩、索引压缩等）、备份数据压缩。</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、支持</w:t>
      </w:r>
      <w:r>
        <w:rPr>
          <w:rFonts w:hint="eastAsia" w:asciiTheme="minorEastAsia" w:hAnsiTheme="minorEastAsia" w:eastAsiaTheme="minorEastAsia"/>
          <w:color w:val="auto"/>
          <w:sz w:val="24"/>
          <w:szCs w:val="24"/>
          <w:highlight w:val="none"/>
          <w:lang w:val="en-US" w:eastAsia="zh-CN"/>
        </w:rPr>
        <w:t>不少于</w:t>
      </w:r>
      <w:r>
        <w:rPr>
          <w:rFonts w:asciiTheme="minorEastAsia" w:hAnsiTheme="minorEastAsia" w:eastAsiaTheme="minorEastAsia"/>
          <w:color w:val="auto"/>
          <w:sz w:val="24"/>
          <w:szCs w:val="24"/>
          <w:highlight w:val="none"/>
        </w:rPr>
        <w:t>3000</w:t>
      </w:r>
      <w:r>
        <w:rPr>
          <w:rFonts w:hint="eastAsia" w:asciiTheme="minorEastAsia" w:hAnsiTheme="minorEastAsia" w:eastAsiaTheme="minorEastAsia"/>
          <w:color w:val="auto"/>
          <w:sz w:val="24"/>
          <w:szCs w:val="24"/>
          <w:highlight w:val="none"/>
        </w:rPr>
        <w:t>用户在线并发访问，</w:t>
      </w:r>
      <w:r>
        <w:rPr>
          <w:rFonts w:asciiTheme="minorEastAsia" w:hAnsiTheme="minorEastAsia" w:eastAsiaTheme="minorEastAsia"/>
          <w:color w:val="auto"/>
          <w:sz w:val="24"/>
          <w:szCs w:val="24"/>
          <w:highlight w:val="none"/>
        </w:rPr>
        <w:t>TPS</w:t>
      </w:r>
      <w:r>
        <w:rPr>
          <w:rFonts w:hint="eastAsia" w:asciiTheme="minorEastAsia" w:hAnsiTheme="minorEastAsia" w:eastAsiaTheme="minorEastAsia"/>
          <w:color w:val="auto"/>
          <w:sz w:val="24"/>
          <w:szCs w:val="24"/>
          <w:highlight w:val="none"/>
        </w:rPr>
        <w:t>不小于10000，QPS不小于10000。</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、支持大数据量的加载，数据加载操作支持多CPU并行。单表插入100万数据小于</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秒，平均存储性能可达到80万条/秒以上，单库单表导入200万行数据小于3秒，批量导入性能可达到70万条/秒以上；支持1GB以上数据备份完成时间在</w:t>
      </w:r>
      <w:r>
        <w:rPr>
          <w:rFonts w:asciiTheme="minorEastAsia" w:hAnsiTheme="minorEastAsia" w:eastAsiaTheme="minorEastAsia"/>
          <w:color w:val="auto"/>
          <w:sz w:val="24"/>
          <w:szCs w:val="24"/>
          <w:highlight w:val="none"/>
        </w:rPr>
        <w:t>10</w:t>
      </w:r>
      <w:r>
        <w:rPr>
          <w:rFonts w:hint="eastAsia" w:asciiTheme="minorEastAsia" w:hAnsiTheme="minorEastAsia" w:eastAsiaTheme="minorEastAsia"/>
          <w:color w:val="auto"/>
          <w:sz w:val="24"/>
          <w:szCs w:val="24"/>
          <w:highlight w:val="none"/>
        </w:rPr>
        <w:t>秒以内，恢复完成时间在3</w:t>
      </w:r>
      <w:r>
        <w:rPr>
          <w:rFonts w:asciiTheme="minorEastAsia" w:hAnsiTheme="minorEastAsia" w:eastAsiaTheme="minorEastAsia"/>
          <w:color w:val="auto"/>
          <w:sz w:val="24"/>
          <w:szCs w:val="24"/>
          <w:highlight w:val="none"/>
        </w:rPr>
        <w:t>0</w:t>
      </w:r>
      <w:r>
        <w:rPr>
          <w:rFonts w:hint="eastAsia" w:asciiTheme="minorEastAsia" w:hAnsiTheme="minorEastAsia" w:eastAsiaTheme="minorEastAsia"/>
          <w:color w:val="auto"/>
          <w:sz w:val="24"/>
          <w:szCs w:val="24"/>
          <w:highlight w:val="none"/>
        </w:rPr>
        <w:t>秒以内。提供权威检测机构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出具的测试报告。</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6、关系型数据库性能要求能处理TB级以上容量的数据，系统响应时间达到秒级。</w:t>
      </w:r>
    </w:p>
    <w:p>
      <w:pPr>
        <w:pStyle w:val="4"/>
        <w:keepNext/>
        <w:numPr>
          <w:ilvl w:val="1"/>
          <w:numId w:val="0"/>
        </w:numPr>
        <w:tabs>
          <w:tab w:val="left" w:pos="720"/>
        </w:tabs>
        <w:spacing w:before="120" w:after="120"/>
        <w:rPr>
          <w:rFonts w:asciiTheme="majorEastAsia" w:hAnsiTheme="majorEastAsia" w:eastAsiaTheme="majorEastAsia"/>
          <w:color w:val="auto"/>
          <w:sz w:val="30"/>
          <w:szCs w:val="30"/>
          <w:highlight w:val="none"/>
        </w:rPr>
      </w:pPr>
      <w:bookmarkStart w:id="214" w:name="_Toc22589"/>
      <w:bookmarkStart w:id="215" w:name="_Toc471"/>
      <w:bookmarkStart w:id="216" w:name="_Toc1811"/>
      <w:bookmarkStart w:id="217" w:name="_Toc130319377"/>
      <w:bookmarkStart w:id="218" w:name="_Toc5630"/>
      <w:bookmarkStart w:id="219" w:name="_Toc16906"/>
      <w:bookmarkStart w:id="220" w:name="_Toc29733"/>
      <w:bookmarkStart w:id="221" w:name="_Toc2955"/>
      <w:bookmarkStart w:id="222" w:name="_Toc11504"/>
      <w:bookmarkStart w:id="223" w:name="_Toc31538"/>
      <w:bookmarkStart w:id="224" w:name="_Toc12068"/>
      <w:bookmarkStart w:id="225" w:name="_Toc24993"/>
      <w:r>
        <w:rPr>
          <w:rFonts w:hint="eastAsia" w:cs="Times New Roman" w:asciiTheme="majorEastAsia" w:hAnsiTheme="majorEastAsia" w:eastAsiaTheme="majorEastAsia"/>
          <w:b/>
          <w:bCs/>
          <w:color w:val="auto"/>
          <w:kern w:val="24"/>
          <w:sz w:val="30"/>
          <w:szCs w:val="30"/>
          <w:lang w:val="en-US" w:eastAsia="zh-CN" w:bidi="ar-SA"/>
        </w:rPr>
        <w:t>3.3</w:t>
      </w:r>
      <w:r>
        <w:rPr>
          <w:rFonts w:hint="eastAsia" w:asciiTheme="majorEastAsia" w:hAnsiTheme="majorEastAsia" w:eastAsiaTheme="majorEastAsia"/>
          <w:color w:val="auto"/>
          <w:sz w:val="30"/>
          <w:szCs w:val="30"/>
          <w:highlight w:val="none"/>
        </w:rPr>
        <w:t>数据库安全</w:t>
      </w:r>
      <w:r>
        <w:rPr>
          <w:rFonts w:hint="eastAsia" w:asciiTheme="majorEastAsia" w:hAnsiTheme="majorEastAsia" w:eastAsiaTheme="majorEastAsia"/>
          <w:color w:val="auto"/>
          <w:sz w:val="30"/>
          <w:szCs w:val="30"/>
          <w:highlight w:val="none"/>
          <w:lang w:val="en-US" w:eastAsia="zh-CN"/>
        </w:rPr>
        <w:t>要</w:t>
      </w:r>
      <w:r>
        <w:rPr>
          <w:rFonts w:hint="eastAsia" w:asciiTheme="majorEastAsia" w:hAnsiTheme="majorEastAsia" w:eastAsiaTheme="majorEastAsia"/>
          <w:color w:val="auto"/>
          <w:sz w:val="30"/>
          <w:szCs w:val="30"/>
          <w:highlight w:val="none"/>
        </w:rPr>
        <w:t>求</w:t>
      </w:r>
      <w:bookmarkEnd w:id="214"/>
      <w:bookmarkEnd w:id="215"/>
      <w:bookmarkEnd w:id="216"/>
      <w:bookmarkEnd w:id="217"/>
      <w:bookmarkEnd w:id="218"/>
      <w:bookmarkEnd w:id="219"/>
      <w:bookmarkEnd w:id="220"/>
      <w:bookmarkEnd w:id="221"/>
      <w:bookmarkEnd w:id="222"/>
      <w:bookmarkEnd w:id="223"/>
      <w:bookmarkEnd w:id="224"/>
      <w:bookmarkEnd w:id="225"/>
    </w:p>
    <w:p>
      <w:pPr>
        <w:pStyle w:val="71"/>
        <w:spacing w:line="360" w:lineRule="auto"/>
        <w:ind w:firstLineChars="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提供权限管理功能，权限控制粒度可到表的字段级别；提供角色、黑白名单权限控制；提供赋予/撤销权限等操作。支持多元的、安全的管理体系结构，而非只有数据库管理员的一元管理结构，数据库的系统管理、安全管理、系统审计权限分别由不同的管理角色承担，且彼此间互相独立、互相合作。</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、支持全库加密，可以在数据库初始化时配置加密选项，类型包括但不限于DES_ECB、DES_CBC、AES等；支持多种身份鉴别，支持基于主机操作系统、口令等身份鉴别方式。</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支持基于SM4算法的存储加密，支持数据加密存储，支持国密算法加密，支持全面加密，数据文件、日志文件、备份文件、导入导出文件等均支持透明加密；支持数据库级、表级、列级等不同级别加密，支持不同用户、不同列设置不同密钥。</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支持审计功能，可以进行语句级和对象级审计，审计范围可设置；支持审计日志分析，过滤审计日志信息；支持资源限制功能，包括但不限于限制系统最大会话数、限制登录失败次数、限制登录时间、限制登陆IP、限制会话有效期等。</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bookmarkStart w:id="226" w:name="_Hlk160632424"/>
      <w:r>
        <w:rPr>
          <w:rFonts w:hint="eastAsia" w:asciiTheme="minorEastAsia" w:hAnsiTheme="minorEastAsia" w:eastAsiaTheme="minorEastAsia"/>
          <w:color w:val="auto"/>
          <w:sz w:val="24"/>
          <w:szCs w:val="24"/>
          <w:highlight w:val="none"/>
        </w:rPr>
        <w:t>建立漏洞管理机制，及时通过邮件、网站等方式将安全漏洞告知用户，并提供安全补丁对漏洞进行修复</w:t>
      </w:r>
      <w:bookmarkEnd w:id="226"/>
      <w:r>
        <w:rPr>
          <w:rFonts w:hint="eastAsia" w:asciiTheme="minorEastAsia" w:hAnsiTheme="minorEastAsia" w:eastAsiaTheme="minorEastAsia"/>
          <w:color w:val="auto"/>
          <w:sz w:val="24"/>
          <w:szCs w:val="24"/>
          <w:highlight w:val="none"/>
        </w:rPr>
        <w:t>。</w:t>
      </w:r>
    </w:p>
    <w:p>
      <w:pPr>
        <w:pStyle w:val="4"/>
        <w:keepNext/>
        <w:numPr>
          <w:ilvl w:val="1"/>
          <w:numId w:val="0"/>
        </w:numPr>
        <w:tabs>
          <w:tab w:val="left" w:pos="720"/>
        </w:tabs>
        <w:spacing w:before="120" w:after="120"/>
        <w:rPr>
          <w:rFonts w:asciiTheme="majorEastAsia" w:hAnsiTheme="majorEastAsia" w:eastAsiaTheme="majorEastAsia"/>
          <w:color w:val="auto"/>
          <w:sz w:val="30"/>
          <w:szCs w:val="30"/>
          <w:highlight w:val="none"/>
        </w:rPr>
      </w:pPr>
      <w:bookmarkStart w:id="227" w:name="_Toc12548"/>
      <w:bookmarkStart w:id="228" w:name="_Toc6815"/>
      <w:bookmarkStart w:id="229" w:name="_Toc14575"/>
      <w:bookmarkStart w:id="230" w:name="_Toc2005"/>
      <w:bookmarkStart w:id="231" w:name="_Toc3244"/>
      <w:bookmarkStart w:id="232" w:name="_Toc8222"/>
      <w:bookmarkStart w:id="233" w:name="_Toc18961"/>
      <w:bookmarkStart w:id="234" w:name="_Toc28936"/>
      <w:bookmarkStart w:id="235" w:name="_Toc130319378"/>
      <w:bookmarkStart w:id="236" w:name="_Toc9414"/>
      <w:bookmarkStart w:id="237" w:name="_Toc21127"/>
      <w:r>
        <w:rPr>
          <w:rFonts w:hint="eastAsia" w:cs="Times New Roman" w:asciiTheme="majorEastAsia" w:hAnsiTheme="majorEastAsia" w:eastAsiaTheme="majorEastAsia"/>
          <w:b/>
          <w:bCs/>
          <w:color w:val="auto"/>
          <w:kern w:val="24"/>
          <w:sz w:val="30"/>
          <w:szCs w:val="30"/>
          <w:lang w:val="en-US" w:eastAsia="zh-CN" w:bidi="ar-SA"/>
        </w:rPr>
        <w:t>3.4</w:t>
      </w:r>
      <w:r>
        <w:rPr>
          <w:rFonts w:hint="eastAsia" w:asciiTheme="majorEastAsia" w:hAnsiTheme="majorEastAsia" w:eastAsiaTheme="majorEastAsia"/>
          <w:color w:val="auto"/>
          <w:sz w:val="30"/>
          <w:szCs w:val="30"/>
          <w:highlight w:val="none"/>
        </w:rPr>
        <w:t>数据库兼容性</w:t>
      </w:r>
      <w:r>
        <w:rPr>
          <w:rFonts w:hint="eastAsia" w:asciiTheme="majorEastAsia" w:hAnsiTheme="majorEastAsia" w:eastAsiaTheme="majorEastAsia"/>
          <w:color w:val="auto"/>
          <w:sz w:val="30"/>
          <w:szCs w:val="30"/>
          <w:highlight w:val="none"/>
          <w:lang w:val="en-US" w:eastAsia="zh-CN"/>
        </w:rPr>
        <w:t>要</w:t>
      </w:r>
      <w:r>
        <w:rPr>
          <w:rFonts w:hint="eastAsia" w:asciiTheme="majorEastAsia" w:hAnsiTheme="majorEastAsia" w:eastAsiaTheme="majorEastAsia"/>
          <w:color w:val="auto"/>
          <w:sz w:val="30"/>
          <w:szCs w:val="30"/>
          <w:highlight w:val="none"/>
        </w:rPr>
        <w:t>求</w:t>
      </w:r>
      <w:bookmarkEnd w:id="227"/>
      <w:bookmarkEnd w:id="228"/>
      <w:bookmarkEnd w:id="229"/>
      <w:bookmarkEnd w:id="230"/>
      <w:bookmarkEnd w:id="231"/>
      <w:bookmarkEnd w:id="232"/>
      <w:bookmarkEnd w:id="233"/>
      <w:bookmarkEnd w:id="234"/>
      <w:bookmarkEnd w:id="235"/>
      <w:bookmarkEnd w:id="236"/>
      <w:bookmarkEnd w:id="237"/>
    </w:p>
    <w:p>
      <w:pPr>
        <w:pStyle w:val="71"/>
        <w:numPr>
          <w:ilvl w:val="0"/>
          <w:numId w:val="6"/>
        </w:numPr>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具备良好的S</w:t>
      </w:r>
      <w:r>
        <w:rPr>
          <w:rFonts w:asciiTheme="minorEastAsia" w:hAnsiTheme="minorEastAsia" w:eastAsiaTheme="minorEastAsia"/>
          <w:color w:val="auto"/>
          <w:sz w:val="24"/>
          <w:szCs w:val="24"/>
          <w:highlight w:val="none"/>
        </w:rPr>
        <w:t>QL</w:t>
      </w:r>
      <w:r>
        <w:rPr>
          <w:rFonts w:hint="eastAsia" w:asciiTheme="minorEastAsia" w:hAnsiTheme="minorEastAsia" w:eastAsiaTheme="minorEastAsia"/>
          <w:color w:val="auto"/>
          <w:sz w:val="24"/>
          <w:szCs w:val="24"/>
          <w:highlight w:val="none"/>
        </w:rPr>
        <w:t>兼容性，支持ANSI/ISO SQL 92</w:t>
      </w:r>
      <w:r>
        <w:rPr>
          <w:rFonts w:hint="eastAsia" w:asciiTheme="minorEastAsia" w:hAnsiTheme="minorEastAsia" w:eastAsiaTheme="minorEastAsia"/>
          <w:color w:val="auto"/>
          <w:sz w:val="24"/>
          <w:szCs w:val="24"/>
          <w:highlight w:val="none"/>
          <w:lang w:val="en-US" w:eastAsia="zh-CN"/>
        </w:rPr>
        <w:t>及以上</w:t>
      </w:r>
      <w:r>
        <w:rPr>
          <w:rFonts w:hint="eastAsia" w:asciiTheme="minorEastAsia" w:hAnsiTheme="minorEastAsia" w:eastAsiaTheme="minorEastAsia"/>
          <w:color w:val="auto"/>
          <w:sz w:val="24"/>
          <w:szCs w:val="24"/>
          <w:highlight w:val="none"/>
        </w:rPr>
        <w:t>标准。</w:t>
      </w:r>
    </w:p>
    <w:p>
      <w:pPr>
        <w:pStyle w:val="71"/>
        <w:numPr>
          <w:ilvl w:val="0"/>
          <w:numId w:val="6"/>
        </w:numPr>
        <w:spacing w:line="360" w:lineRule="auto"/>
        <w:ind w:firstLine="480"/>
        <w:rPr>
          <w:rFonts w:asciiTheme="minorEastAsia" w:hAnsiTheme="minorEastAsia" w:eastAsiaTheme="minorEastAsia"/>
          <w:color w:val="auto"/>
          <w:sz w:val="24"/>
          <w:szCs w:val="24"/>
          <w:highlight w:val="none"/>
        </w:rPr>
      </w:pPr>
      <w:bookmarkStart w:id="238" w:name="_Hlk160632671"/>
      <w:r>
        <w:rPr>
          <w:rFonts w:hint="eastAsia" w:asciiTheme="minorEastAsia" w:hAnsiTheme="minorEastAsia" w:eastAsiaTheme="minorEastAsia"/>
          <w:color w:val="auto"/>
          <w:sz w:val="24"/>
          <w:szCs w:val="24"/>
          <w:highlight w:val="none"/>
        </w:rPr>
        <w:t>支持数值计算函数、字符处理函数、日期时间值函数、间隔函数、类型转换函数、位运算函数、聚合函数、格式化、系统信息等常用函数；</w:t>
      </w:r>
      <w:bookmarkEnd w:id="238"/>
      <w:r>
        <w:rPr>
          <w:rFonts w:hint="eastAsia" w:asciiTheme="minorEastAsia" w:hAnsiTheme="minorEastAsia" w:eastAsiaTheme="minorEastAsia"/>
          <w:color w:val="auto"/>
          <w:sz w:val="24"/>
          <w:szCs w:val="24"/>
          <w:highlight w:val="none"/>
        </w:rPr>
        <w:t>提供丰富的分析函数，如AVG OVER、COUNT OVER、MAX OVER、MIN OVER、SUM OVER、RANK OVER、DENSE_RANK、ROW_NUMBER、FIRST、LAG、WM_CONCAT等。</w:t>
      </w:r>
      <w:r>
        <w:rPr>
          <w:rFonts w:asciiTheme="minorEastAsia" w:hAnsiTheme="minorEastAsia" w:eastAsiaTheme="minorEastAsia"/>
          <w:color w:val="auto"/>
          <w:sz w:val="24"/>
          <w:szCs w:val="24"/>
          <w:highlight w:val="none"/>
        </w:rPr>
        <w:t xml:space="preserve"> </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、具有良好的接口兼容性，支持ODBC、J</w:t>
      </w:r>
      <w:r>
        <w:rPr>
          <w:rFonts w:asciiTheme="minorEastAsia" w:hAnsiTheme="minorEastAsia" w:eastAsiaTheme="minorEastAsia"/>
          <w:color w:val="auto"/>
          <w:sz w:val="24"/>
          <w:szCs w:val="24"/>
          <w:highlight w:val="none"/>
        </w:rPr>
        <w:t>DBC</w:t>
      </w:r>
      <w:r>
        <w:rPr>
          <w:rFonts w:hint="eastAsia" w:asciiTheme="minorEastAsia" w:hAnsiTheme="minorEastAsia" w:eastAsiaTheme="minorEastAsia"/>
          <w:color w:val="auto"/>
          <w:sz w:val="24"/>
          <w:szCs w:val="24"/>
          <w:highlight w:val="none"/>
        </w:rPr>
        <w:t>、OCI等开发接口；支持Spring、Druid等开发框架；支持Java、PHP、Python等开发语言。</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、支持多种网络通信协议，如TCP/IP（IPv4、IPv6）等。</w:t>
      </w:r>
    </w:p>
    <w:p>
      <w:pPr>
        <w:pStyle w:val="71"/>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支持跨平台迁移能力，支持主流数据库的双向平滑迁移，提供图形化向导式迁移模式以及迁移异常信息记录和保存、配置迁移策略和并行化数据迁移、批量数据快速加载方式、命令行式迁移模式、文件迁移、双向迁移。</w:t>
      </w:r>
    </w:p>
    <w:p>
      <w:pPr>
        <w:pStyle w:val="71"/>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6、提供数据库对象、表数据快速迁移的功能；支持数据迁移工具实现同构或异构数据库之间的数据迁移</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支持从O</w:t>
      </w:r>
      <w:r>
        <w:rPr>
          <w:rFonts w:hint="eastAsia" w:asciiTheme="minorEastAsia" w:hAnsiTheme="minorEastAsia" w:eastAsiaTheme="minorEastAsia"/>
          <w:color w:val="auto"/>
          <w:sz w:val="24"/>
          <w:szCs w:val="24"/>
          <w:highlight w:val="none"/>
          <w:lang w:eastAsia="zh-CN"/>
        </w:rPr>
        <w:t>ra</w:t>
      </w:r>
      <w:r>
        <w:rPr>
          <w:rFonts w:hint="eastAsia" w:asciiTheme="minorEastAsia" w:hAnsiTheme="minorEastAsia" w:eastAsiaTheme="minorEastAsia"/>
          <w:color w:val="auto"/>
          <w:sz w:val="24"/>
          <w:szCs w:val="24"/>
          <w:highlight w:val="none"/>
          <w:lang w:val="en-US" w:eastAsia="zh-CN"/>
        </w:rPr>
        <w:t>cl</w:t>
      </w:r>
      <w:r>
        <w:rPr>
          <w:rFonts w:hint="eastAsia" w:asciiTheme="minorEastAsia" w:hAnsiTheme="minorEastAsia" w:eastAsiaTheme="minorEastAsia"/>
          <w:color w:val="auto"/>
          <w:sz w:val="24"/>
          <w:szCs w:val="24"/>
          <w:highlight w:val="none"/>
          <w:lang w:eastAsia="zh-CN"/>
        </w:rPr>
        <w:t>e、</w:t>
      </w:r>
      <w:r>
        <w:rPr>
          <w:rFonts w:hint="eastAsia" w:asciiTheme="minorEastAsia" w:hAnsiTheme="minorEastAsia" w:eastAsiaTheme="minorEastAsia"/>
          <w:color w:val="auto"/>
          <w:sz w:val="24"/>
          <w:szCs w:val="24"/>
          <w:highlight w:val="none"/>
          <w:lang w:val="en-US" w:eastAsia="zh-CN"/>
        </w:rPr>
        <w:t>MYSQL</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PostgreSQL</w:t>
      </w:r>
      <w:r>
        <w:rPr>
          <w:rFonts w:hint="eastAsia" w:asciiTheme="minorEastAsia" w:hAnsiTheme="minorEastAsia" w:eastAsiaTheme="minorEastAsia"/>
          <w:color w:val="auto"/>
          <w:sz w:val="24"/>
          <w:szCs w:val="24"/>
          <w:highlight w:val="none"/>
          <w:lang w:eastAsia="zh-CN"/>
        </w:rPr>
        <w:t>等</w:t>
      </w:r>
      <w:r>
        <w:rPr>
          <w:rFonts w:hint="eastAsia" w:asciiTheme="minorEastAsia" w:hAnsiTheme="minorEastAsia" w:eastAsiaTheme="minorEastAsia"/>
          <w:color w:val="auto"/>
          <w:sz w:val="24"/>
          <w:szCs w:val="24"/>
          <w:highlight w:val="none"/>
          <w:lang w:val="en-US" w:eastAsia="zh-CN"/>
        </w:rPr>
        <w:t>数据库进行迁移</w:t>
      </w:r>
      <w:r>
        <w:rPr>
          <w:rFonts w:hint="eastAsia" w:asciiTheme="minorEastAsia" w:hAnsiTheme="minorEastAsia" w:eastAsiaTheme="minorEastAsia"/>
          <w:color w:val="auto"/>
          <w:sz w:val="24"/>
          <w:szCs w:val="24"/>
          <w:highlight w:val="none"/>
        </w:rPr>
        <w:t>；在数据迁移过程中具备应对传输异常的能力，保障数据迁移的稳定性、连续性和一致性；支持对源数据库和目标数据库之间的数据进行比对，支持数据一致性，并提供一致性比对报告。</w:t>
      </w:r>
    </w:p>
    <w:p>
      <w:pPr>
        <w:pStyle w:val="4"/>
        <w:keepNext/>
        <w:numPr>
          <w:ilvl w:val="1"/>
          <w:numId w:val="0"/>
        </w:numPr>
        <w:spacing w:before="120" w:after="120"/>
        <w:rPr>
          <w:rFonts w:asciiTheme="majorEastAsia" w:hAnsiTheme="majorEastAsia" w:eastAsiaTheme="majorEastAsia"/>
          <w:color w:val="auto"/>
          <w:sz w:val="30"/>
          <w:szCs w:val="30"/>
          <w:highlight w:val="none"/>
        </w:rPr>
      </w:pPr>
      <w:bookmarkStart w:id="239" w:name="_Toc721"/>
      <w:bookmarkStart w:id="240" w:name="_Toc29893"/>
      <w:bookmarkStart w:id="241" w:name="_Toc130319373"/>
      <w:bookmarkStart w:id="242" w:name="_Toc3881"/>
      <w:bookmarkStart w:id="243" w:name="_Toc30843"/>
      <w:bookmarkStart w:id="244" w:name="_Toc19565"/>
      <w:bookmarkStart w:id="245" w:name="_Toc28837"/>
      <w:bookmarkStart w:id="246" w:name="_Toc20553"/>
      <w:bookmarkStart w:id="247" w:name="_Toc23866"/>
      <w:bookmarkStart w:id="248" w:name="_Toc644"/>
      <w:bookmarkStart w:id="249" w:name="_Toc30169"/>
      <w:r>
        <w:rPr>
          <w:rFonts w:hint="eastAsia" w:cs="Times New Roman" w:asciiTheme="majorEastAsia" w:hAnsiTheme="majorEastAsia" w:eastAsiaTheme="majorEastAsia"/>
          <w:b/>
          <w:bCs/>
          <w:color w:val="auto"/>
          <w:kern w:val="24"/>
          <w:sz w:val="30"/>
          <w:szCs w:val="30"/>
          <w:lang w:val="en-US" w:eastAsia="zh-CN" w:bidi="ar-SA"/>
        </w:rPr>
        <w:t>3.5</w:t>
      </w:r>
      <w:r>
        <w:rPr>
          <w:rFonts w:hint="eastAsia" w:asciiTheme="majorEastAsia" w:hAnsiTheme="majorEastAsia" w:eastAsiaTheme="majorEastAsia"/>
          <w:color w:val="auto"/>
          <w:sz w:val="30"/>
          <w:szCs w:val="30"/>
          <w:highlight w:val="none"/>
        </w:rPr>
        <w:t>数据库成熟度</w:t>
      </w:r>
      <w:r>
        <w:rPr>
          <w:rFonts w:hint="eastAsia" w:asciiTheme="majorEastAsia" w:hAnsiTheme="majorEastAsia" w:eastAsiaTheme="majorEastAsia"/>
          <w:color w:val="auto"/>
          <w:sz w:val="30"/>
          <w:szCs w:val="30"/>
          <w:highlight w:val="none"/>
          <w:lang w:val="en-US" w:eastAsia="zh-CN"/>
        </w:rPr>
        <w:t>要</w:t>
      </w:r>
      <w:r>
        <w:rPr>
          <w:rFonts w:hint="eastAsia" w:asciiTheme="majorEastAsia" w:hAnsiTheme="majorEastAsia" w:eastAsiaTheme="majorEastAsia"/>
          <w:color w:val="auto"/>
          <w:sz w:val="30"/>
          <w:szCs w:val="30"/>
          <w:highlight w:val="none"/>
        </w:rPr>
        <w:t>求</w:t>
      </w:r>
      <w:bookmarkEnd w:id="239"/>
      <w:bookmarkEnd w:id="240"/>
      <w:bookmarkEnd w:id="241"/>
      <w:bookmarkEnd w:id="242"/>
      <w:bookmarkEnd w:id="243"/>
      <w:bookmarkEnd w:id="244"/>
      <w:bookmarkEnd w:id="245"/>
      <w:bookmarkEnd w:id="246"/>
      <w:bookmarkEnd w:id="247"/>
      <w:bookmarkEnd w:id="248"/>
      <w:bookmarkEnd w:id="249"/>
    </w:p>
    <w:p>
      <w:pPr>
        <w:pStyle w:val="71"/>
        <w:spacing w:line="360" w:lineRule="auto"/>
        <w:rPr>
          <w:rFonts w:asciiTheme="minorEastAsia" w:hAnsiTheme="minorEastAsia" w:eastAsiaTheme="minorEastAsia"/>
          <w:color w:val="auto"/>
          <w:sz w:val="24"/>
          <w:szCs w:val="24"/>
          <w:highlight w:val="none"/>
        </w:rPr>
      </w:pPr>
      <w:r>
        <w:rPr>
          <w:rFonts w:hint="eastAsia" w:ascii="宋体" w:hAnsi="宋体"/>
          <w:color w:val="auto"/>
          <w:szCs w:val="21"/>
          <w:highlight w:val="none"/>
        </w:rPr>
        <w:t>★</w:t>
      </w:r>
      <w:r>
        <w:rPr>
          <w:rFonts w:hint="eastAsia" w:asciiTheme="minorEastAsia" w:hAnsiTheme="minorEastAsia" w:eastAsiaTheme="minorEastAsia"/>
          <w:color w:val="auto"/>
          <w:sz w:val="24"/>
          <w:szCs w:val="24"/>
          <w:highlight w:val="none"/>
        </w:rPr>
        <w:t>1、数据库产品拥有自主知识产权，避免潜在的产权纠纷，产品核心模块的核心源码自主代码率不低于95%，以便能即时解决</w:t>
      </w:r>
      <w:r>
        <w:rPr>
          <w:rFonts w:hint="eastAsia" w:asciiTheme="minorEastAsia" w:hAnsiTheme="minorEastAsia" w:eastAsiaTheme="minorEastAsia"/>
          <w:color w:val="auto"/>
          <w:sz w:val="24"/>
          <w:szCs w:val="24"/>
          <w:highlight w:val="none"/>
          <w:lang w:eastAsia="zh-Hans"/>
        </w:rPr>
        <w:t>在系统建设</w:t>
      </w:r>
      <w:r>
        <w:rPr>
          <w:rFonts w:hint="eastAsia" w:asciiTheme="minorEastAsia" w:hAnsiTheme="minorEastAsia" w:eastAsiaTheme="minorEastAsia"/>
          <w:color w:val="auto"/>
          <w:sz w:val="24"/>
          <w:szCs w:val="24"/>
          <w:highlight w:val="none"/>
        </w:rPr>
        <w:t>过程中新功能开发需求及问题</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降低改造及运行风险。需提供权威评测机构</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检测机构需要同时具备CMA和CNAS的资质</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出具</w:t>
      </w:r>
      <w:r>
        <w:rPr>
          <w:rFonts w:hint="eastAsia" w:asciiTheme="minorEastAsia" w:hAnsiTheme="minorEastAsia" w:eastAsiaTheme="minorEastAsia"/>
          <w:color w:val="auto"/>
          <w:sz w:val="24"/>
          <w:szCs w:val="24"/>
          <w:highlight w:val="none"/>
        </w:rPr>
        <w:t>的</w:t>
      </w:r>
      <w:r>
        <w:rPr>
          <w:rFonts w:hint="eastAsia" w:asciiTheme="minorEastAsia" w:hAnsiTheme="minorEastAsia" w:eastAsiaTheme="minorEastAsia"/>
          <w:color w:val="auto"/>
          <w:sz w:val="24"/>
          <w:szCs w:val="24"/>
          <w:highlight w:val="none"/>
          <w:lang w:val="en-US" w:eastAsia="zh-CN"/>
        </w:rPr>
        <w:t>核心源码的</w:t>
      </w:r>
      <w:r>
        <w:rPr>
          <w:rFonts w:hint="eastAsia" w:asciiTheme="minorEastAsia" w:hAnsiTheme="minorEastAsia" w:eastAsiaTheme="minorEastAsia"/>
          <w:color w:val="auto"/>
          <w:sz w:val="24"/>
          <w:szCs w:val="24"/>
          <w:highlight w:val="none"/>
        </w:rPr>
        <w:t>自主代码率</w:t>
      </w:r>
      <w:r>
        <w:rPr>
          <w:rFonts w:hint="eastAsia" w:asciiTheme="minorEastAsia" w:hAnsiTheme="minorEastAsia" w:eastAsiaTheme="minorEastAsia"/>
          <w:color w:val="auto"/>
          <w:sz w:val="24"/>
          <w:szCs w:val="24"/>
          <w:highlight w:val="none"/>
          <w:lang w:val="en-US" w:eastAsia="zh-CN"/>
        </w:rPr>
        <w:t>测试报告</w:t>
      </w:r>
      <w:r>
        <w:rPr>
          <w:rFonts w:hint="eastAsia" w:asciiTheme="minorEastAsia" w:hAnsiTheme="minorEastAsia" w:eastAsiaTheme="minorEastAsia"/>
          <w:color w:val="auto"/>
          <w:sz w:val="24"/>
          <w:szCs w:val="24"/>
          <w:highlight w:val="none"/>
        </w:rPr>
        <w:t>和信息技术产品自主原创性测评证书（提供</w:t>
      </w:r>
      <w:r>
        <w:rPr>
          <w:rFonts w:hint="eastAsia" w:asciiTheme="minorEastAsia" w:hAnsiTheme="minorEastAsia" w:eastAsiaTheme="minorEastAsia"/>
          <w:color w:val="auto"/>
          <w:sz w:val="24"/>
          <w:szCs w:val="24"/>
          <w:highlight w:val="none"/>
          <w:lang w:val="en-US" w:eastAsia="zh-CN"/>
        </w:rPr>
        <w:t>测试报告复印件、</w:t>
      </w:r>
      <w:r>
        <w:rPr>
          <w:rFonts w:hint="eastAsia" w:asciiTheme="minorEastAsia" w:hAnsiTheme="minorEastAsia" w:eastAsiaTheme="minorEastAsia"/>
          <w:color w:val="auto"/>
          <w:sz w:val="24"/>
          <w:szCs w:val="24"/>
          <w:highlight w:val="none"/>
        </w:rPr>
        <w:t>证书复印件并加盖原厂商公章）。</w:t>
      </w:r>
    </w:p>
    <w:p>
      <w:pPr>
        <w:pStyle w:val="71"/>
        <w:spacing w:line="360" w:lineRule="auto"/>
        <w:rPr>
          <w:rFonts w:asciiTheme="minorEastAsia" w:hAnsiTheme="minorEastAsia" w:eastAsiaTheme="minorEastAsia"/>
          <w:color w:val="auto"/>
          <w:sz w:val="24"/>
          <w:szCs w:val="24"/>
          <w:highlight w:val="none"/>
        </w:rPr>
      </w:pPr>
      <w:r>
        <w:rPr>
          <w:rFonts w:hint="eastAsia" w:ascii="宋体" w:hAnsi="宋体"/>
          <w:color w:val="auto"/>
          <w:szCs w:val="21"/>
          <w:highlight w:val="none"/>
        </w:rPr>
        <w:t>★</w:t>
      </w:r>
      <w:r>
        <w:rPr>
          <w:rFonts w:hint="eastAsia" w:asciiTheme="minorEastAsia" w:hAnsiTheme="minorEastAsia" w:eastAsiaTheme="minorEastAsia"/>
          <w:color w:val="auto"/>
          <w:sz w:val="24"/>
          <w:szCs w:val="24"/>
          <w:highlight w:val="none"/>
        </w:rPr>
        <w:t>2、数据库原厂商有较强的知识产权创新能力，具有</w:t>
      </w:r>
      <w:r>
        <w:rPr>
          <w:rFonts w:hint="eastAsia" w:asciiTheme="minorEastAsia" w:hAnsiTheme="minorEastAsia" w:eastAsiaTheme="minorEastAsia"/>
          <w:color w:val="auto"/>
          <w:sz w:val="24"/>
          <w:szCs w:val="24"/>
          <w:highlight w:val="none"/>
          <w:lang w:val="en-US" w:eastAsia="zh-CN"/>
        </w:rPr>
        <w:t>5</w:t>
      </w:r>
      <w:r>
        <w:rPr>
          <w:rFonts w:hint="eastAsia" w:asciiTheme="minorEastAsia" w:hAnsiTheme="minorEastAsia" w:eastAsiaTheme="minorEastAsia"/>
          <w:color w:val="auto"/>
          <w:sz w:val="24"/>
          <w:szCs w:val="24"/>
          <w:highlight w:val="none"/>
        </w:rPr>
        <w:t>0个以上已授权的数据库发明专利，且授权专利名称或者专利摘要中要具有“数据库"（中文）或者database（英文）关键字字样，提供专利证书列表。</w:t>
      </w:r>
    </w:p>
    <w:p>
      <w:pPr>
        <w:pStyle w:val="71"/>
        <w:spacing w:line="360" w:lineRule="auto"/>
        <w:rPr>
          <w:rFonts w:asciiTheme="minorEastAsia" w:hAnsiTheme="minorEastAsia" w:eastAsiaTheme="minorEastAsia"/>
          <w:color w:val="auto"/>
          <w:sz w:val="24"/>
          <w:szCs w:val="24"/>
          <w:highlight w:val="none"/>
        </w:rPr>
      </w:pPr>
      <w:r>
        <w:rPr>
          <w:rFonts w:hint="eastAsia" w:ascii="宋体" w:hAnsi="宋体"/>
          <w:color w:val="auto"/>
          <w:szCs w:val="21"/>
          <w:highlight w:val="none"/>
        </w:rPr>
        <w:t>★</w:t>
      </w:r>
      <w:r>
        <w:rPr>
          <w:rFonts w:hint="eastAsia" w:asciiTheme="minorEastAsia" w:hAnsiTheme="minorEastAsia" w:eastAsiaTheme="minorEastAsia"/>
          <w:color w:val="auto"/>
          <w:sz w:val="24"/>
          <w:szCs w:val="24"/>
          <w:highlight w:val="none"/>
        </w:rPr>
        <w:t>3、数据库产品具备高安全性，</w:t>
      </w:r>
      <w:r>
        <w:rPr>
          <w:rFonts w:hint="eastAsia" w:asciiTheme="minorEastAsia" w:hAnsiTheme="minorEastAsia" w:eastAsiaTheme="minorEastAsia"/>
          <w:color w:val="auto"/>
          <w:sz w:val="24"/>
          <w:szCs w:val="24"/>
          <w:highlight w:val="none"/>
          <w:lang w:eastAsia="zh-Hans"/>
        </w:rPr>
        <w:t>需提供权威评测机构（</w:t>
      </w:r>
      <w:r>
        <w:rPr>
          <w:rFonts w:hint="eastAsia" w:asciiTheme="minorEastAsia" w:hAnsiTheme="minorEastAsia" w:eastAsiaTheme="minorEastAsia"/>
          <w:color w:val="auto"/>
          <w:sz w:val="24"/>
          <w:szCs w:val="24"/>
          <w:highlight w:val="none"/>
          <w:lang w:val="en-US" w:eastAsia="zh-Hans"/>
        </w:rPr>
        <w:t>检测机构需要同时具备CMA和CNAS的资质</w:t>
      </w:r>
      <w:r>
        <w:rPr>
          <w:rFonts w:hint="eastAsia" w:asciiTheme="minorEastAsia" w:hAnsiTheme="minorEastAsia" w:eastAsiaTheme="minorEastAsia"/>
          <w:color w:val="auto"/>
          <w:sz w:val="24"/>
          <w:szCs w:val="24"/>
          <w:highlight w:val="none"/>
          <w:lang w:eastAsia="zh-Hans"/>
        </w:rPr>
        <w:t>）的</w:t>
      </w:r>
      <w:r>
        <w:rPr>
          <w:rFonts w:hint="eastAsia" w:asciiTheme="minorEastAsia" w:hAnsiTheme="minorEastAsia" w:eastAsiaTheme="minorEastAsia"/>
          <w:color w:val="auto"/>
          <w:sz w:val="24"/>
          <w:szCs w:val="24"/>
          <w:highlight w:val="none"/>
        </w:rPr>
        <w:t>信息技术产品安全分级评估EAL4+证书，提供证书复印件并加盖原厂商公章。</w:t>
      </w:r>
    </w:p>
    <w:p>
      <w:pPr>
        <w:pStyle w:val="71"/>
        <w:spacing w:line="360" w:lineRule="auto"/>
        <w:rPr>
          <w:rFonts w:asciiTheme="minorEastAsia" w:hAnsiTheme="minorEastAsia" w:eastAsiaTheme="minorEastAsia"/>
          <w:color w:val="auto"/>
          <w:sz w:val="24"/>
          <w:szCs w:val="24"/>
          <w:highlight w:val="none"/>
        </w:rPr>
      </w:pPr>
      <w:r>
        <w:rPr>
          <w:rFonts w:hint="eastAsia" w:ascii="宋体" w:hAnsi="宋体"/>
          <w:color w:val="auto"/>
          <w:szCs w:val="21"/>
          <w:highlight w:val="none"/>
        </w:rPr>
        <w:t>★</w:t>
      </w:r>
      <w:r>
        <w:rPr>
          <w:rFonts w:hint="eastAsia" w:asciiTheme="minorEastAsia" w:hAnsiTheme="minorEastAsia" w:eastAsiaTheme="minorEastAsia"/>
          <w:color w:val="auto"/>
          <w:sz w:val="24"/>
          <w:szCs w:val="24"/>
          <w:highlight w:val="none"/>
        </w:rPr>
        <w:t>4、数据库原厂商具有较高的技术研发水平，通过软件行业国际公认的权威软件开发能力成熟度模型CMMI-DEV V2.0 或CNAS中国认可软件过程及能力成熟度评估（SPCA），提供证书复印件并加盖原厂商公章。</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w:t>
      </w:r>
      <w:r>
        <w:rPr>
          <w:rFonts w:hint="eastAsia" w:asciiTheme="minorEastAsia" w:hAnsiTheme="minorEastAsia" w:eastAsiaTheme="minorEastAsia"/>
          <w:color w:val="auto"/>
          <w:sz w:val="24"/>
          <w:szCs w:val="24"/>
          <w:highlight w:val="none"/>
        </w:rPr>
        <w:t>5、投标产品应通过中国信息安全测评中心集中式数据库安全可靠测评，并提供中国信息安全测评中心官网截图证明材料。</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*6、</w:t>
      </w:r>
      <w:r>
        <w:rPr>
          <w:rFonts w:hint="eastAsia" w:asciiTheme="minorEastAsia" w:hAnsiTheme="minorEastAsia" w:eastAsiaTheme="minorEastAsia"/>
          <w:color w:val="auto"/>
          <w:sz w:val="24"/>
          <w:szCs w:val="24"/>
          <w:highlight w:val="none"/>
        </w:rPr>
        <w:t>数据库产品满足自主可控要求且通过国家安全可靠测评。部署运行环境须满足以下要求：</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1）CPU：该软件兼容通过国家安全可靠测评</w:t>
      </w:r>
      <w:r>
        <w:rPr>
          <w:rFonts w:hint="eastAsia" w:asciiTheme="minorEastAsia" w:hAnsiTheme="minorEastAsia" w:eastAsiaTheme="minorEastAsia"/>
          <w:color w:val="auto"/>
          <w:sz w:val="24"/>
          <w:szCs w:val="24"/>
          <w:highlight w:val="none"/>
          <w:lang w:val="en-US" w:eastAsia="zh-CN"/>
        </w:rPr>
        <w:t>的</w:t>
      </w:r>
      <w:r>
        <w:rPr>
          <w:rFonts w:hint="eastAsia" w:asciiTheme="minorEastAsia" w:hAnsiTheme="minorEastAsia" w:eastAsiaTheme="minorEastAsia"/>
          <w:color w:val="auto"/>
          <w:sz w:val="24"/>
          <w:szCs w:val="24"/>
          <w:highlight w:val="none"/>
        </w:rPr>
        <w:t xml:space="preserve"> CPU（ARM、X86、MIPS）架构。</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2）操作系统：该</w:t>
      </w:r>
      <w:r>
        <w:rPr>
          <w:rFonts w:hint="eastAsia" w:asciiTheme="minorEastAsia" w:hAnsiTheme="minorEastAsia" w:eastAsiaTheme="minorEastAsia"/>
          <w:color w:val="auto"/>
          <w:sz w:val="24"/>
          <w:szCs w:val="24"/>
          <w:highlight w:val="none"/>
          <w:lang w:val="en-US" w:eastAsia="zh-CN"/>
        </w:rPr>
        <w:t>软件</w:t>
      </w:r>
      <w:r>
        <w:rPr>
          <w:rFonts w:hint="eastAsia" w:asciiTheme="minorEastAsia" w:hAnsiTheme="minorEastAsia" w:eastAsiaTheme="minorEastAsia"/>
          <w:color w:val="auto"/>
          <w:sz w:val="24"/>
          <w:szCs w:val="24"/>
          <w:highlight w:val="none"/>
        </w:rPr>
        <w:t>兼容UOS、麒麟等linux类型的</w:t>
      </w:r>
      <w:r>
        <w:rPr>
          <w:rFonts w:hint="eastAsia" w:asciiTheme="minorEastAsia" w:hAnsiTheme="minorEastAsia" w:eastAsiaTheme="minorEastAsia"/>
          <w:color w:val="auto"/>
          <w:sz w:val="24"/>
          <w:szCs w:val="24"/>
          <w:highlight w:val="none"/>
          <w:lang w:val="en-US" w:eastAsia="zh-CN"/>
        </w:rPr>
        <w:t>通过</w:t>
      </w:r>
      <w:r>
        <w:rPr>
          <w:rFonts w:hint="eastAsia" w:asciiTheme="minorEastAsia" w:hAnsiTheme="minorEastAsia" w:eastAsiaTheme="minorEastAsia"/>
          <w:color w:val="auto"/>
          <w:sz w:val="24"/>
          <w:szCs w:val="24"/>
          <w:highlight w:val="none"/>
        </w:rPr>
        <w:t>国家安全可靠测评</w:t>
      </w:r>
      <w:r>
        <w:rPr>
          <w:rFonts w:hint="eastAsia" w:asciiTheme="minorEastAsia" w:hAnsiTheme="minorEastAsia" w:eastAsiaTheme="minorEastAsia"/>
          <w:color w:val="auto"/>
          <w:sz w:val="24"/>
          <w:szCs w:val="24"/>
          <w:highlight w:val="none"/>
          <w:lang w:val="en-US" w:eastAsia="zh-CN"/>
        </w:rPr>
        <w:t>的</w:t>
      </w:r>
      <w:r>
        <w:rPr>
          <w:rFonts w:hint="eastAsia" w:asciiTheme="minorEastAsia" w:hAnsiTheme="minorEastAsia" w:eastAsiaTheme="minorEastAsia"/>
          <w:color w:val="auto"/>
          <w:sz w:val="24"/>
          <w:szCs w:val="24"/>
          <w:highlight w:val="none"/>
        </w:rPr>
        <w:t>桌面操作系统和服务器操作系统。</w:t>
      </w:r>
    </w:p>
    <w:p>
      <w:pPr>
        <w:pStyle w:val="71"/>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3）应用服务器中间件：该软件兼容中创等应用服务器中间件。</w:t>
      </w:r>
      <w:bookmarkStart w:id="250" w:name="_Toc18906"/>
      <w:bookmarkStart w:id="251" w:name="_Toc12252"/>
      <w:bookmarkStart w:id="252" w:name="_Toc26797"/>
      <w:bookmarkStart w:id="253" w:name="_Toc24923"/>
      <w:bookmarkStart w:id="254" w:name="_Toc13049"/>
      <w:bookmarkStart w:id="255" w:name="_Toc130319379"/>
      <w:bookmarkStart w:id="256" w:name="_Toc10614"/>
      <w:bookmarkStart w:id="257" w:name="_Toc23660"/>
      <w:bookmarkStart w:id="258" w:name="_Toc4691"/>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4）本项目所采购的软件产品100%为国产自主可控软件，如软件涉及境外厂商开发、境外版权所有、境外主体提供，涉及境外组件、境外模块、境外云服务、境外接口依赖，需做申明。</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7、支持在线备份场景下对备份任务的I/O资源使用进行限制，可对IO读及IO写的备份操作分别进行限制。需提供权威检测机构（检测机构需要同时具备CMA和CNAS的资质）出具的测试报告。</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8、支持集中式备份的远程物理备份和恢复功能，以及image copy镜像备份功能。需提供权威检测机构（检测机构需要同时具备CMA和CNAS的资质）出具的测试报告。</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9、数据库厂家在电力能源行业有大量灾备建设经验，可支撑同城灾备、异地灾备建设，提供最终用户侧证明材料，包括但不限于最终用户提供的应用证明；</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10、满足安全自主可控要求，需要通过可信等级评估并获得卓越级可信评估证书。</w:t>
      </w:r>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259" w:name="_Toc24516"/>
      <w:bookmarkStart w:id="260" w:name="_Toc16466"/>
      <w:bookmarkStart w:id="261" w:name="_Toc16134"/>
      <w:r>
        <w:rPr>
          <w:rFonts w:hint="eastAsia" w:cs="Times New Roman" w:asciiTheme="majorEastAsia" w:hAnsiTheme="majorEastAsia" w:eastAsiaTheme="majorEastAsia"/>
          <w:b/>
          <w:bCs w:val="0"/>
          <w:color w:val="auto"/>
          <w:kern w:val="24"/>
          <w:sz w:val="32"/>
          <w:szCs w:val="32"/>
          <w:lang w:val="en-US" w:eastAsia="zh-CN" w:bidi="ar-SA"/>
        </w:rPr>
        <w:t>4</w:t>
      </w:r>
      <w:r>
        <w:rPr>
          <w:rFonts w:hint="eastAsia" w:asciiTheme="majorEastAsia" w:hAnsiTheme="majorEastAsia" w:eastAsiaTheme="majorEastAsia"/>
          <w:b/>
          <w:bCs w:val="0"/>
          <w:color w:val="auto"/>
          <w:sz w:val="32"/>
          <w:szCs w:val="32"/>
          <w:highlight w:val="none"/>
        </w:rPr>
        <w:t>技术服务要求</w:t>
      </w:r>
      <w:bookmarkEnd w:id="250"/>
      <w:bookmarkEnd w:id="251"/>
      <w:bookmarkEnd w:id="252"/>
      <w:bookmarkEnd w:id="253"/>
      <w:bookmarkEnd w:id="254"/>
      <w:bookmarkEnd w:id="255"/>
      <w:bookmarkEnd w:id="256"/>
      <w:bookmarkEnd w:id="257"/>
      <w:bookmarkEnd w:id="258"/>
      <w:bookmarkEnd w:id="259"/>
      <w:bookmarkEnd w:id="260"/>
      <w:bookmarkEnd w:id="261"/>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1、要求技术服务采用现场支持及远程技术支持相结合的方式展开。</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268"/>
        <w:gridCol w:w="5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1" w:hRule="atLeast"/>
          <w:jc w:val="center"/>
        </w:trPr>
        <w:tc>
          <w:tcPr>
            <w:tcW w:w="959" w:type="dxa"/>
            <w:shd w:val="clear" w:color="auto" w:fill="D9D9D9"/>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jc w:val="center"/>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序号</w:t>
            </w:r>
          </w:p>
        </w:tc>
        <w:tc>
          <w:tcPr>
            <w:tcW w:w="2268" w:type="dxa"/>
            <w:shd w:val="clear" w:color="auto" w:fill="D9D9D9"/>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jc w:val="center"/>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工作方式</w:t>
            </w:r>
          </w:p>
        </w:tc>
        <w:tc>
          <w:tcPr>
            <w:tcW w:w="5295" w:type="dxa"/>
            <w:shd w:val="clear" w:color="auto" w:fill="D9D9D9"/>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jc w:val="center"/>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jc w:val="center"/>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1</w:t>
            </w:r>
          </w:p>
        </w:tc>
        <w:tc>
          <w:tcPr>
            <w:tcW w:w="2268" w:type="dxa"/>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电话及邮件支持</w:t>
            </w:r>
          </w:p>
        </w:tc>
        <w:tc>
          <w:tcPr>
            <w:tcW w:w="5295" w:type="dxa"/>
            <w:noWrap w:val="0"/>
            <w:vAlign w:val="center"/>
          </w:tcPr>
          <w:p>
            <w:pPr>
              <w:pStyle w:val="91"/>
              <w:pageBreakBefore w:val="0"/>
              <w:numPr>
                <w:ilvl w:val="0"/>
                <w:numId w:val="7"/>
              </w:numPr>
              <w:kinsoku/>
              <w:wordWrap/>
              <w:overflowPunct/>
              <w:topLinePunct w:val="0"/>
              <w:autoSpaceDE/>
              <w:autoSpaceDN/>
              <w:bidi w:val="0"/>
              <w:spacing w:before="163" w:beforeLines="50" w:after="163" w:afterLines="50" w:line="560" w:lineRule="exact"/>
              <w:ind w:firstLineChars="0"/>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7×24小时热线电话技术支持；</w:t>
            </w:r>
          </w:p>
          <w:p>
            <w:pPr>
              <w:pStyle w:val="91"/>
              <w:pageBreakBefore w:val="0"/>
              <w:numPr>
                <w:ilvl w:val="0"/>
                <w:numId w:val="7"/>
              </w:numPr>
              <w:kinsoku/>
              <w:wordWrap/>
              <w:overflowPunct/>
              <w:topLinePunct w:val="0"/>
              <w:autoSpaceDE/>
              <w:autoSpaceDN/>
              <w:bidi w:val="0"/>
              <w:spacing w:before="163" w:beforeLines="50" w:after="163" w:afterLines="50" w:line="560" w:lineRule="exact"/>
              <w:ind w:firstLineChars="0"/>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7×24小时电子邮件技术支持；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jc w:val="center"/>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2</w:t>
            </w:r>
          </w:p>
        </w:tc>
        <w:tc>
          <w:tcPr>
            <w:tcW w:w="2268" w:type="dxa"/>
            <w:noWrap w:val="0"/>
            <w:vAlign w:val="center"/>
          </w:tcPr>
          <w:p>
            <w:pPr>
              <w:pageBreakBefore w:val="0"/>
              <w:tabs>
                <w:tab w:val="left" w:pos="1313"/>
              </w:tabs>
              <w:kinsoku/>
              <w:wordWrap/>
              <w:overflowPunct/>
              <w:topLinePunct w:val="0"/>
              <w:autoSpaceDE/>
              <w:autoSpaceDN/>
              <w:bidi w:val="0"/>
              <w:spacing w:before="163" w:beforeLines="50" w:after="163" w:afterLines="50" w:line="560" w:lineRule="exact"/>
              <w:ind w:firstLine="0" w:firstLineChars="0"/>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现场支持</w:t>
            </w:r>
          </w:p>
        </w:tc>
        <w:tc>
          <w:tcPr>
            <w:tcW w:w="5295" w:type="dxa"/>
            <w:noWrap w:val="0"/>
            <w:vAlign w:val="center"/>
          </w:tcPr>
          <w:p>
            <w:pPr>
              <w:pStyle w:val="91"/>
              <w:pageBreakBefore w:val="0"/>
              <w:numPr>
                <w:ilvl w:val="0"/>
                <w:numId w:val="7"/>
              </w:numPr>
              <w:kinsoku/>
              <w:wordWrap/>
              <w:overflowPunct/>
              <w:topLinePunct w:val="0"/>
              <w:autoSpaceDE/>
              <w:autoSpaceDN/>
              <w:bidi w:val="0"/>
              <w:spacing w:before="163" w:beforeLines="50" w:after="163" w:afterLines="50" w:line="560" w:lineRule="exact"/>
              <w:ind w:firstLineChars="0"/>
              <w:textAlignment w:val="auto"/>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提供公司本部现场集中实施服务；</w:t>
            </w:r>
          </w:p>
        </w:tc>
      </w:tr>
    </w:tbl>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2、成员方结合关系数据库实际需求，提供所投关系型数据库的设计方案、实施方案、适配集成方案、安全方案、扩容方案、容灾方案等内容，成员方结合关系型数据库组件实际情况，提供关系型数据库应用开发相关标准及规范。</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3、当牵头方的应用需求超出产品性能极限时，成员方配合牵头方提供解决方案建议。 </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4、成员方结合牵头方对所投关系型数据库的实际需求，可支持二次开发，以满足业务需求。 </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5、成员方充分考虑满足本项目的建设要求，提出完整的项目管理、项目施工、项目验收、技术支持等方案。 </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6、成员方对其本地的售后服务、技术支持方面的情况作出说明（包括但不限于服务机构、维护人员构成、提供服务的时段、技术服务范围及服务方式</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7、成员方协助开展关系型数据库相关规范及标准制定，协助建立关系型数据库运营及运维体系。 </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8、成员方严格遵守牵头方相关信息安全要求，配合牵头方进行信息安全方面的相关工作。</w:t>
      </w:r>
    </w:p>
    <w:p>
      <w:pPr>
        <w:pStyle w:val="71"/>
        <w:spacing w:line="360" w:lineRule="auto"/>
        <w:ind w:firstLine="0" w:firstLineChars="0"/>
        <w:rPr>
          <w:rFonts w:hint="eastAsia" w:asciiTheme="minorEastAsia" w:hAnsiTheme="minorEastAsia" w:eastAsiaTheme="minorEastAsia"/>
          <w:color w:val="auto"/>
          <w:sz w:val="24"/>
          <w:szCs w:val="24"/>
          <w:highlight w:val="none"/>
          <w:lang w:val="en-US" w:eastAsia="zh-CN"/>
        </w:rPr>
      </w:pPr>
    </w:p>
    <w:p>
      <w:pPr>
        <w:pStyle w:val="3"/>
        <w:keepNext/>
        <w:numPr>
          <w:ilvl w:val="0"/>
          <w:numId w:val="0"/>
        </w:numPr>
        <w:spacing w:before="163" w:beforeLines="50" w:after="163" w:afterLines="50"/>
        <w:rPr>
          <w:rFonts w:hint="eastAsia" w:cs="Times New Roman" w:asciiTheme="majorEastAsia" w:hAnsiTheme="majorEastAsia" w:eastAsiaTheme="majorEastAsia"/>
          <w:b/>
          <w:bCs w:val="0"/>
          <w:color w:val="auto"/>
          <w:kern w:val="24"/>
          <w:sz w:val="32"/>
          <w:szCs w:val="32"/>
          <w:lang w:val="en-US" w:eastAsia="zh-CN" w:bidi="ar-SA"/>
        </w:rPr>
      </w:pPr>
      <w:bookmarkStart w:id="262" w:name="_Toc12818"/>
      <w:bookmarkStart w:id="263" w:name="_Toc22590"/>
      <w:bookmarkStart w:id="264" w:name="_Toc19714"/>
      <w:bookmarkStart w:id="265" w:name="_Toc28801"/>
      <w:r>
        <w:rPr>
          <w:rFonts w:hint="eastAsia" w:cs="Times New Roman" w:asciiTheme="majorEastAsia" w:hAnsiTheme="majorEastAsia" w:eastAsiaTheme="majorEastAsia"/>
          <w:b/>
          <w:bCs w:val="0"/>
          <w:color w:val="auto"/>
          <w:kern w:val="24"/>
          <w:sz w:val="32"/>
          <w:szCs w:val="32"/>
          <w:lang w:val="en-US" w:eastAsia="zh-CN" w:bidi="ar-SA"/>
        </w:rPr>
        <w:t>5双方职责</w:t>
      </w:r>
      <w:bookmarkEnd w:id="262"/>
      <w:bookmarkEnd w:id="263"/>
      <w:bookmarkEnd w:id="264"/>
      <w:bookmarkEnd w:id="265"/>
    </w:p>
    <w:p>
      <w:pPr>
        <w:pStyle w:val="4"/>
        <w:keepNext/>
        <w:numPr>
          <w:ilvl w:val="1"/>
          <w:numId w:val="0"/>
        </w:numPr>
        <w:spacing w:before="120" w:after="120"/>
        <w:rPr>
          <w:rFonts w:hint="eastAsia" w:cs="Times New Roman" w:asciiTheme="majorEastAsia" w:hAnsiTheme="majorEastAsia" w:eastAsiaTheme="majorEastAsia"/>
          <w:b/>
          <w:bCs/>
          <w:color w:val="auto"/>
          <w:kern w:val="24"/>
          <w:sz w:val="30"/>
          <w:szCs w:val="30"/>
          <w:lang w:val="en-US" w:eastAsia="zh-CN" w:bidi="ar-SA"/>
        </w:rPr>
      </w:pPr>
      <w:bookmarkStart w:id="266" w:name="_Toc14656"/>
      <w:bookmarkStart w:id="267" w:name="_Toc19415"/>
      <w:bookmarkStart w:id="268" w:name="_Toc29912"/>
      <w:bookmarkStart w:id="269" w:name="_Toc340242298"/>
      <w:bookmarkStart w:id="270" w:name="_Toc7604"/>
      <w:r>
        <w:rPr>
          <w:rFonts w:hint="eastAsia" w:cs="Times New Roman" w:asciiTheme="majorEastAsia" w:hAnsiTheme="majorEastAsia" w:eastAsiaTheme="majorEastAsia"/>
          <w:b/>
          <w:bCs/>
          <w:color w:val="auto"/>
          <w:kern w:val="24"/>
          <w:sz w:val="30"/>
          <w:szCs w:val="30"/>
          <w:lang w:val="en-US" w:eastAsia="zh-CN" w:bidi="ar-SA"/>
        </w:rPr>
        <w:t>5.1牵头方职责</w:t>
      </w:r>
      <w:bookmarkEnd w:id="266"/>
      <w:bookmarkEnd w:id="267"/>
      <w:bookmarkEnd w:id="268"/>
      <w:bookmarkEnd w:id="269"/>
      <w:bookmarkEnd w:id="270"/>
    </w:p>
    <w:p>
      <w:pPr>
        <w:pStyle w:val="71"/>
        <w:numPr>
          <w:ilvl w:val="0"/>
          <w:numId w:val="8"/>
        </w:numPr>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负责作业整体管控；</w:t>
      </w:r>
    </w:p>
    <w:p>
      <w:pPr>
        <w:pStyle w:val="71"/>
        <w:numPr>
          <w:ilvl w:val="0"/>
          <w:numId w:val="8"/>
        </w:numPr>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负责组织成员方开展现场相关工作；</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3、负责组织数据库故障排查及处置，并编制故障分析报告；</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4、负责定期组织数据库优化；</w:t>
      </w:r>
    </w:p>
    <w:p>
      <w:pPr>
        <w:pStyle w:val="71"/>
        <w:spacing w:line="360" w:lineRule="auto"/>
        <w:ind w:firstLine="480"/>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5、负责组织产品缺陷整改、漏洞修复，并编制整改计划；</w:t>
      </w:r>
    </w:p>
    <w:p>
      <w:pPr>
        <w:pStyle w:val="71"/>
        <w:spacing w:line="360" w:lineRule="auto"/>
        <w:ind w:firstLine="480"/>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6、负责组织编制应急预案，定期制定应急演练方案，开展应急演练；</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7、确认成员方提供的相关资料和文件，如项目文档和技术文档等；</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8、负责提供现场工作的条件及必要的支持；</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9、组织现场设备布置；</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10、负责为成员方提供工作场地。</w:t>
      </w:r>
    </w:p>
    <w:p>
      <w:pPr>
        <w:pStyle w:val="71"/>
        <w:spacing w:line="360" w:lineRule="auto"/>
        <w:ind w:firstLine="480"/>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11、负责项目管理工作，组织培训及项目验收工作等。</w:t>
      </w:r>
    </w:p>
    <w:p>
      <w:pPr>
        <w:pStyle w:val="4"/>
        <w:keepNext/>
        <w:numPr>
          <w:ilvl w:val="1"/>
          <w:numId w:val="0"/>
        </w:numPr>
        <w:spacing w:before="120" w:after="120"/>
        <w:rPr>
          <w:rFonts w:hint="eastAsia" w:cs="Times New Roman" w:asciiTheme="majorEastAsia" w:hAnsiTheme="majorEastAsia" w:eastAsiaTheme="majorEastAsia"/>
          <w:b/>
          <w:bCs/>
          <w:color w:val="auto"/>
          <w:kern w:val="24"/>
          <w:sz w:val="30"/>
          <w:szCs w:val="30"/>
          <w:lang w:val="en-US" w:eastAsia="zh-CN" w:bidi="ar-SA"/>
        </w:rPr>
      </w:pPr>
      <w:bookmarkStart w:id="271" w:name="_Toc9377"/>
      <w:bookmarkStart w:id="272" w:name="_Toc26921"/>
      <w:bookmarkStart w:id="273" w:name="_Toc22050"/>
      <w:bookmarkStart w:id="274" w:name="_Toc5152"/>
      <w:bookmarkStart w:id="275" w:name="_Toc340242299"/>
      <w:r>
        <w:rPr>
          <w:rFonts w:hint="eastAsia" w:cs="Times New Roman" w:asciiTheme="majorEastAsia" w:hAnsiTheme="majorEastAsia" w:eastAsiaTheme="majorEastAsia"/>
          <w:b/>
          <w:bCs/>
          <w:color w:val="auto"/>
          <w:kern w:val="24"/>
          <w:sz w:val="30"/>
          <w:szCs w:val="30"/>
          <w:lang w:val="en-US" w:eastAsia="zh-CN" w:bidi="ar-SA"/>
        </w:rPr>
        <w:t>5.2成员方职责</w:t>
      </w:r>
      <w:bookmarkEnd w:id="271"/>
      <w:bookmarkEnd w:id="272"/>
      <w:bookmarkEnd w:id="273"/>
      <w:bookmarkEnd w:id="274"/>
      <w:bookmarkEnd w:id="275"/>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1、成员方负责数据库功能、性能、质量及安全要求，技术服务要求均满足要求；</w:t>
      </w:r>
    </w:p>
    <w:p>
      <w:pPr>
        <w:pStyle w:val="71"/>
        <w:spacing w:line="360" w:lineRule="auto"/>
        <w:ind w:firstLine="480"/>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2、成员方负责数据库供货、安装部署、调试、应用适配、缺陷整改、漏洞修复、产品升级迭代及技术支持等；</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3、提供完整的项目文档和技术文档。成员方对最终提供的全部技术资料的准确性及完整性负责；</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4、成员方为履行合同应配备足够的技术人员资源；</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5、成员方需提出工作必须的资源环境需求等；</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6、成员方需提供应急值守响应支持，1小时到达现场开展故障处置；</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7、成员方需配合业务系统进行调研、业务咨询、性能调优等，配合业务系统进行功能、性能验证测试等；</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8、成员方需配合业务系统在业务高峰期、版本发布、台风、节假日等重点时期提供现场重保服务；</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9、成员方需配合应用系统执行每年1-2次的N-1及备份还原演练。</w:t>
      </w:r>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p>
    <w:p>
      <w:pPr>
        <w:pStyle w:val="3"/>
        <w:keepNext/>
        <w:numPr>
          <w:ilvl w:val="0"/>
          <w:numId w:val="0"/>
        </w:numPr>
        <w:spacing w:before="163" w:beforeLines="50" w:after="163" w:afterLines="50"/>
        <w:rPr>
          <w:rFonts w:hint="eastAsia" w:asciiTheme="minorEastAsia" w:hAnsiTheme="minorEastAsia" w:eastAsiaTheme="minorEastAsia"/>
          <w:color w:val="auto"/>
          <w:sz w:val="24"/>
          <w:szCs w:val="24"/>
          <w:highlight w:val="none"/>
          <w:lang w:val="en-US" w:eastAsia="zh-CN"/>
        </w:rPr>
      </w:pPr>
      <w:bookmarkStart w:id="276" w:name="_Toc7674"/>
      <w:bookmarkStart w:id="277" w:name="_Toc3694"/>
      <w:bookmarkStart w:id="278" w:name="_Toc12204"/>
      <w:bookmarkStart w:id="279" w:name="_Toc22843"/>
      <w:r>
        <w:rPr>
          <w:rFonts w:hint="eastAsia" w:cs="Times New Roman" w:asciiTheme="majorEastAsia" w:hAnsiTheme="majorEastAsia" w:eastAsiaTheme="majorEastAsia"/>
          <w:b/>
          <w:bCs w:val="0"/>
          <w:color w:val="auto"/>
          <w:kern w:val="24"/>
          <w:sz w:val="32"/>
          <w:szCs w:val="32"/>
          <w:lang w:val="en-US" w:eastAsia="zh-CN" w:bidi="ar-SA"/>
        </w:rPr>
        <w:t>6、质量要求</w:t>
      </w:r>
      <w:bookmarkEnd w:id="276"/>
      <w:bookmarkEnd w:id="277"/>
      <w:bookmarkEnd w:id="278"/>
      <w:bookmarkEnd w:id="279"/>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成员方应保证所提供的产品及技术服务的功能、性能、质量均能满足本协议、合同及本技术规范书的全部要求，对项目交付范围内的产品质量安全承担总责。</w:t>
      </w:r>
    </w:p>
    <w:p>
      <w:pPr>
        <w:spacing w:line="360" w:lineRule="auto"/>
        <w:ind w:firstLine="419" w:firstLineChars="174"/>
        <w:outlineLvl w:val="9"/>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highlight w:val="none"/>
          <w:lang w:val="en-US" w:eastAsia="zh-CN"/>
        </w:rPr>
        <w:t>1、</w:t>
      </w:r>
      <w:r>
        <w:rPr>
          <w:rFonts w:hint="eastAsia" w:asciiTheme="minorEastAsia" w:hAnsiTheme="minorEastAsia" w:eastAsiaTheme="minorEastAsia"/>
          <w:b/>
          <w:color w:val="auto"/>
          <w:highlight w:val="none"/>
        </w:rPr>
        <w:t>质量管理体系建设</w:t>
      </w:r>
    </w:p>
    <w:p>
      <w:pPr>
        <w:pStyle w:val="71"/>
        <w:spacing w:line="360" w:lineRule="auto"/>
        <w:ind w:firstLine="480"/>
        <w:rPr>
          <w:rFonts w:hint="eastAsia" w:asciiTheme="minorEastAsia" w:hAnsiTheme="minorEastAsia" w:eastAsiaTheme="minorEastAsia"/>
          <w:b w:val="0"/>
          <w:bCs w:val="0"/>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成员方须建立健全项目质量保证机制，具备完善的全面项目质量管理体系，覆盖项目实施、交付、运维全流程，确保项目各阶段实施质量可控、可追溯。</w:t>
      </w:r>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成员方须配备专责质量保证人员，负责项目全周期质量管控、质量问题闭环跟踪及质量体系落地执行，开展全面的质量保证与监督工作。</w:t>
      </w:r>
    </w:p>
    <w:p>
      <w:pPr>
        <w:keepNext/>
        <w:spacing w:before="120" w:after="120" w:line="360" w:lineRule="auto"/>
        <w:ind w:firstLine="419" w:firstLineChars="174"/>
        <w:outlineLvl w:val="9"/>
        <w:rPr>
          <w:rFonts w:hint="eastAsia"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2、质量过程管控</w:t>
      </w:r>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为保障项目正常运行与质量可控，成员方须制定项目执行跟踪和监控的具体措施，措施至少应包括项目状态周报制度、每周项目例会制度、阶段质量总结评审制度，定期向牵头方同步项目质量进展与风险问题。</w:t>
      </w:r>
    </w:p>
    <w:p>
      <w:pPr>
        <w:keepNext/>
        <w:spacing w:before="120" w:after="120" w:line="360" w:lineRule="auto"/>
        <w:ind w:firstLine="419" w:firstLineChars="174"/>
        <w:outlineLvl w:val="9"/>
        <w:rPr>
          <w:rFonts w:hint="eastAsia"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3、</w:t>
      </w:r>
      <w:r>
        <w:rPr>
          <w:rFonts w:hint="eastAsia" w:asciiTheme="minorEastAsia" w:hAnsiTheme="minorEastAsia" w:eastAsiaTheme="minorEastAsia"/>
          <w:color w:val="auto"/>
          <w:sz w:val="24"/>
          <w:szCs w:val="24"/>
          <w:highlight w:val="none"/>
          <w:lang w:val="en-US" w:eastAsia="zh-CN"/>
        </w:rPr>
        <w:t>*</w:t>
      </w:r>
      <w:r>
        <w:rPr>
          <w:rFonts w:hint="eastAsia" w:asciiTheme="minorEastAsia" w:hAnsiTheme="minorEastAsia" w:eastAsiaTheme="minorEastAsia"/>
          <w:b/>
          <w:color w:val="auto"/>
          <w:sz w:val="24"/>
          <w:szCs w:val="24"/>
          <w:highlight w:val="none"/>
          <w:lang w:val="en-US" w:eastAsia="zh-CN"/>
        </w:rPr>
        <w:t>质量安全责任</w:t>
      </w:r>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成员方对本项目所采用的配套产品质量安全承担首要责任，须确保证符合国家、行业及本项目规定的质量安全标准。若因自身质量缺陷直接或间接引发安全事故、造成经济损失或不良影响，牵头方有权依据采购合同约定及供应商管理相关制度对成员方实施扣款，成员方对此无异议并自愿接受相应处理。</w:t>
      </w:r>
    </w:p>
    <w:p>
      <w:pPr>
        <w:keepNext/>
        <w:spacing w:before="120" w:after="120" w:line="360" w:lineRule="auto"/>
        <w:ind w:firstLine="419" w:firstLineChars="174"/>
        <w:outlineLvl w:val="9"/>
        <w:rPr>
          <w:rFonts w:hint="default" w:asciiTheme="minorEastAsia" w:hAnsiTheme="minorEastAsia" w:eastAsiaTheme="minorEastAsia"/>
          <w:b/>
          <w:color w:val="auto"/>
          <w:highlight w:val="none"/>
          <w:lang w:val="en-US" w:eastAsia="zh-CN" w:bidi="ar"/>
        </w:rPr>
      </w:pPr>
      <w:r>
        <w:rPr>
          <w:rFonts w:hint="eastAsia" w:asciiTheme="minorEastAsia" w:hAnsiTheme="minorEastAsia" w:eastAsiaTheme="minorEastAsia"/>
          <w:b/>
          <w:color w:val="auto"/>
          <w:sz w:val="24"/>
          <w:szCs w:val="24"/>
          <w:highlight w:val="none"/>
          <w:lang w:val="en-US" w:eastAsia="zh-CN"/>
        </w:rPr>
        <w:t>4、</w:t>
      </w:r>
      <w:r>
        <w:rPr>
          <w:rFonts w:hint="eastAsia" w:asciiTheme="minorEastAsia" w:hAnsiTheme="minorEastAsia" w:eastAsiaTheme="minorEastAsia"/>
          <w:color w:val="auto"/>
          <w:sz w:val="24"/>
          <w:szCs w:val="24"/>
          <w:highlight w:val="none"/>
          <w:lang w:val="en-US" w:eastAsia="zh-CN"/>
        </w:rPr>
        <w:t>*</w:t>
      </w:r>
      <w:r>
        <w:rPr>
          <w:rFonts w:hint="eastAsia" w:asciiTheme="minorEastAsia" w:hAnsiTheme="minorEastAsia" w:eastAsiaTheme="minorEastAsia"/>
          <w:b/>
          <w:color w:val="auto"/>
          <w:sz w:val="24"/>
          <w:szCs w:val="24"/>
          <w:highlight w:val="none"/>
          <w:lang w:val="en-US" w:eastAsia="zh-CN"/>
        </w:rPr>
        <w:t>质量缺陷修复</w:t>
      </w:r>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bidi="ar"/>
        </w:rPr>
        <w:t>针对本项目交付范围内的产品，在全生命周期内排查发现或已发生的功能缺陷、安全隐患及质量偏差，成员方须在接到牵头方通知后，按约定时效完成缺陷修复、隐患排查与整改工作，修复后的产品须满足本规范规定的功能、性能及安全指标要求。</w:t>
      </w:r>
    </w:p>
    <w:p>
      <w:pPr>
        <w:pStyle w:val="71"/>
        <w:spacing w:line="360" w:lineRule="auto"/>
        <w:ind w:firstLine="480"/>
        <w:rPr>
          <w:rFonts w:hint="eastAsia" w:asciiTheme="minorEastAsia" w:hAnsiTheme="minorEastAsia" w:eastAsiaTheme="minorEastAsia"/>
          <w:color w:val="auto"/>
          <w:sz w:val="24"/>
          <w:szCs w:val="24"/>
          <w:highlight w:val="none"/>
          <w:lang w:val="en-US" w:eastAsia="zh-CN" w:bidi="ar"/>
        </w:rPr>
      </w:pPr>
      <w:r>
        <w:rPr>
          <w:rFonts w:hint="eastAsia" w:asciiTheme="minorEastAsia" w:hAnsiTheme="minorEastAsia" w:eastAsiaTheme="minorEastAsia"/>
          <w:color w:val="auto"/>
          <w:sz w:val="24"/>
          <w:szCs w:val="24"/>
          <w:highlight w:val="none"/>
          <w:lang w:val="en-US" w:eastAsia="zh-CN"/>
        </w:rPr>
        <w:t>成员方须为本项目交付的产品提供全生命周期内免费补丁升级服务，涵盖安全漏洞修复、功能补丁推送、版本适配迭代等维护内容，保障产品在全生命周期内持续符合网络安全、数据安全等相关规范与运行要求。</w:t>
      </w:r>
    </w:p>
    <w:p>
      <w:pPr>
        <w:pStyle w:val="3"/>
        <w:keepNext/>
        <w:numPr>
          <w:ilvl w:val="0"/>
          <w:numId w:val="0"/>
        </w:numPr>
        <w:spacing w:before="163" w:beforeLines="50" w:after="163" w:afterLines="50"/>
        <w:rPr>
          <w:rFonts w:hint="eastAsia" w:cs="Times New Roman" w:asciiTheme="majorEastAsia" w:hAnsiTheme="majorEastAsia" w:eastAsiaTheme="majorEastAsia"/>
          <w:b/>
          <w:bCs w:val="0"/>
          <w:color w:val="auto"/>
          <w:kern w:val="24"/>
          <w:sz w:val="32"/>
          <w:szCs w:val="32"/>
          <w:lang w:val="en-US" w:eastAsia="zh-CN" w:bidi="ar-SA"/>
        </w:rPr>
      </w:pPr>
      <w:bookmarkStart w:id="280" w:name="_Toc24825"/>
      <w:bookmarkStart w:id="281" w:name="_Toc22823"/>
      <w:bookmarkStart w:id="282" w:name="_Toc20842"/>
      <w:bookmarkStart w:id="283" w:name="_Toc32320"/>
      <w:r>
        <w:rPr>
          <w:rFonts w:hint="eastAsia" w:cs="Times New Roman" w:asciiTheme="majorEastAsia" w:hAnsiTheme="majorEastAsia" w:eastAsiaTheme="majorEastAsia"/>
          <w:b/>
          <w:bCs w:val="0"/>
          <w:color w:val="auto"/>
          <w:kern w:val="24"/>
          <w:sz w:val="32"/>
          <w:szCs w:val="32"/>
          <w:lang w:val="en-US" w:eastAsia="zh-CN" w:bidi="ar-SA"/>
        </w:rPr>
        <w:t>7组织保证</w:t>
      </w:r>
      <w:bookmarkEnd w:id="280"/>
      <w:bookmarkEnd w:id="281"/>
      <w:bookmarkEnd w:id="282"/>
      <w:bookmarkEnd w:id="283"/>
    </w:p>
    <w:p>
      <w:pPr>
        <w:pStyle w:val="4"/>
        <w:keepNext/>
        <w:numPr>
          <w:ilvl w:val="1"/>
          <w:numId w:val="0"/>
        </w:numPr>
        <w:spacing w:before="120" w:after="120"/>
        <w:rPr>
          <w:rFonts w:hint="eastAsia" w:cs="Times New Roman" w:asciiTheme="majorEastAsia" w:hAnsiTheme="majorEastAsia" w:eastAsiaTheme="majorEastAsia"/>
          <w:b/>
          <w:bCs/>
          <w:color w:val="auto"/>
          <w:kern w:val="24"/>
          <w:sz w:val="30"/>
          <w:szCs w:val="30"/>
          <w:lang w:val="en-US" w:eastAsia="zh-CN" w:bidi="ar-SA"/>
        </w:rPr>
      </w:pPr>
      <w:bookmarkStart w:id="284" w:name="_Toc872"/>
      <w:bookmarkStart w:id="285" w:name="_Toc14244"/>
      <w:bookmarkStart w:id="286" w:name="_Toc8233"/>
      <w:bookmarkStart w:id="287" w:name="_Toc16023"/>
      <w:r>
        <w:rPr>
          <w:rFonts w:hint="eastAsia" w:cs="Times New Roman" w:asciiTheme="majorEastAsia" w:hAnsiTheme="majorEastAsia" w:eastAsiaTheme="majorEastAsia"/>
          <w:b/>
          <w:bCs/>
          <w:color w:val="auto"/>
          <w:kern w:val="24"/>
          <w:sz w:val="30"/>
          <w:szCs w:val="30"/>
          <w:lang w:val="en-US" w:eastAsia="zh-CN" w:bidi="ar-SA"/>
        </w:rPr>
        <w:t>7.1人员要求</w:t>
      </w:r>
      <w:bookmarkEnd w:id="284"/>
      <w:bookmarkEnd w:id="285"/>
      <w:bookmarkEnd w:id="286"/>
      <w:bookmarkEnd w:id="287"/>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成员方需提交项目成员名单至牵头方备案，现场驻场人员不少于10人，原厂人员不少于10人。</w:t>
      </w:r>
    </w:p>
    <w:p>
      <w:pPr>
        <w:pStyle w:val="4"/>
        <w:keepNext/>
        <w:numPr>
          <w:ilvl w:val="1"/>
          <w:numId w:val="0"/>
        </w:numPr>
        <w:spacing w:before="120" w:after="120"/>
        <w:rPr>
          <w:rFonts w:hint="eastAsia" w:cs="Times New Roman" w:asciiTheme="majorEastAsia" w:hAnsiTheme="majorEastAsia" w:eastAsiaTheme="majorEastAsia"/>
          <w:b/>
          <w:bCs/>
          <w:color w:val="auto"/>
          <w:kern w:val="24"/>
          <w:sz w:val="30"/>
          <w:szCs w:val="30"/>
          <w:lang w:val="en-US" w:eastAsia="zh-CN" w:bidi="ar-SA"/>
        </w:rPr>
      </w:pPr>
      <w:bookmarkStart w:id="288" w:name="_Toc396917422"/>
      <w:bookmarkStart w:id="289" w:name="_Toc30537"/>
      <w:bookmarkStart w:id="290" w:name="_Toc25551"/>
      <w:bookmarkStart w:id="291" w:name="_Toc3939"/>
      <w:bookmarkStart w:id="292" w:name="_Toc22431"/>
      <w:r>
        <w:rPr>
          <w:rFonts w:hint="eastAsia" w:cs="Times New Roman" w:asciiTheme="majorEastAsia" w:hAnsiTheme="majorEastAsia" w:eastAsiaTheme="majorEastAsia"/>
          <w:b/>
          <w:bCs/>
          <w:color w:val="auto"/>
          <w:kern w:val="24"/>
          <w:sz w:val="30"/>
          <w:szCs w:val="30"/>
          <w:lang w:val="en-US" w:eastAsia="zh-CN" w:bidi="ar-SA"/>
        </w:rPr>
        <w:t>7.2队伍稳定要求</w:t>
      </w:r>
      <w:bookmarkEnd w:id="288"/>
      <w:bookmarkEnd w:id="289"/>
      <w:bookmarkEnd w:id="290"/>
      <w:bookmarkEnd w:id="291"/>
      <w:bookmarkEnd w:id="292"/>
    </w:p>
    <w:p>
      <w:pPr>
        <w:pStyle w:val="71"/>
        <w:spacing w:line="360" w:lineRule="auto"/>
        <w:ind w:firstLine="480"/>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未经牵头方同意，成员方不得进行人员变动。在接替人员到位之前，成员方不得擅自调离团队成员。</w:t>
      </w:r>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293" w:name="_Toc1980"/>
      <w:bookmarkStart w:id="294" w:name="_Toc16410"/>
      <w:bookmarkStart w:id="295" w:name="_Toc15102"/>
      <w:bookmarkStart w:id="296" w:name="_Toc15648"/>
      <w:bookmarkStart w:id="297" w:name="_Toc21143"/>
      <w:bookmarkStart w:id="298" w:name="_Toc32532"/>
      <w:bookmarkStart w:id="299" w:name="_Toc22111"/>
      <w:bookmarkStart w:id="300" w:name="_Toc13650"/>
      <w:bookmarkStart w:id="301" w:name="_Toc12717"/>
      <w:bookmarkStart w:id="302" w:name="_Toc12017"/>
      <w:r>
        <w:rPr>
          <w:rFonts w:hint="eastAsia" w:asciiTheme="majorEastAsia" w:hAnsiTheme="majorEastAsia" w:eastAsiaTheme="majorEastAsia"/>
          <w:b/>
          <w:bCs w:val="0"/>
          <w:color w:val="auto"/>
          <w:sz w:val="32"/>
          <w:szCs w:val="32"/>
          <w:highlight w:val="none"/>
          <w:lang w:val="en-US" w:eastAsia="zh-CN"/>
        </w:rPr>
        <w:t>8</w:t>
      </w:r>
      <w:r>
        <w:rPr>
          <w:rFonts w:hint="eastAsia" w:asciiTheme="majorEastAsia" w:hAnsiTheme="majorEastAsia" w:eastAsiaTheme="majorEastAsia"/>
          <w:b/>
          <w:bCs w:val="0"/>
          <w:color w:val="auto"/>
          <w:sz w:val="32"/>
          <w:szCs w:val="32"/>
          <w:highlight w:val="none"/>
        </w:rPr>
        <w:t>项目交付物</w:t>
      </w:r>
      <w:bookmarkEnd w:id="174"/>
      <w:bookmarkEnd w:id="293"/>
      <w:bookmarkEnd w:id="294"/>
      <w:bookmarkEnd w:id="295"/>
      <w:bookmarkEnd w:id="296"/>
      <w:bookmarkEnd w:id="297"/>
      <w:bookmarkEnd w:id="298"/>
      <w:bookmarkEnd w:id="299"/>
      <w:bookmarkEnd w:id="300"/>
      <w:bookmarkEnd w:id="301"/>
      <w:bookmarkEnd w:id="302"/>
    </w:p>
    <w:p>
      <w:pPr>
        <w:pStyle w:val="71"/>
        <w:ind w:firstLine="480"/>
        <w:rPr>
          <w:color w:val="auto"/>
          <w:sz w:val="24"/>
          <w:szCs w:val="24"/>
          <w:highlight w:val="none"/>
        </w:rPr>
      </w:pPr>
      <w:r>
        <w:rPr>
          <w:rFonts w:hint="eastAsia"/>
          <w:color w:val="auto"/>
          <w:sz w:val="24"/>
          <w:szCs w:val="24"/>
          <w:highlight w:val="none"/>
        </w:rPr>
        <w:t>项目交付物包括但不限于以下内容，以合同签订时</w:t>
      </w:r>
      <w:r>
        <w:rPr>
          <w:rFonts w:hint="eastAsia"/>
          <w:color w:val="auto"/>
          <w:sz w:val="24"/>
          <w:szCs w:val="24"/>
          <w:highlight w:val="none"/>
          <w:lang w:eastAsia="zh-CN"/>
        </w:rPr>
        <w:t>牵头方</w:t>
      </w:r>
      <w:r>
        <w:rPr>
          <w:rFonts w:hint="eastAsia"/>
          <w:color w:val="auto"/>
          <w:sz w:val="24"/>
          <w:szCs w:val="24"/>
          <w:highlight w:val="none"/>
        </w:rPr>
        <w:t>实际要求为准：</w:t>
      </w:r>
    </w:p>
    <w:p>
      <w:pPr>
        <w:pStyle w:val="71"/>
        <w:numPr>
          <w:ilvl w:val="0"/>
          <w:numId w:val="9"/>
        </w:numPr>
        <w:spacing w:line="360" w:lineRule="auto"/>
        <w:ind w:firstLineChars="0"/>
        <w:rPr>
          <w:color w:val="auto"/>
          <w:sz w:val="24"/>
          <w:szCs w:val="24"/>
          <w:highlight w:val="none"/>
        </w:rPr>
      </w:pPr>
      <w:r>
        <w:rPr>
          <w:rFonts w:hint="eastAsia"/>
          <w:color w:val="auto"/>
          <w:sz w:val="24"/>
          <w:szCs w:val="24"/>
          <w:highlight w:val="none"/>
        </w:rPr>
        <w:t>产品交付阶段：包括但不限于</w:t>
      </w:r>
      <w:r>
        <w:rPr>
          <w:rFonts w:hint="eastAsia"/>
          <w:color w:val="auto"/>
          <w:sz w:val="24"/>
          <w:szCs w:val="24"/>
          <w:highlight w:val="none"/>
          <w:lang w:eastAsia="zh-CN"/>
        </w:rPr>
        <w:t>《</w:t>
      </w:r>
      <w:r>
        <w:rPr>
          <w:rFonts w:hint="eastAsia"/>
          <w:color w:val="auto"/>
          <w:sz w:val="24"/>
          <w:szCs w:val="24"/>
          <w:highlight w:val="none"/>
          <w:lang w:val="en-US" w:eastAsia="zh-CN"/>
        </w:rPr>
        <w:t>数据库安装手册</w:t>
      </w:r>
      <w:r>
        <w:rPr>
          <w:rFonts w:hint="eastAsia"/>
          <w:color w:val="auto"/>
          <w:sz w:val="24"/>
          <w:szCs w:val="24"/>
          <w:highlight w:val="none"/>
          <w:lang w:eastAsia="zh-CN"/>
        </w:rPr>
        <w:t>》、《</w:t>
      </w:r>
      <w:r>
        <w:rPr>
          <w:rFonts w:hint="eastAsia"/>
          <w:color w:val="auto"/>
          <w:sz w:val="24"/>
          <w:szCs w:val="24"/>
          <w:highlight w:val="none"/>
          <w:lang w:val="en-US" w:eastAsia="zh-CN"/>
        </w:rPr>
        <w:t>数据库管理员手册</w:t>
      </w:r>
      <w:r>
        <w:rPr>
          <w:rFonts w:hint="eastAsia"/>
          <w:color w:val="auto"/>
          <w:sz w:val="24"/>
          <w:szCs w:val="24"/>
          <w:highlight w:val="none"/>
          <w:lang w:eastAsia="zh-CN"/>
        </w:rPr>
        <w:t>》</w:t>
      </w:r>
      <w:r>
        <w:rPr>
          <w:rFonts w:hint="eastAsia"/>
          <w:color w:val="auto"/>
          <w:sz w:val="24"/>
          <w:szCs w:val="24"/>
          <w:highlight w:val="none"/>
        </w:rPr>
        <w:t>、《产品白皮书》、《数据库灾备设计方案》；</w:t>
      </w:r>
    </w:p>
    <w:p>
      <w:pPr>
        <w:pStyle w:val="71"/>
        <w:numPr>
          <w:ilvl w:val="0"/>
          <w:numId w:val="9"/>
        </w:numPr>
        <w:spacing w:line="360" w:lineRule="auto"/>
        <w:ind w:firstLineChars="0"/>
        <w:rPr>
          <w:color w:val="auto"/>
          <w:sz w:val="24"/>
          <w:szCs w:val="24"/>
          <w:highlight w:val="none"/>
        </w:rPr>
      </w:pPr>
      <w:r>
        <w:rPr>
          <w:color w:val="auto"/>
          <w:sz w:val="24"/>
          <w:szCs w:val="24"/>
          <w:highlight w:val="none"/>
        </w:rPr>
        <w:t>产品测试阶段</w:t>
      </w:r>
      <w:r>
        <w:rPr>
          <w:rFonts w:hint="eastAsia"/>
          <w:color w:val="auto"/>
          <w:sz w:val="24"/>
          <w:szCs w:val="24"/>
          <w:highlight w:val="none"/>
        </w:rPr>
        <w:t>：包括但不限于《测试方案（含测试用例）》、《测试报告》；</w:t>
      </w:r>
    </w:p>
    <w:p>
      <w:pPr>
        <w:pStyle w:val="71"/>
        <w:numPr>
          <w:ilvl w:val="0"/>
          <w:numId w:val="9"/>
        </w:numPr>
        <w:spacing w:line="360" w:lineRule="auto"/>
        <w:ind w:firstLineChars="0"/>
        <w:rPr>
          <w:color w:val="auto"/>
          <w:sz w:val="24"/>
          <w:szCs w:val="24"/>
          <w:highlight w:val="none"/>
        </w:rPr>
      </w:pPr>
      <w:r>
        <w:rPr>
          <w:rFonts w:hint="eastAsia"/>
          <w:color w:val="auto"/>
          <w:sz w:val="24"/>
          <w:szCs w:val="24"/>
          <w:highlight w:val="none"/>
        </w:rPr>
        <w:t>产品适配阶段：包括但不限于《产品适配技术方案》、《产品适配验证报告》；</w:t>
      </w:r>
    </w:p>
    <w:p>
      <w:pPr>
        <w:pStyle w:val="71"/>
        <w:numPr>
          <w:ilvl w:val="0"/>
          <w:numId w:val="9"/>
        </w:numPr>
        <w:spacing w:line="360" w:lineRule="auto"/>
        <w:ind w:firstLineChars="0"/>
        <w:rPr>
          <w:color w:val="auto"/>
          <w:sz w:val="24"/>
          <w:szCs w:val="24"/>
          <w:highlight w:val="none"/>
        </w:rPr>
      </w:pPr>
      <w:r>
        <w:rPr>
          <w:rFonts w:hint="eastAsia"/>
          <w:color w:val="auto"/>
          <w:sz w:val="24"/>
          <w:szCs w:val="24"/>
          <w:highlight w:val="none"/>
        </w:rPr>
        <w:t>项目实施及试运行阶段：包括但不限于《培训方案》、《数据迁移方案》、《</w:t>
      </w:r>
      <w:r>
        <w:rPr>
          <w:color w:val="auto"/>
          <w:sz w:val="24"/>
          <w:szCs w:val="24"/>
          <w:highlight w:val="none"/>
          <w:lang w:bidi="ar"/>
        </w:rPr>
        <w:t>系统优化配置指南</w:t>
      </w:r>
      <w:r>
        <w:rPr>
          <w:rFonts w:hint="eastAsia"/>
          <w:color w:val="auto"/>
          <w:sz w:val="24"/>
          <w:szCs w:val="24"/>
          <w:highlight w:val="none"/>
        </w:rPr>
        <w:t>》；</w:t>
      </w:r>
    </w:p>
    <w:p>
      <w:pPr>
        <w:pStyle w:val="71"/>
        <w:numPr>
          <w:ilvl w:val="0"/>
          <w:numId w:val="9"/>
        </w:numPr>
        <w:spacing w:line="360" w:lineRule="auto"/>
        <w:ind w:firstLineChars="0"/>
        <w:rPr>
          <w:color w:val="auto"/>
          <w:highlight w:val="none"/>
        </w:rPr>
      </w:pPr>
      <w:r>
        <w:rPr>
          <w:color w:val="auto"/>
          <w:sz w:val="24"/>
          <w:szCs w:val="24"/>
          <w:highlight w:val="none"/>
        </w:rPr>
        <w:t>项目验收阶段</w:t>
      </w:r>
      <w:r>
        <w:rPr>
          <w:rFonts w:hint="eastAsia"/>
          <w:color w:val="auto"/>
          <w:sz w:val="24"/>
          <w:szCs w:val="24"/>
          <w:highlight w:val="none"/>
        </w:rPr>
        <w:t>：包括但不限于《</w:t>
      </w:r>
      <w:r>
        <w:rPr>
          <w:rFonts w:hint="eastAsia"/>
          <w:color w:val="auto"/>
          <w:sz w:val="24"/>
          <w:szCs w:val="24"/>
          <w:highlight w:val="none"/>
          <w:lang w:val="en-US" w:eastAsia="zh-CN"/>
        </w:rPr>
        <w:t>数据库系统</w:t>
      </w:r>
      <w:r>
        <w:rPr>
          <w:rFonts w:hint="eastAsia"/>
          <w:color w:val="auto"/>
          <w:sz w:val="24"/>
          <w:szCs w:val="24"/>
          <w:highlight w:val="none"/>
        </w:rPr>
        <w:t>试运行报告》、《项目验收报告》</w:t>
      </w:r>
      <w:bookmarkEnd w:id="144"/>
      <w:bookmarkEnd w:id="145"/>
      <w:bookmarkEnd w:id="146"/>
      <w:bookmarkEnd w:id="147"/>
      <w:bookmarkEnd w:id="148"/>
      <w:bookmarkEnd w:id="149"/>
      <w:bookmarkEnd w:id="175"/>
      <w:bookmarkEnd w:id="176"/>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303" w:name="_Toc10275"/>
      <w:bookmarkStart w:id="304" w:name="_Toc30737"/>
      <w:bookmarkStart w:id="305" w:name="_Toc496197025"/>
      <w:bookmarkStart w:id="306" w:name="_Toc14583"/>
      <w:bookmarkStart w:id="307" w:name="_Toc24877"/>
      <w:bookmarkStart w:id="308" w:name="_Toc21167"/>
      <w:bookmarkStart w:id="309" w:name="_Toc9404"/>
      <w:bookmarkStart w:id="310" w:name="_Toc21474"/>
      <w:bookmarkStart w:id="311" w:name="_Toc456599918"/>
      <w:bookmarkStart w:id="312" w:name="_Toc27523"/>
      <w:bookmarkStart w:id="313" w:name="_Toc25581206"/>
      <w:bookmarkStart w:id="314" w:name="_Toc22158"/>
      <w:bookmarkStart w:id="315" w:name="_Toc30577"/>
      <w:bookmarkStart w:id="316" w:name="_Toc14511"/>
      <w:bookmarkStart w:id="317" w:name="_Toc3291"/>
      <w:bookmarkStart w:id="318" w:name="_Toc31153"/>
      <w:bookmarkStart w:id="319" w:name="_Toc24163"/>
      <w:bookmarkStart w:id="320" w:name="_Toc3376"/>
      <w:bookmarkStart w:id="321" w:name="_Toc25436"/>
      <w:bookmarkStart w:id="322" w:name="_Toc1423"/>
      <w:bookmarkStart w:id="323" w:name="_Toc10089"/>
      <w:bookmarkStart w:id="324" w:name="_Toc13978"/>
      <w:bookmarkStart w:id="325" w:name="_Toc20448"/>
      <w:bookmarkStart w:id="326" w:name="_Toc5312"/>
      <w:bookmarkStart w:id="327" w:name="_Toc9552"/>
      <w:r>
        <w:rPr>
          <w:rFonts w:hint="eastAsia" w:cs="Times New Roman" w:asciiTheme="majorEastAsia" w:hAnsiTheme="majorEastAsia" w:eastAsiaTheme="majorEastAsia"/>
          <w:b/>
          <w:bCs w:val="0"/>
          <w:color w:val="auto"/>
          <w:kern w:val="24"/>
          <w:sz w:val="32"/>
          <w:szCs w:val="32"/>
          <w:lang w:val="en-US" w:eastAsia="zh-CN" w:bidi="ar-SA"/>
        </w:rPr>
        <w:t>9</w:t>
      </w:r>
      <w:r>
        <w:rPr>
          <w:rFonts w:hint="eastAsia" w:asciiTheme="majorEastAsia" w:hAnsiTheme="majorEastAsia" w:eastAsiaTheme="majorEastAsia"/>
          <w:b/>
          <w:bCs w:val="0"/>
          <w:color w:val="auto"/>
          <w:sz w:val="32"/>
          <w:szCs w:val="32"/>
          <w:highlight w:val="none"/>
        </w:rPr>
        <w:t>项目实施</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Pr>
          <w:rFonts w:hint="eastAsia" w:asciiTheme="majorEastAsia" w:hAnsiTheme="majorEastAsia" w:eastAsiaTheme="majorEastAsia"/>
          <w:b/>
          <w:bCs w:val="0"/>
          <w:color w:val="auto"/>
          <w:sz w:val="32"/>
          <w:szCs w:val="32"/>
          <w:highlight w:val="none"/>
        </w:rPr>
        <w:t>要求</w:t>
      </w:r>
      <w:bookmarkEnd w:id="317"/>
      <w:bookmarkEnd w:id="318"/>
      <w:bookmarkEnd w:id="319"/>
      <w:bookmarkEnd w:id="320"/>
      <w:bookmarkEnd w:id="321"/>
      <w:bookmarkEnd w:id="322"/>
      <w:bookmarkEnd w:id="323"/>
      <w:bookmarkEnd w:id="324"/>
      <w:bookmarkEnd w:id="325"/>
      <w:bookmarkEnd w:id="326"/>
      <w:bookmarkEnd w:id="327"/>
    </w:p>
    <w:p>
      <w:pPr>
        <w:pStyle w:val="4"/>
        <w:keepNext/>
        <w:numPr>
          <w:ilvl w:val="1"/>
          <w:numId w:val="0"/>
        </w:numPr>
        <w:spacing w:before="120" w:beforeAutospacing="0" w:after="120" w:afterAutospacing="0"/>
        <w:rPr>
          <w:color w:val="auto"/>
          <w:highlight w:val="none"/>
        </w:rPr>
      </w:pPr>
      <w:bookmarkStart w:id="328" w:name="_Toc16114"/>
      <w:bookmarkStart w:id="329" w:name="_Toc32159"/>
      <w:bookmarkStart w:id="330" w:name="_Toc7093"/>
      <w:bookmarkStart w:id="331" w:name="_Toc12643"/>
      <w:bookmarkStart w:id="332" w:name="_Toc17819"/>
      <w:bookmarkStart w:id="333" w:name="_Toc4971"/>
      <w:bookmarkStart w:id="334" w:name="_Toc12690"/>
      <w:bookmarkStart w:id="335" w:name="_Toc22128"/>
      <w:bookmarkStart w:id="336" w:name="_Toc11205"/>
      <w:bookmarkStart w:id="337" w:name="_Toc20070"/>
      <w:bookmarkStart w:id="338" w:name="_Toc8367"/>
      <w:bookmarkStart w:id="339" w:name="_Toc26871"/>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.1</w:t>
      </w:r>
      <w:r>
        <w:rPr>
          <w:color w:val="auto"/>
          <w:highlight w:val="none"/>
        </w:rPr>
        <w:t>项目阶段</w:t>
      </w:r>
      <w:bookmarkEnd w:id="328"/>
      <w:bookmarkEnd w:id="329"/>
      <w:bookmarkEnd w:id="330"/>
      <w:bookmarkEnd w:id="331"/>
      <w:bookmarkEnd w:id="332"/>
      <w:bookmarkEnd w:id="333"/>
      <w:bookmarkEnd w:id="334"/>
      <w:bookmarkEnd w:id="335"/>
      <w:bookmarkEnd w:id="336"/>
      <w:bookmarkEnd w:id="337"/>
      <w:bookmarkEnd w:id="338"/>
      <w:bookmarkEnd w:id="339"/>
    </w:p>
    <w:p>
      <w:pPr>
        <w:ind w:firstLine="419" w:firstLineChars="174"/>
        <w:outlineLvl w:val="9"/>
        <w:rPr>
          <w:rFonts w:asciiTheme="minorEastAsia" w:hAnsiTheme="minorEastAsia" w:eastAsiaTheme="minorEastAsia"/>
          <w:b/>
          <w:color w:val="auto"/>
          <w:highlight w:val="none"/>
        </w:rPr>
      </w:pPr>
      <w:bookmarkStart w:id="340" w:name="_Toc5191"/>
      <w:r>
        <w:rPr>
          <w:rFonts w:hint="eastAsia" w:asciiTheme="minorEastAsia" w:hAnsiTheme="minorEastAsia" w:eastAsiaTheme="minorEastAsia"/>
          <w:b/>
          <w:color w:val="auto"/>
          <w:highlight w:val="none"/>
        </w:rPr>
        <w:t>1、产品交付</w:t>
      </w:r>
      <w:bookmarkEnd w:id="340"/>
    </w:p>
    <w:p>
      <w:pPr>
        <w:pStyle w:val="71"/>
        <w:spacing w:line="360" w:lineRule="auto"/>
        <w:ind w:left="0" w:firstLine="480"/>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根据招标文件的要求交付</w:t>
      </w:r>
      <w:r>
        <w:rPr>
          <w:rFonts w:hint="eastAsia" w:asciiTheme="minorEastAsia" w:hAnsiTheme="minorEastAsia" w:eastAsiaTheme="minorEastAsia"/>
          <w:color w:val="auto"/>
          <w:sz w:val="24"/>
          <w:szCs w:val="24"/>
          <w:highlight w:val="none"/>
          <w:lang w:eastAsia="zh-CN" w:bidi="ar"/>
        </w:rPr>
        <w:t>关系</w:t>
      </w:r>
      <w:r>
        <w:rPr>
          <w:rFonts w:hint="eastAsia" w:asciiTheme="minorEastAsia" w:hAnsiTheme="minorEastAsia" w:eastAsiaTheme="minorEastAsia"/>
          <w:color w:val="auto"/>
          <w:sz w:val="24"/>
          <w:szCs w:val="24"/>
          <w:highlight w:val="none"/>
          <w:lang w:bidi="ar"/>
        </w:rPr>
        <w:t>型数据库产品，并交付产品使用文档、产品实施文档等项目交付物。</w:t>
      </w:r>
    </w:p>
    <w:p>
      <w:pPr>
        <w:ind w:firstLine="419" w:firstLineChars="174"/>
        <w:outlineLvl w:val="9"/>
        <w:rPr>
          <w:rFonts w:asciiTheme="minorEastAsia" w:hAnsiTheme="minorEastAsia" w:eastAsiaTheme="minorEastAsia"/>
          <w:b/>
          <w:color w:val="auto"/>
          <w:highlight w:val="none"/>
        </w:rPr>
      </w:pPr>
      <w:bookmarkStart w:id="341" w:name="_Toc6128"/>
      <w:r>
        <w:rPr>
          <w:rFonts w:hint="eastAsia" w:asciiTheme="minorEastAsia" w:hAnsiTheme="minorEastAsia" w:eastAsiaTheme="minorEastAsia"/>
          <w:b/>
          <w:color w:val="auto"/>
          <w:highlight w:val="none"/>
        </w:rPr>
        <w:t>2、产品测试</w:t>
      </w:r>
      <w:bookmarkEnd w:id="341"/>
    </w:p>
    <w:p>
      <w:pPr>
        <w:pStyle w:val="71"/>
        <w:spacing w:line="360" w:lineRule="auto"/>
        <w:ind w:left="0" w:firstLine="480"/>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配合</w:t>
      </w:r>
      <w:r>
        <w:rPr>
          <w:rFonts w:hint="eastAsia" w:asciiTheme="minorEastAsia" w:hAnsiTheme="minorEastAsia" w:eastAsiaTheme="minorEastAsia"/>
          <w:color w:val="auto"/>
          <w:sz w:val="24"/>
          <w:szCs w:val="24"/>
          <w:highlight w:val="none"/>
          <w:lang w:eastAsia="zh-CN" w:bidi="ar"/>
        </w:rPr>
        <w:t>牵头方</w:t>
      </w:r>
      <w:r>
        <w:rPr>
          <w:rFonts w:hint="eastAsia" w:asciiTheme="minorEastAsia" w:hAnsiTheme="minorEastAsia" w:eastAsiaTheme="minorEastAsia"/>
          <w:color w:val="auto"/>
          <w:sz w:val="24"/>
          <w:szCs w:val="24"/>
          <w:highlight w:val="none"/>
          <w:lang w:bidi="ar"/>
        </w:rPr>
        <w:t>对产品进行功能和性能等测试，以验证其符合招标文件中关于产品的要求。</w:t>
      </w:r>
    </w:p>
    <w:p>
      <w:pPr>
        <w:ind w:firstLine="419" w:firstLineChars="174"/>
        <w:outlineLvl w:val="9"/>
        <w:rPr>
          <w:rFonts w:asciiTheme="minorEastAsia" w:hAnsiTheme="minorEastAsia" w:eastAsiaTheme="minorEastAsia"/>
          <w:b/>
          <w:color w:val="auto"/>
          <w:highlight w:val="none"/>
        </w:rPr>
      </w:pPr>
      <w:bookmarkStart w:id="342" w:name="_Toc2025"/>
      <w:r>
        <w:rPr>
          <w:rFonts w:hint="eastAsia" w:asciiTheme="minorEastAsia" w:hAnsiTheme="minorEastAsia" w:eastAsiaTheme="minorEastAsia"/>
          <w:b/>
          <w:color w:val="auto"/>
          <w:highlight w:val="none"/>
        </w:rPr>
        <w:t>3、产品适配验证</w:t>
      </w:r>
      <w:bookmarkEnd w:id="342"/>
    </w:p>
    <w:p>
      <w:pPr>
        <w:pStyle w:val="71"/>
        <w:spacing w:line="360" w:lineRule="auto"/>
        <w:ind w:left="0" w:firstLine="480"/>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根据</w:t>
      </w:r>
      <w:r>
        <w:rPr>
          <w:rFonts w:hint="eastAsia" w:asciiTheme="minorEastAsia" w:hAnsiTheme="minorEastAsia" w:eastAsiaTheme="minorEastAsia"/>
          <w:color w:val="auto"/>
          <w:sz w:val="24"/>
          <w:szCs w:val="24"/>
          <w:highlight w:val="none"/>
          <w:lang w:eastAsia="zh-CN" w:bidi="ar"/>
        </w:rPr>
        <w:t>牵头方</w:t>
      </w:r>
      <w:r>
        <w:rPr>
          <w:rFonts w:hint="eastAsia" w:asciiTheme="minorEastAsia" w:hAnsiTheme="minorEastAsia" w:eastAsiaTheme="minorEastAsia"/>
          <w:color w:val="auto"/>
          <w:sz w:val="24"/>
          <w:szCs w:val="24"/>
          <w:highlight w:val="none"/>
          <w:lang w:bidi="ar"/>
        </w:rPr>
        <w:t>的要求，配合完成所投</w:t>
      </w:r>
      <w:r>
        <w:rPr>
          <w:rFonts w:hint="eastAsia" w:asciiTheme="minorEastAsia" w:hAnsiTheme="minorEastAsia" w:eastAsiaTheme="minorEastAsia"/>
          <w:color w:val="auto"/>
          <w:sz w:val="24"/>
          <w:szCs w:val="24"/>
          <w:highlight w:val="none"/>
          <w:lang w:eastAsia="zh-CN" w:bidi="ar"/>
        </w:rPr>
        <w:t>关系</w:t>
      </w:r>
      <w:r>
        <w:rPr>
          <w:rFonts w:hint="eastAsia" w:asciiTheme="minorEastAsia" w:hAnsiTheme="minorEastAsia" w:eastAsiaTheme="minorEastAsia"/>
          <w:color w:val="auto"/>
          <w:sz w:val="24"/>
          <w:szCs w:val="24"/>
          <w:highlight w:val="none"/>
          <w:lang w:bidi="ar"/>
        </w:rPr>
        <w:t>型数据库与招标方的业务系统、国产软硬件的适配验证及改造。</w:t>
      </w:r>
    </w:p>
    <w:p>
      <w:pPr>
        <w:ind w:firstLine="419" w:firstLineChars="174"/>
        <w:outlineLvl w:val="9"/>
        <w:rPr>
          <w:rFonts w:asciiTheme="minorEastAsia" w:hAnsiTheme="minorEastAsia" w:eastAsiaTheme="minorEastAsia"/>
          <w:b/>
          <w:color w:val="auto"/>
          <w:highlight w:val="none"/>
        </w:rPr>
      </w:pPr>
      <w:bookmarkStart w:id="343" w:name="_Toc30030"/>
      <w:r>
        <w:rPr>
          <w:rFonts w:hint="eastAsia" w:asciiTheme="minorEastAsia" w:hAnsiTheme="minorEastAsia" w:eastAsiaTheme="minorEastAsia"/>
          <w:b/>
          <w:color w:val="auto"/>
          <w:highlight w:val="none"/>
        </w:rPr>
        <w:t>4、项目实施及试运行</w:t>
      </w:r>
      <w:bookmarkEnd w:id="343"/>
    </w:p>
    <w:p>
      <w:pPr>
        <w:pStyle w:val="71"/>
        <w:spacing w:line="360" w:lineRule="auto"/>
        <w:ind w:left="0" w:firstLine="480"/>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根据</w:t>
      </w:r>
      <w:r>
        <w:rPr>
          <w:rFonts w:hint="eastAsia" w:asciiTheme="minorEastAsia" w:hAnsiTheme="minorEastAsia" w:eastAsiaTheme="minorEastAsia"/>
          <w:color w:val="auto"/>
          <w:sz w:val="24"/>
          <w:szCs w:val="24"/>
          <w:highlight w:val="none"/>
          <w:lang w:eastAsia="zh-CN" w:bidi="ar"/>
        </w:rPr>
        <w:t>牵头方</w:t>
      </w:r>
      <w:r>
        <w:rPr>
          <w:rFonts w:hint="eastAsia" w:asciiTheme="minorEastAsia" w:hAnsiTheme="minorEastAsia" w:eastAsiaTheme="minorEastAsia"/>
          <w:color w:val="auto"/>
          <w:sz w:val="24"/>
          <w:szCs w:val="24"/>
          <w:highlight w:val="none"/>
          <w:lang w:bidi="ar"/>
        </w:rPr>
        <w:t>的项目要求完成产品的部署和上线试运行。</w:t>
      </w:r>
    </w:p>
    <w:p>
      <w:pPr>
        <w:ind w:firstLine="419" w:firstLineChars="174"/>
        <w:outlineLvl w:val="9"/>
        <w:rPr>
          <w:rFonts w:asciiTheme="minorEastAsia" w:hAnsiTheme="minorEastAsia" w:eastAsiaTheme="minorEastAsia"/>
          <w:b/>
          <w:color w:val="auto"/>
          <w:highlight w:val="none"/>
        </w:rPr>
      </w:pPr>
      <w:bookmarkStart w:id="344" w:name="_Toc10914"/>
      <w:r>
        <w:rPr>
          <w:rFonts w:asciiTheme="minorEastAsia" w:hAnsiTheme="minorEastAsia" w:eastAsiaTheme="minorEastAsia"/>
          <w:b/>
          <w:color w:val="auto"/>
          <w:highlight w:val="none"/>
        </w:rPr>
        <w:t>5</w:t>
      </w:r>
      <w:r>
        <w:rPr>
          <w:rFonts w:hint="eastAsia" w:asciiTheme="minorEastAsia" w:hAnsiTheme="minorEastAsia" w:eastAsiaTheme="minorEastAsia"/>
          <w:b/>
          <w:color w:val="auto"/>
          <w:highlight w:val="none"/>
        </w:rPr>
        <w:t>、项目验收</w:t>
      </w:r>
      <w:bookmarkEnd w:id="344"/>
    </w:p>
    <w:p>
      <w:pPr>
        <w:pStyle w:val="71"/>
        <w:spacing w:line="360" w:lineRule="auto"/>
        <w:ind w:left="0" w:firstLine="480"/>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提交项目验收所需材料，达成项目验收条件，</w:t>
      </w:r>
      <w:r>
        <w:rPr>
          <w:rFonts w:hint="eastAsia" w:asciiTheme="minorEastAsia" w:hAnsiTheme="minorEastAsia" w:eastAsiaTheme="minorEastAsia"/>
          <w:color w:val="auto"/>
          <w:sz w:val="24"/>
          <w:szCs w:val="24"/>
          <w:highlight w:val="none"/>
          <w:lang w:eastAsia="zh-CN" w:bidi="ar"/>
        </w:rPr>
        <w:t>牵头方</w:t>
      </w:r>
      <w:r>
        <w:rPr>
          <w:rFonts w:hint="eastAsia" w:asciiTheme="minorEastAsia" w:hAnsiTheme="minorEastAsia" w:eastAsiaTheme="minorEastAsia"/>
          <w:color w:val="auto"/>
          <w:sz w:val="24"/>
          <w:szCs w:val="24"/>
          <w:highlight w:val="none"/>
          <w:lang w:bidi="ar"/>
        </w:rPr>
        <w:t>组织项目验收。</w:t>
      </w:r>
    </w:p>
    <w:p>
      <w:pPr>
        <w:ind w:firstLine="424" w:firstLineChars="176"/>
        <w:outlineLvl w:val="9"/>
        <w:rPr>
          <w:rFonts w:asciiTheme="minorEastAsia" w:hAnsiTheme="minorEastAsia" w:eastAsiaTheme="minorEastAsia"/>
          <w:b/>
          <w:color w:val="auto"/>
          <w:highlight w:val="none"/>
        </w:rPr>
      </w:pPr>
      <w:bookmarkStart w:id="345" w:name="_Toc12745"/>
      <w:r>
        <w:rPr>
          <w:rFonts w:asciiTheme="minorEastAsia" w:hAnsiTheme="minorEastAsia" w:eastAsiaTheme="minorEastAsia"/>
          <w:b/>
          <w:color w:val="auto"/>
          <w:highlight w:val="none"/>
        </w:rPr>
        <w:t>6</w:t>
      </w:r>
      <w:r>
        <w:rPr>
          <w:rFonts w:hint="eastAsia" w:asciiTheme="minorEastAsia" w:hAnsiTheme="minorEastAsia" w:eastAsiaTheme="minorEastAsia"/>
          <w:b/>
          <w:color w:val="auto"/>
          <w:highlight w:val="none"/>
        </w:rPr>
        <w:t>、售后服务</w:t>
      </w:r>
      <w:bookmarkEnd w:id="345"/>
    </w:p>
    <w:p>
      <w:pPr>
        <w:pStyle w:val="71"/>
        <w:spacing w:line="360" w:lineRule="auto"/>
        <w:ind w:left="0" w:firstLine="480"/>
        <w:rPr>
          <w:color w:val="auto"/>
          <w:highlight w:val="none"/>
        </w:rPr>
      </w:pP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在项目质保期内保障系统平稳运行，提供符合招标文件所要求的质保服务。</w:t>
      </w:r>
    </w:p>
    <w:p>
      <w:pPr>
        <w:pStyle w:val="4"/>
        <w:keepNext/>
        <w:numPr>
          <w:ilvl w:val="1"/>
          <w:numId w:val="0"/>
        </w:numPr>
        <w:spacing w:before="120" w:beforeAutospacing="0" w:after="120" w:afterAutospacing="0"/>
        <w:rPr>
          <w:color w:val="auto"/>
          <w:highlight w:val="none"/>
        </w:rPr>
      </w:pPr>
      <w:bookmarkStart w:id="346" w:name="_Toc14406"/>
      <w:bookmarkStart w:id="347" w:name="_Toc21866"/>
      <w:bookmarkStart w:id="348" w:name="_Toc13855"/>
      <w:bookmarkStart w:id="349" w:name="_Toc32590"/>
      <w:bookmarkStart w:id="350" w:name="_Toc32441"/>
      <w:bookmarkStart w:id="351" w:name="_Toc17975"/>
      <w:bookmarkStart w:id="352" w:name="_Toc12173"/>
      <w:bookmarkStart w:id="353" w:name="_Toc32572"/>
      <w:bookmarkStart w:id="354" w:name="_Toc31579"/>
      <w:bookmarkStart w:id="355" w:name="_Toc1670"/>
      <w:bookmarkStart w:id="356" w:name="_Toc17334"/>
      <w:bookmarkStart w:id="357" w:name="_Toc624"/>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.2</w:t>
      </w:r>
      <w:r>
        <w:rPr>
          <w:color w:val="auto"/>
          <w:highlight w:val="none"/>
        </w:rPr>
        <w:t>实施技术服务能力要求</w:t>
      </w:r>
      <w:bookmarkEnd w:id="346"/>
      <w:bookmarkEnd w:id="347"/>
      <w:bookmarkEnd w:id="348"/>
      <w:bookmarkEnd w:id="349"/>
      <w:bookmarkEnd w:id="350"/>
      <w:bookmarkEnd w:id="351"/>
      <w:bookmarkEnd w:id="352"/>
      <w:bookmarkEnd w:id="353"/>
      <w:bookmarkEnd w:id="354"/>
      <w:bookmarkEnd w:id="355"/>
      <w:bookmarkEnd w:id="356"/>
      <w:bookmarkEnd w:id="357"/>
    </w:p>
    <w:p>
      <w:pPr>
        <w:numPr>
          <w:ilvl w:val="0"/>
          <w:numId w:val="10"/>
        </w:numPr>
        <w:tabs>
          <w:tab w:val="left" w:pos="720"/>
        </w:tabs>
        <w:ind w:firstLine="480"/>
        <w:rPr>
          <w:color w:val="auto"/>
          <w:highlight w:val="none"/>
          <w:lang w:bidi="ar"/>
        </w:rPr>
      </w:pPr>
      <w:r>
        <w:rPr>
          <w:rFonts w:hint="eastAsia"/>
          <w:color w:val="auto"/>
          <w:highlight w:val="none"/>
          <w:lang w:eastAsia="zh-CN" w:bidi="ar"/>
        </w:rPr>
        <w:t>成员方</w:t>
      </w:r>
      <w:r>
        <w:rPr>
          <w:color w:val="auto"/>
          <w:highlight w:val="none"/>
          <w:lang w:bidi="ar"/>
        </w:rPr>
        <w:t>需要</w:t>
      </w:r>
      <w:r>
        <w:rPr>
          <w:rFonts w:hint="eastAsia"/>
          <w:color w:val="auto"/>
          <w:highlight w:val="none"/>
          <w:lang w:bidi="ar"/>
        </w:rPr>
        <w:t>根据部署需要</w:t>
      </w:r>
      <w:r>
        <w:rPr>
          <w:color w:val="auto"/>
          <w:highlight w:val="none"/>
          <w:lang w:bidi="ar"/>
        </w:rPr>
        <w:t>提供完整可行的技术开发实施方案，确保系统实现满足要求。</w:t>
      </w:r>
    </w:p>
    <w:p>
      <w:pPr>
        <w:numPr>
          <w:ilvl w:val="0"/>
          <w:numId w:val="10"/>
        </w:numPr>
        <w:tabs>
          <w:tab w:val="left" w:pos="720"/>
        </w:tabs>
        <w:ind w:firstLine="480"/>
        <w:rPr>
          <w:color w:val="auto"/>
          <w:highlight w:val="none"/>
          <w:lang w:bidi="ar"/>
        </w:rPr>
      </w:pPr>
      <w:r>
        <w:rPr>
          <w:rFonts w:hint="eastAsia"/>
          <w:color w:val="auto"/>
          <w:highlight w:val="none"/>
          <w:lang w:eastAsia="zh-CN" w:bidi="ar"/>
        </w:rPr>
        <w:t>成员方</w:t>
      </w:r>
      <w:r>
        <w:rPr>
          <w:color w:val="auto"/>
          <w:highlight w:val="none"/>
          <w:lang w:bidi="ar"/>
        </w:rPr>
        <w:t>需要提供必要的服务质量保证措施。</w:t>
      </w:r>
    </w:p>
    <w:p>
      <w:pPr>
        <w:numPr>
          <w:ilvl w:val="0"/>
          <w:numId w:val="10"/>
        </w:numPr>
        <w:tabs>
          <w:tab w:val="left" w:pos="720"/>
        </w:tabs>
        <w:ind w:firstLine="480"/>
        <w:rPr>
          <w:color w:val="auto"/>
          <w:highlight w:val="none"/>
          <w:lang w:bidi="ar"/>
        </w:rPr>
      </w:pPr>
      <w:r>
        <w:rPr>
          <w:rFonts w:hint="eastAsia"/>
          <w:color w:val="auto"/>
          <w:highlight w:val="none"/>
          <w:lang w:eastAsia="zh-CN" w:bidi="ar"/>
        </w:rPr>
        <w:t>成员方</w:t>
      </w:r>
      <w:r>
        <w:rPr>
          <w:color w:val="auto"/>
          <w:highlight w:val="none"/>
          <w:lang w:bidi="ar"/>
        </w:rPr>
        <w:t>需要按照实施方案中的时间进行实施，保证实施进度。</w:t>
      </w:r>
    </w:p>
    <w:p>
      <w:pPr>
        <w:numPr>
          <w:ilvl w:val="0"/>
          <w:numId w:val="10"/>
        </w:numPr>
        <w:tabs>
          <w:tab w:val="left" w:pos="720"/>
        </w:tabs>
        <w:ind w:firstLine="480"/>
        <w:rPr>
          <w:color w:val="auto"/>
          <w:highlight w:val="none"/>
          <w:lang w:bidi="ar"/>
        </w:rPr>
      </w:pPr>
      <w:r>
        <w:rPr>
          <w:color w:val="auto"/>
          <w:highlight w:val="none"/>
          <w:lang w:bidi="ar"/>
        </w:rPr>
        <w:t>在项目建设、实施、运行期间，</w:t>
      </w:r>
      <w:r>
        <w:rPr>
          <w:rFonts w:hint="eastAsia"/>
          <w:color w:val="auto"/>
          <w:highlight w:val="none"/>
          <w:lang w:eastAsia="zh-CN" w:bidi="ar"/>
        </w:rPr>
        <w:t>成员方</w:t>
      </w:r>
      <w:r>
        <w:rPr>
          <w:rFonts w:hint="eastAsia"/>
          <w:color w:val="auto"/>
          <w:highlight w:val="none"/>
          <w:lang w:val="en-US" w:eastAsia="zh-CN" w:bidi="ar"/>
        </w:rPr>
        <w:t>需</w:t>
      </w:r>
      <w:r>
        <w:rPr>
          <w:color w:val="auto"/>
          <w:highlight w:val="none"/>
          <w:lang w:bidi="ar"/>
        </w:rPr>
        <w:t>建立问题处理响应机制，包含响应人、响应方式、响应时间等，针对系统出现的问题或故障，</w:t>
      </w:r>
      <w:r>
        <w:rPr>
          <w:rFonts w:hint="eastAsia"/>
          <w:color w:val="auto"/>
          <w:highlight w:val="none"/>
          <w:lang w:bidi="ar"/>
        </w:rPr>
        <w:t>在1个小时内</w:t>
      </w:r>
      <w:r>
        <w:rPr>
          <w:color w:val="auto"/>
          <w:highlight w:val="none"/>
          <w:lang w:bidi="ar"/>
        </w:rPr>
        <w:t>响应并现场支持，给出“问题处理应急方案” 并解决问题。</w:t>
      </w:r>
    </w:p>
    <w:p>
      <w:pPr>
        <w:numPr>
          <w:ilvl w:val="0"/>
          <w:numId w:val="10"/>
        </w:numPr>
        <w:tabs>
          <w:tab w:val="left" w:pos="720"/>
        </w:tabs>
        <w:ind w:firstLine="480"/>
        <w:rPr>
          <w:color w:val="auto"/>
          <w:highlight w:val="none"/>
          <w:lang w:bidi="ar"/>
        </w:rPr>
      </w:pPr>
      <w:r>
        <w:rPr>
          <w:color w:val="auto"/>
          <w:highlight w:val="none"/>
          <w:lang w:bidi="ar"/>
        </w:rPr>
        <w:t>在项目建设、实施、运行期间， 系统集成接口相关系统开发商互相协助、 紧密配合。 在责任主体不清时，积极主导对方共同开展工作。必要时，积极主导集成接口相关系统方协同分析解决系统出现的问题或故障。</w:t>
      </w:r>
    </w:p>
    <w:p>
      <w:pPr>
        <w:numPr>
          <w:ilvl w:val="0"/>
          <w:numId w:val="10"/>
        </w:numPr>
        <w:tabs>
          <w:tab w:val="left" w:pos="720"/>
        </w:tabs>
        <w:ind w:firstLine="480"/>
        <w:rPr>
          <w:color w:val="auto"/>
          <w:highlight w:val="none"/>
          <w:lang w:bidi="ar"/>
        </w:rPr>
      </w:pPr>
      <w:r>
        <w:rPr>
          <w:color w:val="auto"/>
          <w:highlight w:val="none"/>
          <w:lang w:bidi="ar"/>
        </w:rPr>
        <w:t>在系统试运行</w:t>
      </w:r>
      <w:r>
        <w:rPr>
          <w:rFonts w:hint="eastAsia"/>
          <w:color w:val="auto"/>
          <w:highlight w:val="none"/>
          <w:lang w:val="en-US" w:eastAsia="zh-CN" w:bidi="ar"/>
        </w:rPr>
        <w:t>和质保期</w:t>
      </w:r>
      <w:r>
        <w:rPr>
          <w:color w:val="auto"/>
          <w:highlight w:val="none"/>
          <w:lang w:bidi="ar"/>
        </w:rPr>
        <w:t>期间，</w:t>
      </w:r>
      <w:r>
        <w:rPr>
          <w:rFonts w:hint="eastAsia"/>
          <w:color w:val="auto"/>
          <w:highlight w:val="none"/>
          <w:lang w:eastAsia="zh-CN" w:bidi="ar"/>
        </w:rPr>
        <w:t>成员方</w:t>
      </w:r>
      <w:r>
        <w:rPr>
          <w:rFonts w:hint="eastAsia"/>
          <w:color w:val="auto"/>
          <w:highlight w:val="none"/>
          <w:lang w:val="en-US" w:eastAsia="zh-CN" w:bidi="ar"/>
        </w:rPr>
        <w:t>需</w:t>
      </w:r>
      <w:r>
        <w:rPr>
          <w:color w:val="auto"/>
          <w:highlight w:val="none"/>
          <w:lang w:bidi="ar"/>
        </w:rPr>
        <w:t>提供专门的技术人员，并根据对于用户报告的问题，评估其严重程度，分为低、中、高三个等级。低级问题在7天内解决，中级问题在</w:t>
      </w:r>
      <w:r>
        <w:rPr>
          <w:rFonts w:hint="eastAsia"/>
          <w:color w:val="auto"/>
          <w:highlight w:val="none"/>
          <w:lang w:val="en-US" w:eastAsia="zh-CN" w:bidi="ar"/>
        </w:rPr>
        <w:t>24</w:t>
      </w:r>
      <w:r>
        <w:rPr>
          <w:color w:val="auto"/>
          <w:highlight w:val="none"/>
          <w:lang w:bidi="ar"/>
        </w:rPr>
        <w:t>小时内解决，高级问题在2 小时内解决。在试运行阶段，全程记录问题排查过程及最终解决方法。</w:t>
      </w:r>
    </w:p>
    <w:p>
      <w:pPr>
        <w:pStyle w:val="4"/>
        <w:keepNext/>
        <w:numPr>
          <w:ilvl w:val="1"/>
          <w:numId w:val="0"/>
        </w:numPr>
        <w:spacing w:before="120" w:beforeAutospacing="0" w:after="120" w:afterAutospacing="0"/>
        <w:rPr>
          <w:color w:val="auto"/>
          <w:highlight w:val="none"/>
        </w:rPr>
      </w:pPr>
      <w:bookmarkStart w:id="358" w:name="_Toc21329"/>
      <w:bookmarkStart w:id="359" w:name="_Toc2224"/>
      <w:bookmarkStart w:id="360" w:name="_Toc16059"/>
      <w:bookmarkStart w:id="361" w:name="_Toc6096"/>
      <w:bookmarkStart w:id="362" w:name="_Toc24751"/>
      <w:bookmarkStart w:id="363" w:name="_Toc1975"/>
      <w:bookmarkStart w:id="364" w:name="_Toc32462"/>
      <w:bookmarkStart w:id="365" w:name="_Toc17871"/>
      <w:bookmarkStart w:id="366" w:name="_Toc10291"/>
      <w:bookmarkStart w:id="367" w:name="_Toc27359"/>
      <w:bookmarkStart w:id="368" w:name="_Toc2709"/>
      <w:bookmarkStart w:id="369" w:name="_Toc15747"/>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.3</w:t>
      </w:r>
      <w:r>
        <w:rPr>
          <w:rFonts w:hint="eastAsia"/>
          <w:color w:val="auto"/>
          <w:highlight w:val="none"/>
          <w:lang w:eastAsia="zh-CN"/>
        </w:rPr>
        <w:t>成员方</w:t>
      </w:r>
      <w:r>
        <w:rPr>
          <w:color w:val="auto"/>
          <w:highlight w:val="none"/>
        </w:rPr>
        <w:t>的一般责任</w:t>
      </w:r>
      <w:bookmarkEnd w:id="358"/>
      <w:bookmarkEnd w:id="359"/>
      <w:bookmarkEnd w:id="360"/>
      <w:bookmarkEnd w:id="361"/>
      <w:bookmarkEnd w:id="362"/>
      <w:bookmarkEnd w:id="363"/>
      <w:bookmarkEnd w:id="364"/>
      <w:bookmarkEnd w:id="365"/>
      <w:bookmarkEnd w:id="366"/>
      <w:bookmarkEnd w:id="367"/>
      <w:bookmarkEnd w:id="368"/>
      <w:bookmarkEnd w:id="369"/>
    </w:p>
    <w:p>
      <w:pPr>
        <w:pStyle w:val="2"/>
        <w:numPr>
          <w:ilvl w:val="0"/>
          <w:numId w:val="11"/>
        </w:numPr>
        <w:spacing w:after="0"/>
        <w:ind w:firstLine="480" w:firstLineChars="0"/>
        <w:jc w:val="left"/>
        <w:rPr>
          <w:color w:val="auto"/>
          <w:highlight w:val="none"/>
          <w:lang w:bidi="ar"/>
        </w:rPr>
      </w:pPr>
      <w:r>
        <w:rPr>
          <w:rFonts w:hint="eastAsia"/>
          <w:color w:val="auto"/>
          <w:highlight w:val="none"/>
          <w:lang w:eastAsia="zh-CN" w:bidi="ar"/>
        </w:rPr>
        <w:t>成员方中标后</w:t>
      </w:r>
      <w:r>
        <w:rPr>
          <w:rFonts w:hint="eastAsia"/>
          <w:color w:val="auto"/>
          <w:highlight w:val="none"/>
          <w:lang w:val="en-US" w:eastAsia="zh-CN" w:bidi="ar"/>
        </w:rPr>
        <w:t>需</w:t>
      </w:r>
      <w:r>
        <w:rPr>
          <w:color w:val="auto"/>
          <w:highlight w:val="none"/>
          <w:lang w:bidi="ar"/>
        </w:rPr>
        <w:t>根据</w:t>
      </w:r>
      <w:r>
        <w:rPr>
          <w:rFonts w:hint="eastAsia"/>
          <w:color w:val="auto"/>
          <w:highlight w:val="none"/>
          <w:lang w:eastAsia="zh-CN" w:bidi="ar"/>
        </w:rPr>
        <w:t>牵头方</w:t>
      </w:r>
      <w:r>
        <w:rPr>
          <w:color w:val="auto"/>
          <w:highlight w:val="none"/>
          <w:lang w:bidi="ar"/>
        </w:rPr>
        <w:t>的要求及安排，派遣相关人员参与项目现场实施工作。</w:t>
      </w:r>
    </w:p>
    <w:p>
      <w:pPr>
        <w:pStyle w:val="2"/>
        <w:numPr>
          <w:ilvl w:val="0"/>
          <w:numId w:val="11"/>
        </w:numPr>
        <w:spacing w:after="0"/>
        <w:ind w:firstLine="480" w:firstLineChars="0"/>
        <w:jc w:val="left"/>
        <w:outlineLvl w:val="9"/>
        <w:rPr>
          <w:color w:val="auto"/>
          <w:highlight w:val="none"/>
          <w:lang w:bidi="ar"/>
        </w:rPr>
      </w:pPr>
      <w:bookmarkStart w:id="370" w:name="_Toc17971"/>
      <w:r>
        <w:rPr>
          <w:color w:val="auto"/>
          <w:highlight w:val="none"/>
          <w:lang w:bidi="ar"/>
        </w:rPr>
        <w:t>按照合同约定，完成招标工作范围内的全部工作。</w:t>
      </w:r>
      <w:bookmarkEnd w:id="370"/>
    </w:p>
    <w:p>
      <w:pPr>
        <w:pStyle w:val="2"/>
        <w:numPr>
          <w:ilvl w:val="0"/>
          <w:numId w:val="11"/>
        </w:numPr>
        <w:spacing w:after="0"/>
        <w:ind w:firstLine="480" w:firstLineChars="0"/>
        <w:jc w:val="left"/>
        <w:rPr>
          <w:color w:val="auto"/>
          <w:highlight w:val="none"/>
          <w:lang w:bidi="ar"/>
        </w:rPr>
      </w:pPr>
      <w:r>
        <w:rPr>
          <w:rFonts w:hint="eastAsia"/>
          <w:color w:val="auto"/>
          <w:highlight w:val="none"/>
          <w:lang w:eastAsia="zh-CN" w:bidi="ar"/>
        </w:rPr>
        <w:t>成员方中标后</w:t>
      </w:r>
      <w:r>
        <w:rPr>
          <w:rFonts w:hint="eastAsia"/>
          <w:color w:val="auto"/>
          <w:highlight w:val="none"/>
          <w:lang w:val="en-US" w:eastAsia="zh-CN" w:bidi="ar"/>
        </w:rPr>
        <w:t>需</w:t>
      </w:r>
      <w:bookmarkStart w:id="475" w:name="_GoBack"/>
      <w:bookmarkEnd w:id="475"/>
      <w:r>
        <w:rPr>
          <w:color w:val="auto"/>
          <w:highlight w:val="none"/>
          <w:lang w:bidi="ar"/>
        </w:rPr>
        <w:t>负责在整个项目过程中保证项目的实施质量。若由于</w:t>
      </w:r>
      <w:r>
        <w:rPr>
          <w:rFonts w:hint="eastAsia"/>
          <w:color w:val="auto"/>
          <w:highlight w:val="none"/>
          <w:lang w:eastAsia="zh-CN" w:bidi="ar"/>
        </w:rPr>
        <w:t>成员方</w:t>
      </w:r>
      <w:r>
        <w:rPr>
          <w:color w:val="auto"/>
          <w:highlight w:val="none"/>
          <w:lang w:bidi="ar"/>
        </w:rPr>
        <w:t>自身原因出现了质量事故由</w:t>
      </w:r>
      <w:r>
        <w:rPr>
          <w:rFonts w:hint="eastAsia"/>
          <w:color w:val="auto"/>
          <w:highlight w:val="none"/>
          <w:lang w:eastAsia="zh-CN" w:bidi="ar"/>
        </w:rPr>
        <w:t>成员方</w:t>
      </w:r>
      <w:r>
        <w:rPr>
          <w:color w:val="auto"/>
          <w:highlight w:val="none"/>
          <w:lang w:bidi="ar"/>
        </w:rPr>
        <w:t>负责。</w:t>
      </w:r>
    </w:p>
    <w:p>
      <w:pPr>
        <w:pStyle w:val="4"/>
        <w:keepNext/>
        <w:numPr>
          <w:ilvl w:val="1"/>
          <w:numId w:val="0"/>
        </w:numPr>
        <w:spacing w:before="120" w:beforeAutospacing="0" w:after="120" w:afterAutospacing="0"/>
        <w:rPr>
          <w:color w:val="auto"/>
          <w:highlight w:val="none"/>
        </w:rPr>
      </w:pPr>
      <w:bookmarkStart w:id="371" w:name="_Toc4854"/>
      <w:bookmarkStart w:id="372" w:name="_Toc15063"/>
      <w:bookmarkStart w:id="373" w:name="_Toc30580"/>
      <w:bookmarkStart w:id="374" w:name="_Toc11321"/>
      <w:bookmarkStart w:id="375" w:name="_Toc19249"/>
      <w:bookmarkStart w:id="376" w:name="_Toc11692"/>
      <w:bookmarkStart w:id="377" w:name="_Toc11426"/>
      <w:bookmarkStart w:id="378" w:name="_Toc19703"/>
      <w:bookmarkStart w:id="379" w:name="_Toc23847"/>
      <w:bookmarkStart w:id="380" w:name="_Toc790"/>
      <w:bookmarkStart w:id="381" w:name="_Toc28110"/>
      <w:bookmarkStart w:id="382" w:name="_Toc19923"/>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.4</w:t>
      </w:r>
      <w:r>
        <w:rPr>
          <w:color w:val="auto"/>
          <w:highlight w:val="none"/>
        </w:rPr>
        <w:t>进度计划及分段考核</w:t>
      </w:r>
      <w:bookmarkEnd w:id="371"/>
      <w:bookmarkEnd w:id="372"/>
      <w:bookmarkEnd w:id="373"/>
      <w:bookmarkEnd w:id="374"/>
      <w:bookmarkEnd w:id="375"/>
      <w:bookmarkEnd w:id="376"/>
      <w:bookmarkEnd w:id="377"/>
      <w:bookmarkEnd w:id="378"/>
      <w:bookmarkEnd w:id="379"/>
      <w:bookmarkEnd w:id="380"/>
      <w:bookmarkEnd w:id="381"/>
      <w:bookmarkEnd w:id="382"/>
    </w:p>
    <w:p>
      <w:pPr>
        <w:pStyle w:val="2"/>
        <w:spacing w:after="0"/>
        <w:ind w:firstLine="480"/>
        <w:jc w:val="left"/>
        <w:rPr>
          <w:color w:val="auto"/>
          <w:highlight w:val="none"/>
          <w:lang w:bidi="ar"/>
        </w:rPr>
      </w:pPr>
      <w:r>
        <w:rPr>
          <w:rFonts w:hint="eastAsia"/>
          <w:color w:val="auto"/>
          <w:highlight w:val="none"/>
          <w:lang w:eastAsia="zh-CN" w:bidi="ar"/>
        </w:rPr>
        <w:t>成员方中标后</w:t>
      </w:r>
      <w:r>
        <w:rPr>
          <w:rFonts w:hint="eastAsia"/>
          <w:color w:val="auto"/>
          <w:highlight w:val="none"/>
          <w:lang w:val="en-US" w:eastAsia="zh-CN" w:bidi="ar"/>
        </w:rPr>
        <w:t>需</w:t>
      </w:r>
      <w:r>
        <w:rPr>
          <w:color w:val="auto"/>
          <w:highlight w:val="none"/>
          <w:lang w:bidi="ar"/>
        </w:rPr>
        <w:t>按</w:t>
      </w:r>
      <w:r>
        <w:rPr>
          <w:rFonts w:hint="eastAsia"/>
          <w:color w:val="auto"/>
          <w:highlight w:val="none"/>
          <w:lang w:eastAsia="zh-CN" w:bidi="ar"/>
        </w:rPr>
        <w:t>牵头方</w:t>
      </w:r>
      <w:r>
        <w:rPr>
          <w:color w:val="auto"/>
          <w:highlight w:val="none"/>
          <w:lang w:bidi="ar"/>
        </w:rPr>
        <w:t>确认的进度计划组织实施，接受</w:t>
      </w:r>
      <w:r>
        <w:rPr>
          <w:rFonts w:hint="eastAsia"/>
          <w:color w:val="auto"/>
          <w:highlight w:val="none"/>
          <w:lang w:eastAsia="zh-CN" w:bidi="ar"/>
        </w:rPr>
        <w:t>牵头方</w:t>
      </w:r>
      <w:r>
        <w:rPr>
          <w:color w:val="auto"/>
          <w:highlight w:val="none"/>
          <w:lang w:bidi="ar"/>
        </w:rPr>
        <w:t>对进度的检查和监督。项目实际进度与经确认的进度计划不符合时，</w:t>
      </w:r>
      <w:r>
        <w:rPr>
          <w:rFonts w:hint="eastAsia"/>
          <w:color w:val="auto"/>
          <w:highlight w:val="none"/>
          <w:lang w:eastAsia="zh-CN" w:bidi="ar"/>
        </w:rPr>
        <w:t>成员方</w:t>
      </w:r>
      <w:r>
        <w:rPr>
          <w:rFonts w:hint="eastAsia"/>
          <w:color w:val="auto"/>
          <w:highlight w:val="none"/>
          <w:lang w:val="en-US" w:eastAsia="zh-CN" w:bidi="ar"/>
        </w:rPr>
        <w:t>需</w:t>
      </w:r>
      <w:r>
        <w:rPr>
          <w:color w:val="auto"/>
          <w:highlight w:val="none"/>
          <w:lang w:bidi="ar"/>
        </w:rPr>
        <w:t>按</w:t>
      </w:r>
      <w:r>
        <w:rPr>
          <w:rFonts w:hint="eastAsia"/>
          <w:color w:val="auto"/>
          <w:highlight w:val="none"/>
          <w:lang w:eastAsia="zh-CN" w:bidi="ar"/>
        </w:rPr>
        <w:t>牵头方</w:t>
      </w:r>
      <w:r>
        <w:rPr>
          <w:color w:val="auto"/>
          <w:highlight w:val="none"/>
          <w:lang w:bidi="ar"/>
        </w:rPr>
        <w:t>的要求提出改进措施，经</w:t>
      </w:r>
      <w:r>
        <w:rPr>
          <w:rFonts w:hint="eastAsia"/>
          <w:color w:val="auto"/>
          <w:highlight w:val="none"/>
          <w:lang w:eastAsia="zh-CN" w:bidi="ar"/>
        </w:rPr>
        <w:t>牵头方</w:t>
      </w:r>
      <w:r>
        <w:rPr>
          <w:color w:val="auto"/>
          <w:highlight w:val="none"/>
          <w:lang w:bidi="ar"/>
        </w:rPr>
        <w:t>确认后执行。因</w:t>
      </w:r>
      <w:r>
        <w:rPr>
          <w:rFonts w:hint="eastAsia"/>
          <w:color w:val="auto"/>
          <w:highlight w:val="none"/>
          <w:lang w:eastAsia="zh-CN" w:bidi="ar"/>
        </w:rPr>
        <w:t>成员方</w:t>
      </w:r>
      <w:r>
        <w:rPr>
          <w:color w:val="auto"/>
          <w:highlight w:val="none"/>
          <w:lang w:bidi="ar"/>
        </w:rPr>
        <w:t>的原因导致项目实际进度与进度计划不符，</w:t>
      </w:r>
      <w:r>
        <w:rPr>
          <w:rFonts w:hint="eastAsia"/>
          <w:color w:val="auto"/>
          <w:highlight w:val="none"/>
          <w:lang w:eastAsia="zh-CN" w:bidi="ar"/>
        </w:rPr>
        <w:t>成员方</w:t>
      </w:r>
      <w:r>
        <w:rPr>
          <w:color w:val="auto"/>
          <w:highlight w:val="none"/>
          <w:lang w:bidi="ar"/>
        </w:rPr>
        <w:t>需实施改进措施且不得追加合同价款。</w:t>
      </w:r>
    </w:p>
    <w:p>
      <w:pPr>
        <w:pStyle w:val="4"/>
        <w:keepNext/>
        <w:numPr>
          <w:ilvl w:val="1"/>
          <w:numId w:val="0"/>
        </w:numPr>
        <w:spacing w:before="120" w:beforeAutospacing="0" w:after="120" w:afterAutospacing="0"/>
        <w:rPr>
          <w:color w:val="auto"/>
          <w:highlight w:val="none"/>
        </w:rPr>
      </w:pPr>
      <w:bookmarkStart w:id="383" w:name="_Toc13428"/>
      <w:bookmarkStart w:id="384" w:name="_Toc603"/>
      <w:bookmarkStart w:id="385" w:name="_Toc27797"/>
      <w:bookmarkStart w:id="386" w:name="_Toc32626"/>
      <w:bookmarkStart w:id="387" w:name="_Toc2196"/>
      <w:bookmarkStart w:id="388" w:name="_Toc24916"/>
      <w:bookmarkStart w:id="389" w:name="_Toc5846"/>
      <w:bookmarkStart w:id="390" w:name="_Toc19289"/>
      <w:bookmarkStart w:id="391" w:name="_Toc3850"/>
      <w:bookmarkStart w:id="392" w:name="_Toc25891"/>
      <w:bookmarkStart w:id="393" w:name="_Toc30013"/>
      <w:bookmarkStart w:id="394" w:name="_Toc32429"/>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.5</w:t>
      </w:r>
      <w:r>
        <w:rPr>
          <w:color w:val="auto"/>
          <w:highlight w:val="none"/>
        </w:rPr>
        <w:t>项目结束约定</w:t>
      </w:r>
      <w:bookmarkEnd w:id="383"/>
      <w:bookmarkEnd w:id="384"/>
      <w:bookmarkEnd w:id="385"/>
      <w:bookmarkEnd w:id="386"/>
      <w:bookmarkEnd w:id="387"/>
      <w:bookmarkEnd w:id="388"/>
      <w:bookmarkEnd w:id="389"/>
      <w:bookmarkEnd w:id="390"/>
      <w:bookmarkEnd w:id="391"/>
      <w:bookmarkEnd w:id="392"/>
      <w:bookmarkEnd w:id="393"/>
      <w:bookmarkEnd w:id="394"/>
    </w:p>
    <w:p>
      <w:pPr>
        <w:pStyle w:val="2"/>
        <w:numPr>
          <w:ilvl w:val="0"/>
          <w:numId w:val="12"/>
        </w:numPr>
        <w:spacing w:after="0"/>
        <w:ind w:firstLine="424" w:firstLineChars="177"/>
        <w:jc w:val="left"/>
        <w:rPr>
          <w:color w:val="auto"/>
          <w:highlight w:val="none"/>
          <w:lang w:bidi="ar"/>
        </w:rPr>
      </w:pPr>
      <w:r>
        <w:rPr>
          <w:rFonts w:hint="eastAsia"/>
          <w:color w:val="auto"/>
          <w:highlight w:val="none"/>
          <w:lang w:eastAsia="zh-CN" w:bidi="ar"/>
        </w:rPr>
        <w:t>成员方中标后</w:t>
      </w:r>
      <w:r>
        <w:rPr>
          <w:rFonts w:hint="eastAsia"/>
          <w:color w:val="auto"/>
          <w:highlight w:val="none"/>
          <w:lang w:val="en-US" w:eastAsia="zh-CN" w:bidi="ar"/>
        </w:rPr>
        <w:t>需</w:t>
      </w:r>
      <w:r>
        <w:rPr>
          <w:color w:val="auto"/>
          <w:highlight w:val="none"/>
          <w:lang w:bidi="ar"/>
        </w:rPr>
        <w:t>按照协议书约定的结束日期或经</w:t>
      </w:r>
      <w:r>
        <w:rPr>
          <w:rFonts w:hint="eastAsia"/>
          <w:color w:val="auto"/>
          <w:highlight w:val="none"/>
          <w:lang w:eastAsia="zh-CN" w:bidi="ar"/>
        </w:rPr>
        <w:t>牵头方</w:t>
      </w:r>
      <w:r>
        <w:rPr>
          <w:color w:val="auto"/>
          <w:highlight w:val="none"/>
          <w:lang w:bidi="ar"/>
        </w:rPr>
        <w:t>同意顺延的计划完成项目。</w:t>
      </w:r>
    </w:p>
    <w:p>
      <w:pPr>
        <w:pStyle w:val="2"/>
        <w:numPr>
          <w:ilvl w:val="0"/>
          <w:numId w:val="12"/>
        </w:numPr>
        <w:spacing w:after="0"/>
        <w:ind w:firstLine="480" w:firstLineChars="0"/>
        <w:jc w:val="left"/>
        <w:rPr>
          <w:color w:val="auto"/>
          <w:highlight w:val="none"/>
          <w:lang w:bidi="ar"/>
        </w:rPr>
      </w:pPr>
      <w:r>
        <w:rPr>
          <w:color w:val="auto"/>
          <w:highlight w:val="none"/>
          <w:lang w:bidi="ar"/>
        </w:rPr>
        <w:t>因</w:t>
      </w:r>
      <w:r>
        <w:rPr>
          <w:rFonts w:hint="eastAsia"/>
          <w:color w:val="auto"/>
          <w:highlight w:val="none"/>
          <w:lang w:eastAsia="zh-CN" w:bidi="ar"/>
        </w:rPr>
        <w:t>成员方</w:t>
      </w:r>
      <w:r>
        <w:rPr>
          <w:color w:val="auto"/>
          <w:highlight w:val="none"/>
          <w:lang w:bidi="ar"/>
        </w:rPr>
        <w:t>原因不能按照协议书约定的完成日期或</w:t>
      </w:r>
      <w:r>
        <w:rPr>
          <w:rFonts w:hint="eastAsia"/>
          <w:color w:val="auto"/>
          <w:highlight w:val="none"/>
          <w:lang w:eastAsia="zh-CN" w:bidi="ar"/>
        </w:rPr>
        <w:t>牵头方</w:t>
      </w:r>
      <w:r>
        <w:rPr>
          <w:color w:val="auto"/>
          <w:highlight w:val="none"/>
          <w:lang w:bidi="ar"/>
        </w:rPr>
        <w:t>同意顺延的工期完成的，</w:t>
      </w:r>
      <w:r>
        <w:rPr>
          <w:rFonts w:hint="eastAsia"/>
          <w:color w:val="auto"/>
          <w:highlight w:val="none"/>
          <w:lang w:eastAsia="zh-CN" w:bidi="ar"/>
        </w:rPr>
        <w:t>成员方</w:t>
      </w:r>
      <w:r>
        <w:rPr>
          <w:color w:val="auto"/>
          <w:highlight w:val="none"/>
          <w:lang w:bidi="ar"/>
        </w:rPr>
        <w:t>承担违约责任。</w:t>
      </w:r>
    </w:p>
    <w:p>
      <w:pPr>
        <w:pStyle w:val="4"/>
        <w:keepNext/>
        <w:numPr>
          <w:ilvl w:val="1"/>
          <w:numId w:val="0"/>
        </w:numPr>
        <w:spacing w:before="120" w:beforeAutospacing="0" w:after="120" w:afterAutospacing="0"/>
        <w:rPr>
          <w:color w:val="auto"/>
          <w:highlight w:val="none"/>
        </w:rPr>
      </w:pPr>
      <w:bookmarkStart w:id="395" w:name="_Toc13274"/>
      <w:bookmarkStart w:id="396" w:name="_Toc31087"/>
      <w:bookmarkStart w:id="397" w:name="_Toc1932"/>
      <w:bookmarkStart w:id="398" w:name="_Toc16227"/>
      <w:bookmarkStart w:id="399" w:name="_Toc23697"/>
      <w:bookmarkStart w:id="400" w:name="_Toc20784"/>
      <w:bookmarkStart w:id="401" w:name="_Toc26591"/>
      <w:bookmarkStart w:id="402" w:name="_Toc24947"/>
      <w:bookmarkStart w:id="403" w:name="_Toc11614"/>
      <w:bookmarkStart w:id="404" w:name="_Toc15751"/>
      <w:bookmarkStart w:id="405" w:name="_Toc24263"/>
      <w:bookmarkStart w:id="406" w:name="_Toc12707"/>
      <w:r>
        <w:rPr>
          <w:rFonts w:hint="eastAsia" w:cs="Times New Roman"/>
          <w:b/>
          <w:bCs/>
          <w:color w:val="auto"/>
          <w:kern w:val="24"/>
          <w:sz w:val="28"/>
          <w:szCs w:val="28"/>
          <w:lang w:val="en-US" w:eastAsia="zh-CN" w:bidi="ar-SA"/>
        </w:rPr>
        <w:t>9</w:t>
      </w:r>
      <w:r>
        <w:rPr>
          <w:rFonts w:hint="eastAsia" w:ascii="宋体" w:hAnsi="宋体" w:eastAsia="宋体" w:cs="Times New Roman"/>
          <w:b/>
          <w:bCs/>
          <w:color w:val="auto"/>
          <w:kern w:val="24"/>
          <w:sz w:val="28"/>
          <w:szCs w:val="28"/>
          <w:lang w:val="en-US" w:eastAsia="zh-CN" w:bidi="ar-SA"/>
        </w:rPr>
        <w:t>.</w:t>
      </w:r>
      <w:r>
        <w:rPr>
          <w:rFonts w:hint="eastAsia" w:cs="Times New Roman"/>
          <w:b/>
          <w:bCs/>
          <w:color w:val="auto"/>
          <w:kern w:val="24"/>
          <w:sz w:val="28"/>
          <w:szCs w:val="28"/>
          <w:lang w:val="en-US" w:eastAsia="zh-CN" w:bidi="ar-SA"/>
        </w:rPr>
        <w:t>6</w:t>
      </w:r>
      <w:r>
        <w:rPr>
          <w:color w:val="auto"/>
          <w:highlight w:val="none"/>
        </w:rPr>
        <w:t>项目质量安全保障</w:t>
      </w:r>
      <w:bookmarkEnd w:id="395"/>
      <w:bookmarkEnd w:id="396"/>
      <w:bookmarkEnd w:id="397"/>
      <w:bookmarkEnd w:id="398"/>
      <w:bookmarkEnd w:id="399"/>
      <w:bookmarkEnd w:id="400"/>
      <w:bookmarkEnd w:id="401"/>
      <w:bookmarkEnd w:id="402"/>
      <w:bookmarkEnd w:id="403"/>
      <w:bookmarkEnd w:id="404"/>
      <w:bookmarkEnd w:id="405"/>
      <w:bookmarkEnd w:id="406"/>
    </w:p>
    <w:p>
      <w:pPr>
        <w:autoSpaceDE w:val="0"/>
        <w:ind w:firstLine="480"/>
        <w:rPr>
          <w:rFonts w:asciiTheme="minorEastAsia" w:hAnsiTheme="minorEastAsia" w:eastAsiaTheme="minorEastAsia"/>
          <w:color w:val="auto"/>
          <w:highlight w:val="none"/>
          <w:lang w:bidi="ar"/>
        </w:rPr>
      </w:pPr>
      <w:r>
        <w:rPr>
          <w:rFonts w:asciiTheme="minorEastAsia" w:hAnsiTheme="minorEastAsia" w:eastAsiaTheme="minorEastAsia"/>
          <w:color w:val="auto"/>
          <w:highlight w:val="none"/>
          <w:lang w:bidi="ar"/>
        </w:rPr>
        <w:t>1</w:t>
      </w:r>
      <w:r>
        <w:rPr>
          <w:rFonts w:hint="eastAsia" w:asciiTheme="minorEastAsia" w:hAnsiTheme="minorEastAsia" w:eastAsiaTheme="minorEastAsia"/>
          <w:color w:val="auto"/>
          <w:highlight w:val="none"/>
          <w:lang w:bidi="ar"/>
        </w:rPr>
        <w:t>、</w:t>
      </w:r>
      <w:r>
        <w:rPr>
          <w:rFonts w:hint="eastAsia" w:asciiTheme="minorEastAsia" w:hAnsiTheme="minorEastAsia" w:eastAsiaTheme="minorEastAsia"/>
          <w:color w:val="auto"/>
          <w:highlight w:val="none"/>
          <w:lang w:eastAsia="zh-CN" w:bidi="ar"/>
        </w:rPr>
        <w:t>成员方</w:t>
      </w:r>
      <w:r>
        <w:rPr>
          <w:rFonts w:hint="eastAsia" w:asciiTheme="minorEastAsia" w:hAnsiTheme="minorEastAsia" w:eastAsiaTheme="minorEastAsia"/>
          <w:color w:val="auto"/>
          <w:highlight w:val="none"/>
          <w:lang w:val="en-US" w:eastAsia="zh-CN" w:bidi="ar"/>
        </w:rPr>
        <w:t>需</w:t>
      </w:r>
      <w:r>
        <w:rPr>
          <w:rFonts w:asciiTheme="minorEastAsia" w:hAnsiTheme="minorEastAsia" w:eastAsiaTheme="minorEastAsia"/>
          <w:color w:val="auto"/>
          <w:highlight w:val="none"/>
          <w:lang w:bidi="ar"/>
        </w:rPr>
        <w:t>严格遵守《中国南方电网有限责任公司信息化项目质量管理办法》相关规定，制定严格的质量安全措施。</w:t>
      </w:r>
    </w:p>
    <w:p>
      <w:pPr>
        <w:pStyle w:val="71"/>
        <w:spacing w:line="360" w:lineRule="auto"/>
        <w:ind w:firstLine="480"/>
        <w:rPr>
          <w:rFonts w:asciiTheme="minorEastAsia" w:hAnsiTheme="minorEastAsia" w:eastAsiaTheme="minorEastAsia"/>
          <w:color w:val="auto"/>
          <w:sz w:val="24"/>
          <w:szCs w:val="24"/>
          <w:highlight w:val="none"/>
          <w:lang w:bidi="ar"/>
        </w:rPr>
      </w:pPr>
      <w:r>
        <w:rPr>
          <w:rFonts w:asciiTheme="minorEastAsia" w:hAnsiTheme="minorEastAsia" w:eastAsiaTheme="minorEastAsia"/>
          <w:color w:val="auto"/>
          <w:sz w:val="24"/>
          <w:szCs w:val="24"/>
          <w:highlight w:val="none"/>
          <w:lang w:bidi="ar"/>
        </w:rPr>
        <w:t>2</w:t>
      </w:r>
      <w:r>
        <w:rPr>
          <w:rFonts w:hint="eastAsia" w:asciiTheme="minorEastAsia" w:hAnsiTheme="minorEastAsia" w:eastAsiaTheme="minorEastAsia"/>
          <w:color w:val="auto"/>
          <w:sz w:val="24"/>
          <w:szCs w:val="24"/>
          <w:highlight w:val="none"/>
          <w:lang w:bidi="ar"/>
        </w:rPr>
        <w:t>、</w:t>
      </w:r>
      <w:r>
        <w:rPr>
          <w:rFonts w:asciiTheme="minorEastAsia" w:hAnsiTheme="minorEastAsia" w:eastAsiaTheme="minorEastAsia"/>
          <w:color w:val="auto"/>
          <w:sz w:val="24"/>
          <w:szCs w:val="24"/>
          <w:highlight w:val="none"/>
          <w:lang w:bidi="ar"/>
        </w:rPr>
        <w:t>由于</w:t>
      </w:r>
      <w:r>
        <w:rPr>
          <w:rFonts w:hint="eastAsia" w:asciiTheme="minorEastAsia" w:hAnsiTheme="minorEastAsia" w:eastAsiaTheme="minorEastAsia"/>
          <w:color w:val="auto"/>
          <w:sz w:val="24"/>
          <w:szCs w:val="24"/>
          <w:highlight w:val="none"/>
          <w:lang w:eastAsia="zh-CN" w:bidi="ar"/>
        </w:rPr>
        <w:t>成员方</w:t>
      </w:r>
      <w:r>
        <w:rPr>
          <w:rFonts w:asciiTheme="minorEastAsia" w:hAnsiTheme="minorEastAsia" w:eastAsiaTheme="minorEastAsia"/>
          <w:color w:val="auto"/>
          <w:sz w:val="24"/>
          <w:szCs w:val="24"/>
          <w:highlight w:val="none"/>
          <w:lang w:bidi="ar"/>
        </w:rPr>
        <w:t>质量安全措施不力造成质量安全事故的责任，以及由此发生的费用和损失，由</w:t>
      </w:r>
      <w:r>
        <w:rPr>
          <w:rFonts w:hint="eastAsia" w:asciiTheme="minorEastAsia" w:hAnsiTheme="minorEastAsia" w:eastAsiaTheme="minorEastAsia"/>
          <w:color w:val="auto"/>
          <w:sz w:val="24"/>
          <w:szCs w:val="24"/>
          <w:highlight w:val="none"/>
          <w:lang w:eastAsia="zh-CN" w:bidi="ar"/>
        </w:rPr>
        <w:t>成员方</w:t>
      </w:r>
      <w:r>
        <w:rPr>
          <w:rFonts w:asciiTheme="minorEastAsia" w:hAnsiTheme="minorEastAsia" w:eastAsiaTheme="minorEastAsia"/>
          <w:color w:val="auto"/>
          <w:sz w:val="24"/>
          <w:szCs w:val="24"/>
          <w:highlight w:val="none"/>
          <w:lang w:bidi="ar"/>
        </w:rPr>
        <w:t>承担。</w:t>
      </w:r>
    </w:p>
    <w:p>
      <w:pPr>
        <w:pStyle w:val="71"/>
        <w:spacing w:line="360" w:lineRule="auto"/>
        <w:ind w:firstLine="480"/>
        <w:rPr>
          <w:rFonts w:asciiTheme="minorEastAsia" w:hAnsiTheme="minorEastAsia" w:eastAsiaTheme="minorEastAsia"/>
          <w:color w:val="auto"/>
          <w:sz w:val="24"/>
          <w:szCs w:val="24"/>
          <w:highlight w:val="none"/>
          <w:lang w:bidi="ar"/>
        </w:rPr>
      </w:pPr>
      <w:r>
        <w:rPr>
          <w:rFonts w:asciiTheme="minorEastAsia" w:hAnsiTheme="minorEastAsia" w:eastAsiaTheme="minorEastAsia"/>
          <w:color w:val="auto"/>
          <w:sz w:val="24"/>
          <w:szCs w:val="24"/>
          <w:highlight w:val="none"/>
          <w:lang w:bidi="ar"/>
        </w:rPr>
        <w:t>3</w:t>
      </w:r>
      <w:r>
        <w:rPr>
          <w:rFonts w:hint="eastAsia" w:asciiTheme="minorEastAsia" w:hAnsiTheme="minorEastAsia" w:eastAsiaTheme="minorEastAsia"/>
          <w:color w:val="auto"/>
          <w:sz w:val="24"/>
          <w:szCs w:val="24"/>
          <w:highlight w:val="none"/>
          <w:lang w:eastAsia="zh-Hans" w:bidi="ar"/>
        </w:rPr>
        <w:t>、</w:t>
      </w: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提供的产品若不符合国家网络安全审查等相关政策，由</w:t>
      </w:r>
      <w:r>
        <w:rPr>
          <w:rFonts w:hint="eastAsia" w:asciiTheme="minorEastAsia" w:hAnsiTheme="minorEastAsia" w:eastAsiaTheme="minorEastAsia"/>
          <w:color w:val="auto"/>
          <w:sz w:val="24"/>
          <w:szCs w:val="24"/>
          <w:highlight w:val="none"/>
          <w:lang w:eastAsia="zh-CN" w:bidi="ar"/>
        </w:rPr>
        <w:t>成员方</w:t>
      </w:r>
      <w:r>
        <w:rPr>
          <w:rFonts w:hint="eastAsia" w:asciiTheme="minorEastAsia" w:hAnsiTheme="minorEastAsia" w:eastAsiaTheme="minorEastAsia"/>
          <w:color w:val="auto"/>
          <w:sz w:val="24"/>
          <w:szCs w:val="24"/>
          <w:highlight w:val="none"/>
          <w:lang w:bidi="ar"/>
        </w:rPr>
        <w:t>免费进行更换。</w:t>
      </w:r>
    </w:p>
    <w:p>
      <w:pPr>
        <w:pStyle w:val="3"/>
        <w:keepNext/>
        <w:numPr>
          <w:ilvl w:val="0"/>
          <w:numId w:val="0"/>
        </w:numPr>
        <w:spacing w:before="163" w:beforeLines="50" w:after="163" w:afterLines="50"/>
        <w:rPr>
          <w:rFonts w:asciiTheme="majorEastAsia" w:hAnsiTheme="majorEastAsia" w:eastAsiaTheme="majorEastAsia"/>
          <w:b/>
          <w:bCs w:val="0"/>
          <w:color w:val="auto"/>
          <w:sz w:val="32"/>
          <w:szCs w:val="32"/>
          <w:highlight w:val="none"/>
        </w:rPr>
      </w:pPr>
      <w:bookmarkStart w:id="407" w:name="_Toc31145"/>
      <w:bookmarkStart w:id="408" w:name="_Toc30901"/>
      <w:bookmarkStart w:id="409" w:name="_Toc28151"/>
      <w:bookmarkStart w:id="410" w:name="_Toc31349"/>
      <w:bookmarkStart w:id="411" w:name="_Toc26839"/>
      <w:bookmarkStart w:id="412" w:name="_Toc14203"/>
      <w:bookmarkStart w:id="413" w:name="_Toc30503"/>
      <w:bookmarkStart w:id="414" w:name="_Toc18069"/>
      <w:bookmarkStart w:id="415" w:name="_Toc12867"/>
      <w:bookmarkStart w:id="416" w:name="_Toc1015"/>
      <w:bookmarkStart w:id="417" w:name="_Toc28403"/>
      <w:bookmarkStart w:id="418" w:name="_Toc21519"/>
      <w:r>
        <w:rPr>
          <w:rFonts w:hint="eastAsia" w:cs="Times New Roman" w:asciiTheme="majorEastAsia" w:hAnsiTheme="majorEastAsia" w:eastAsiaTheme="majorEastAsia"/>
          <w:b/>
          <w:bCs w:val="0"/>
          <w:color w:val="auto"/>
          <w:kern w:val="24"/>
          <w:sz w:val="32"/>
          <w:szCs w:val="32"/>
          <w:lang w:val="en-US" w:eastAsia="zh-CN" w:bidi="ar-SA"/>
        </w:rPr>
        <w:t>10</w:t>
      </w:r>
      <w:r>
        <w:rPr>
          <w:rFonts w:hint="eastAsia" w:asciiTheme="majorEastAsia" w:hAnsiTheme="majorEastAsia" w:eastAsiaTheme="majorEastAsia"/>
          <w:b/>
          <w:bCs w:val="0"/>
          <w:color w:val="auto"/>
          <w:sz w:val="32"/>
          <w:szCs w:val="32"/>
          <w:highlight w:val="none"/>
        </w:rPr>
        <w:t>售后服务要求</w:t>
      </w:r>
      <w:bookmarkEnd w:id="407"/>
      <w:bookmarkEnd w:id="408"/>
      <w:bookmarkEnd w:id="409"/>
      <w:bookmarkEnd w:id="410"/>
      <w:bookmarkEnd w:id="411"/>
      <w:bookmarkEnd w:id="412"/>
      <w:bookmarkEnd w:id="413"/>
      <w:bookmarkEnd w:id="414"/>
      <w:bookmarkEnd w:id="415"/>
      <w:bookmarkEnd w:id="416"/>
      <w:bookmarkEnd w:id="417"/>
      <w:bookmarkEnd w:id="418"/>
    </w:p>
    <w:p>
      <w:pPr>
        <w:pStyle w:val="4"/>
        <w:keepNext/>
        <w:numPr>
          <w:ilvl w:val="1"/>
          <w:numId w:val="0"/>
        </w:numPr>
        <w:spacing w:before="120" w:beforeAutospacing="0" w:after="120" w:afterAutospacing="0"/>
        <w:rPr>
          <w:color w:val="auto"/>
          <w:highlight w:val="none"/>
        </w:rPr>
      </w:pPr>
      <w:bookmarkStart w:id="419" w:name="_Toc26183"/>
      <w:bookmarkStart w:id="420" w:name="_Toc31964"/>
      <w:bookmarkStart w:id="421" w:name="_Toc15105"/>
      <w:bookmarkStart w:id="422" w:name="_Toc4262"/>
      <w:bookmarkStart w:id="423" w:name="_Toc26491"/>
      <w:bookmarkStart w:id="424" w:name="_Toc1436"/>
      <w:bookmarkStart w:id="425" w:name="_Toc21003"/>
      <w:bookmarkStart w:id="426" w:name="_Toc17422"/>
      <w:bookmarkStart w:id="427" w:name="_Toc11889"/>
      <w:bookmarkStart w:id="428" w:name="_Toc9926"/>
      <w:bookmarkStart w:id="429" w:name="_Toc16244"/>
      <w:bookmarkStart w:id="430" w:name="_Toc2199"/>
      <w:bookmarkStart w:id="431" w:name="_Toc11076255"/>
      <w:r>
        <w:rPr>
          <w:rFonts w:hint="eastAsia" w:cs="Times New Roman"/>
          <w:b/>
          <w:bCs/>
          <w:color w:val="auto"/>
          <w:kern w:val="24"/>
          <w:sz w:val="28"/>
          <w:szCs w:val="28"/>
          <w:lang w:val="en-US" w:eastAsia="zh-CN" w:bidi="ar-SA"/>
        </w:rPr>
        <w:t>10</w:t>
      </w:r>
      <w:r>
        <w:rPr>
          <w:rFonts w:hint="eastAsia" w:ascii="宋体" w:hAnsi="宋体" w:eastAsia="宋体" w:cs="Times New Roman"/>
          <w:b/>
          <w:bCs/>
          <w:color w:val="auto"/>
          <w:kern w:val="24"/>
          <w:sz w:val="28"/>
          <w:szCs w:val="28"/>
          <w:lang w:val="en-US" w:eastAsia="zh-CN" w:bidi="ar-SA"/>
        </w:rPr>
        <w:t>.1</w:t>
      </w:r>
      <w:r>
        <w:rPr>
          <w:rFonts w:hint="eastAsia"/>
          <w:color w:val="auto"/>
          <w:highlight w:val="none"/>
        </w:rPr>
        <w:t>质保服务</w:t>
      </w:r>
      <w:bookmarkEnd w:id="419"/>
      <w:bookmarkEnd w:id="420"/>
      <w:bookmarkEnd w:id="421"/>
      <w:bookmarkEnd w:id="422"/>
      <w:bookmarkEnd w:id="423"/>
      <w:bookmarkEnd w:id="424"/>
      <w:bookmarkEnd w:id="425"/>
      <w:bookmarkEnd w:id="426"/>
      <w:bookmarkEnd w:id="427"/>
      <w:bookmarkEnd w:id="428"/>
      <w:bookmarkEnd w:id="429"/>
      <w:bookmarkEnd w:id="430"/>
    </w:p>
    <w:p>
      <w:pPr>
        <w:autoSpaceDE w:val="0"/>
        <w:ind w:firstLine="480"/>
        <w:rPr>
          <w:rFonts w:asciiTheme="minorEastAsia" w:hAnsiTheme="minorEastAsia" w:eastAsiaTheme="minorEastAsia"/>
          <w:color w:val="auto"/>
          <w:highlight w:val="none"/>
          <w:lang w:bidi="ar"/>
        </w:rPr>
      </w:pPr>
      <w:r>
        <w:rPr>
          <w:rFonts w:hint="eastAsia" w:asciiTheme="minorEastAsia" w:hAnsiTheme="minorEastAsia" w:eastAsiaTheme="minorEastAsia"/>
          <w:color w:val="auto"/>
          <w:highlight w:val="none"/>
          <w:lang w:bidi="ar"/>
        </w:rPr>
        <w:t>项目通过竣工验收后，需提供为期</w:t>
      </w:r>
      <w:r>
        <w:rPr>
          <w:rFonts w:hint="eastAsia" w:asciiTheme="minorEastAsia" w:hAnsiTheme="minorEastAsia" w:eastAsiaTheme="minorEastAsia"/>
          <w:color w:val="auto"/>
          <w:highlight w:val="none"/>
          <w:lang w:val="en-US" w:eastAsia="zh-CN" w:bidi="ar"/>
        </w:rPr>
        <w:t>三</w:t>
      </w:r>
      <w:r>
        <w:rPr>
          <w:rFonts w:hint="eastAsia" w:asciiTheme="minorEastAsia" w:hAnsiTheme="minorEastAsia" w:eastAsiaTheme="minorEastAsia"/>
          <w:color w:val="auto"/>
          <w:highlight w:val="none"/>
          <w:lang w:bidi="ar"/>
        </w:rPr>
        <w:t>年的质量保证期</w:t>
      </w:r>
      <w:r>
        <w:rPr>
          <w:rFonts w:hint="eastAsia" w:asciiTheme="minorEastAsia" w:hAnsiTheme="minorEastAsia" w:eastAsiaTheme="minorEastAsia"/>
          <w:color w:val="auto"/>
          <w:highlight w:val="none"/>
          <w:lang w:val="en-US" w:eastAsia="zh-CN" w:bidi="ar"/>
        </w:rPr>
        <w:t>及</w:t>
      </w:r>
      <w:r>
        <w:rPr>
          <w:rFonts w:hint="eastAsia" w:asciiTheme="minorEastAsia" w:hAnsiTheme="minorEastAsia" w:eastAsiaTheme="minorEastAsia"/>
          <w:color w:val="auto"/>
          <w:highlight w:val="none"/>
          <w:lang w:bidi="ar"/>
        </w:rPr>
        <w:t>7X24小时原厂技术支持服务，需出具原厂服务承诺函，提供环境工勘，制定实施方案，软件安装，方案验证和用户演示培训等原厂系统部署服务。</w:t>
      </w:r>
    </w:p>
    <w:p>
      <w:pPr>
        <w:autoSpaceDE w:val="0"/>
        <w:ind w:firstLine="480"/>
        <w:rPr>
          <w:rFonts w:asciiTheme="minorEastAsia" w:hAnsiTheme="minorEastAsia" w:eastAsiaTheme="minorEastAsia"/>
          <w:color w:val="auto"/>
          <w:highlight w:val="none"/>
          <w:lang w:bidi="ar"/>
        </w:rPr>
      </w:pPr>
      <w:r>
        <w:rPr>
          <w:rFonts w:hint="eastAsia" w:asciiTheme="minorEastAsia" w:hAnsiTheme="minorEastAsia" w:eastAsiaTheme="minorEastAsia"/>
          <w:color w:val="auto"/>
          <w:highlight w:val="none"/>
          <w:lang w:bidi="ar"/>
        </w:rPr>
        <w:t>在质保期内，负责本项目系统平台的质保服务，确保系统安全、稳定、正常地运行，中标方根据要求提供电话支持支持、系统故障处理、定期巡检等服务，并在约定或招标方要求的时限内响应并排除招标方报告的故障、缺陷。</w:t>
      </w:r>
    </w:p>
    <w:p>
      <w:pPr>
        <w:pStyle w:val="4"/>
        <w:keepNext/>
        <w:numPr>
          <w:ilvl w:val="1"/>
          <w:numId w:val="0"/>
        </w:numPr>
        <w:spacing w:before="120" w:beforeAutospacing="0" w:after="120" w:afterAutospacing="0"/>
        <w:rPr>
          <w:color w:val="auto"/>
          <w:highlight w:val="none"/>
        </w:rPr>
      </w:pPr>
      <w:bookmarkStart w:id="432" w:name="_Toc15312"/>
      <w:bookmarkStart w:id="433" w:name="_Toc8583"/>
      <w:bookmarkStart w:id="434" w:name="_Toc30897"/>
      <w:bookmarkStart w:id="435" w:name="_Toc17665"/>
      <w:bookmarkStart w:id="436" w:name="_Toc29923"/>
      <w:bookmarkStart w:id="437" w:name="_Toc16596"/>
      <w:bookmarkStart w:id="438" w:name="_Toc12668"/>
      <w:bookmarkStart w:id="439" w:name="_Toc20723"/>
      <w:bookmarkStart w:id="440" w:name="_Toc28098"/>
      <w:bookmarkStart w:id="441" w:name="_Toc927"/>
      <w:bookmarkStart w:id="442" w:name="_Toc928"/>
      <w:bookmarkStart w:id="443" w:name="_Toc8216"/>
      <w:r>
        <w:rPr>
          <w:rFonts w:hint="eastAsia" w:cs="Times New Roman"/>
          <w:b/>
          <w:bCs/>
          <w:color w:val="auto"/>
          <w:kern w:val="24"/>
          <w:sz w:val="28"/>
          <w:szCs w:val="28"/>
          <w:lang w:val="en-US" w:eastAsia="zh-CN" w:bidi="ar-SA"/>
        </w:rPr>
        <w:t>10</w:t>
      </w:r>
      <w:r>
        <w:rPr>
          <w:rFonts w:hint="eastAsia" w:ascii="宋体" w:hAnsi="宋体" w:eastAsia="宋体" w:cs="Times New Roman"/>
          <w:b/>
          <w:bCs/>
          <w:color w:val="auto"/>
          <w:kern w:val="24"/>
          <w:sz w:val="28"/>
          <w:szCs w:val="28"/>
          <w:lang w:val="en-US" w:eastAsia="zh-CN" w:bidi="ar-SA"/>
        </w:rPr>
        <w:t>.2</w:t>
      </w:r>
      <w:r>
        <w:rPr>
          <w:rFonts w:hint="eastAsia"/>
          <w:color w:val="auto"/>
          <w:highlight w:val="none"/>
        </w:rPr>
        <w:t>维护及升级</w:t>
      </w:r>
      <w:bookmarkEnd w:id="432"/>
      <w:bookmarkEnd w:id="433"/>
      <w:bookmarkEnd w:id="434"/>
      <w:bookmarkEnd w:id="435"/>
      <w:bookmarkEnd w:id="436"/>
      <w:bookmarkEnd w:id="437"/>
      <w:bookmarkEnd w:id="438"/>
      <w:bookmarkEnd w:id="439"/>
      <w:bookmarkEnd w:id="440"/>
      <w:bookmarkEnd w:id="441"/>
      <w:bookmarkEnd w:id="442"/>
      <w:bookmarkEnd w:id="443"/>
    </w:p>
    <w:p>
      <w:pPr>
        <w:pStyle w:val="71"/>
        <w:spacing w:line="360" w:lineRule="auto"/>
        <w:ind w:firstLine="424" w:firstLineChars="177"/>
        <w:rPr>
          <w:rFonts w:hint="default" w:ascii="宋体" w:hAnsi="宋体"/>
          <w:color w:val="auto"/>
          <w:sz w:val="24"/>
          <w:szCs w:val="24"/>
          <w:highlight w:val="none"/>
          <w:lang w:val="en-US" w:eastAsia="zh-CN" w:bidi="ar"/>
        </w:rPr>
      </w:pPr>
      <w:r>
        <w:rPr>
          <w:rFonts w:hint="default" w:ascii="宋体" w:hAnsi="宋体"/>
          <w:color w:val="auto"/>
          <w:sz w:val="24"/>
          <w:szCs w:val="24"/>
          <w:highlight w:val="none"/>
          <w:lang w:val="en-US" w:eastAsia="zh-CN" w:bidi="ar"/>
        </w:rPr>
        <w:t>产品</w:t>
      </w:r>
      <w:r>
        <w:rPr>
          <w:rFonts w:hint="eastAsia" w:ascii="宋体" w:hAnsi="宋体"/>
          <w:color w:val="auto"/>
          <w:sz w:val="24"/>
          <w:szCs w:val="24"/>
          <w:highlight w:val="none"/>
          <w:lang w:val="en-US" w:eastAsia="zh-CN" w:bidi="ar"/>
        </w:rPr>
        <w:t>通用维护服务</w:t>
      </w:r>
      <w:r>
        <w:rPr>
          <w:rFonts w:hint="default" w:ascii="宋体" w:hAnsi="宋体"/>
          <w:color w:val="auto"/>
          <w:sz w:val="24"/>
          <w:szCs w:val="24"/>
          <w:highlight w:val="none"/>
          <w:lang w:val="en-US" w:eastAsia="zh-CN" w:bidi="ar"/>
        </w:rPr>
        <w:t>周期</w:t>
      </w:r>
      <w:r>
        <w:rPr>
          <w:rFonts w:hint="eastAsia" w:ascii="宋体" w:hAnsi="宋体"/>
          <w:color w:val="auto"/>
          <w:sz w:val="24"/>
          <w:szCs w:val="24"/>
          <w:highlight w:val="none"/>
          <w:lang w:val="en-US" w:eastAsia="zh-CN" w:bidi="ar"/>
        </w:rPr>
        <w:t>要求：</w:t>
      </w:r>
    </w:p>
    <w:p>
      <w:pPr>
        <w:pStyle w:val="71"/>
        <w:spacing w:line="360" w:lineRule="auto"/>
        <w:ind w:firstLine="424" w:firstLineChars="177"/>
        <w:rPr>
          <w:rFonts w:hint="eastAsia" w:ascii="宋体" w:hAnsi="宋体" w:eastAsia="宋体"/>
          <w:color w:val="auto"/>
          <w:sz w:val="24"/>
          <w:szCs w:val="24"/>
          <w:highlight w:val="none"/>
          <w:lang w:eastAsia="zh-CN" w:bidi="ar"/>
        </w:rPr>
      </w:pPr>
      <w:r>
        <w:rPr>
          <w:rFonts w:hint="eastAsia" w:ascii="宋体" w:hAnsi="宋体"/>
          <w:color w:val="auto"/>
          <w:sz w:val="24"/>
          <w:szCs w:val="24"/>
          <w:highlight w:val="none"/>
          <w:lang w:val="en-US" w:eastAsia="zh-CN" w:bidi="ar"/>
        </w:rPr>
        <w:t>1</w:t>
      </w:r>
      <w:r>
        <w:rPr>
          <w:rFonts w:hint="eastAsia" w:ascii="宋体" w:hAnsi="宋体"/>
          <w:color w:val="auto"/>
          <w:sz w:val="24"/>
          <w:szCs w:val="24"/>
          <w:highlight w:val="none"/>
          <w:lang w:bidi="ar"/>
        </w:rPr>
        <w:t>、产品自发布之日起至产品停止功能升级（包含不限于新特性、新硬件支持、问题修复、安全补丁等）之日止≥5 年</w:t>
      </w:r>
      <w:r>
        <w:rPr>
          <w:rFonts w:hint="eastAsia" w:ascii="宋体" w:hAnsi="宋体"/>
          <w:color w:val="auto"/>
          <w:sz w:val="24"/>
          <w:szCs w:val="24"/>
          <w:highlight w:val="none"/>
          <w:lang w:eastAsia="zh-CN" w:bidi="ar"/>
        </w:rPr>
        <w:t>。</w:t>
      </w:r>
    </w:p>
    <w:p>
      <w:pPr>
        <w:pStyle w:val="71"/>
        <w:spacing w:line="360" w:lineRule="auto"/>
        <w:ind w:firstLine="424" w:firstLineChars="177"/>
        <w:rPr>
          <w:rFonts w:hint="eastAsia" w:ascii="宋体" w:hAnsi="宋体" w:eastAsia="宋体"/>
          <w:color w:val="auto"/>
          <w:sz w:val="24"/>
          <w:szCs w:val="24"/>
          <w:highlight w:val="none"/>
          <w:lang w:eastAsia="zh-CN" w:bidi="ar"/>
        </w:rPr>
      </w:pPr>
      <w:r>
        <w:rPr>
          <w:rFonts w:hint="eastAsia" w:ascii="宋体" w:hAnsi="宋体"/>
          <w:color w:val="auto"/>
          <w:sz w:val="24"/>
          <w:szCs w:val="24"/>
          <w:highlight w:val="none"/>
          <w:lang w:val="en-US" w:eastAsia="zh-CN" w:bidi="ar"/>
        </w:rPr>
        <w:t>2</w:t>
      </w:r>
      <w:r>
        <w:rPr>
          <w:rFonts w:hint="eastAsia" w:ascii="宋体" w:hAnsi="宋体"/>
          <w:color w:val="auto"/>
          <w:sz w:val="24"/>
          <w:szCs w:val="24"/>
          <w:highlight w:val="none"/>
          <w:lang w:bidi="ar"/>
        </w:rPr>
        <w:t>、产品停止功能升级之日起至产品停止功能维护（包括问题修复、安全补丁等）之日止≥4 年</w:t>
      </w:r>
      <w:r>
        <w:rPr>
          <w:rFonts w:hint="eastAsia" w:ascii="宋体" w:hAnsi="宋体"/>
          <w:color w:val="auto"/>
          <w:sz w:val="24"/>
          <w:szCs w:val="24"/>
          <w:highlight w:val="none"/>
          <w:lang w:eastAsia="zh-CN" w:bidi="ar"/>
        </w:rPr>
        <w:t>。</w:t>
      </w:r>
    </w:p>
    <w:p>
      <w:pPr>
        <w:pStyle w:val="71"/>
        <w:spacing w:line="360" w:lineRule="auto"/>
        <w:ind w:firstLine="480"/>
        <w:rPr>
          <w:rFonts w:hint="eastAsia" w:ascii="宋体" w:hAnsi="宋体" w:eastAsia="宋体"/>
          <w:color w:val="auto"/>
          <w:sz w:val="24"/>
          <w:szCs w:val="24"/>
          <w:highlight w:val="none"/>
          <w:lang w:eastAsia="zh-CN" w:bidi="ar"/>
        </w:rPr>
      </w:pPr>
      <w:r>
        <w:rPr>
          <w:rFonts w:hint="eastAsia" w:ascii="宋体" w:hAnsi="宋体"/>
          <w:color w:val="auto"/>
          <w:sz w:val="24"/>
          <w:szCs w:val="24"/>
          <w:highlight w:val="none"/>
          <w:lang w:val="en-US" w:eastAsia="zh-CN" w:bidi="ar"/>
        </w:rPr>
        <w:t>3</w:t>
      </w:r>
      <w:r>
        <w:rPr>
          <w:rFonts w:hint="eastAsia" w:ascii="宋体" w:hAnsi="宋体"/>
          <w:color w:val="auto"/>
          <w:sz w:val="24"/>
          <w:szCs w:val="24"/>
          <w:highlight w:val="none"/>
          <w:lang w:bidi="ar"/>
        </w:rPr>
        <w:t>、产品功能维护停止之日起至产品停止安全维护（包括中高风险漏洞修复）之日止≥2 年</w:t>
      </w:r>
      <w:r>
        <w:rPr>
          <w:rFonts w:hint="eastAsia" w:ascii="宋体" w:hAnsi="宋体"/>
          <w:color w:val="auto"/>
          <w:sz w:val="24"/>
          <w:szCs w:val="24"/>
          <w:highlight w:val="none"/>
          <w:lang w:eastAsia="zh-CN" w:bidi="ar"/>
        </w:rPr>
        <w:t>。</w:t>
      </w:r>
    </w:p>
    <w:p>
      <w:pPr>
        <w:pStyle w:val="71"/>
        <w:spacing w:line="360" w:lineRule="auto"/>
        <w:ind w:firstLine="480"/>
        <w:rPr>
          <w:rFonts w:ascii="宋体" w:hAnsi="宋体"/>
          <w:color w:val="auto"/>
          <w:sz w:val="24"/>
          <w:szCs w:val="24"/>
          <w:highlight w:val="none"/>
          <w:lang w:bidi="ar"/>
        </w:rPr>
      </w:pP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val="en-US" w:eastAsia="zh-CN" w:bidi="ar"/>
        </w:rPr>
        <w:t>需</w:t>
      </w:r>
      <w:r>
        <w:rPr>
          <w:rFonts w:hint="eastAsia" w:ascii="宋体" w:hAnsi="宋体"/>
          <w:color w:val="auto"/>
          <w:sz w:val="24"/>
          <w:szCs w:val="24"/>
          <w:highlight w:val="none"/>
          <w:lang w:bidi="ar"/>
        </w:rPr>
        <w:t>明确，在质保期内：</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bidi="ar"/>
        </w:rPr>
        <w:t>1、提供 7×24 小时热线响应、专家在线远程技术支持、现场驻点技术支持，其中现场驻场人员不少于1</w:t>
      </w:r>
      <w:r>
        <w:rPr>
          <w:rFonts w:hint="eastAsia" w:ascii="宋体" w:hAnsi="宋体"/>
          <w:color w:val="auto"/>
          <w:sz w:val="24"/>
          <w:szCs w:val="24"/>
          <w:highlight w:val="none"/>
          <w:lang w:val="en-US" w:eastAsia="zh-CN" w:bidi="ar"/>
        </w:rPr>
        <w:t>0</w:t>
      </w:r>
      <w:r>
        <w:rPr>
          <w:rFonts w:hint="eastAsia" w:ascii="宋体" w:hAnsi="宋体"/>
          <w:color w:val="auto"/>
          <w:sz w:val="24"/>
          <w:szCs w:val="24"/>
          <w:highlight w:val="none"/>
          <w:lang w:bidi="ar"/>
        </w:rPr>
        <w:t>人，原厂人员不少于10人，需提供社保证明。</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bidi="ar"/>
        </w:rPr>
        <w:t>2、免费、及时处理系统软件故障。</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bidi="ar"/>
        </w:rPr>
        <w:t>3、免费、及时处理系统软件设计上的缺陷。</w:t>
      </w:r>
    </w:p>
    <w:p>
      <w:pPr>
        <w:pStyle w:val="71"/>
        <w:spacing w:line="360" w:lineRule="auto"/>
        <w:ind w:firstLine="424" w:firstLineChars="177"/>
        <w:rPr>
          <w:rFonts w:ascii="宋体" w:hAnsi="宋体"/>
          <w:color w:val="auto"/>
          <w:sz w:val="24"/>
          <w:szCs w:val="24"/>
          <w:highlight w:val="none"/>
          <w:lang w:bidi="ar"/>
        </w:rPr>
      </w:pPr>
      <w:r>
        <w:rPr>
          <w:rFonts w:hint="eastAsia" w:ascii="宋体" w:hAnsi="宋体"/>
          <w:color w:val="auto"/>
          <w:sz w:val="24"/>
          <w:szCs w:val="24"/>
          <w:highlight w:val="none"/>
          <w:lang w:bidi="ar"/>
        </w:rPr>
        <w:t>4、免费提供至少一次大版本升级。</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bidi="ar"/>
        </w:rPr>
        <w:t>5、免费提供小版本升级，范围为：属于本业务功能子项目范围的系统功能优化、提升。</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val="en-US" w:eastAsia="zh-CN" w:bidi="ar"/>
        </w:rPr>
        <w:t>6</w:t>
      </w:r>
      <w:r>
        <w:rPr>
          <w:rFonts w:hint="eastAsia" w:ascii="宋体" w:hAnsi="宋体"/>
          <w:color w:val="auto"/>
          <w:sz w:val="24"/>
          <w:szCs w:val="24"/>
          <w:highlight w:val="none"/>
          <w:lang w:bidi="ar"/>
        </w:rPr>
        <w:t>、</w:t>
      </w:r>
      <w:r>
        <w:rPr>
          <w:rFonts w:hint="eastAsia" w:ascii="宋体" w:hAnsi="宋体"/>
          <w:color w:val="auto"/>
          <w:sz w:val="24"/>
          <w:szCs w:val="24"/>
          <w:highlight w:val="none"/>
          <w:lang w:eastAsia="zh-CN" w:bidi="ar"/>
        </w:rPr>
        <w:t>牵头方</w:t>
      </w:r>
      <w:r>
        <w:rPr>
          <w:rFonts w:hint="eastAsia" w:ascii="宋体" w:hAnsi="宋体"/>
          <w:color w:val="auto"/>
          <w:sz w:val="24"/>
          <w:szCs w:val="24"/>
          <w:highlight w:val="none"/>
          <w:lang w:bidi="ar"/>
        </w:rPr>
        <w:t>的硬件设备出现故障或购置新设备，</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val="en-US" w:eastAsia="zh-CN" w:bidi="ar"/>
        </w:rPr>
        <w:t>需</w:t>
      </w:r>
      <w:r>
        <w:rPr>
          <w:rFonts w:hint="eastAsia" w:ascii="宋体" w:hAnsi="宋体"/>
          <w:color w:val="auto"/>
          <w:sz w:val="24"/>
          <w:szCs w:val="24"/>
          <w:highlight w:val="none"/>
          <w:lang w:bidi="ar"/>
        </w:rPr>
        <w:t>提供处理建议或采购意见，并免费提供系统恢复服务。</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ab/>
      </w:r>
      <w:r>
        <w:rPr>
          <w:rFonts w:hint="eastAsia" w:ascii="宋体" w:hAnsi="宋体"/>
          <w:color w:val="auto"/>
          <w:sz w:val="24"/>
          <w:szCs w:val="24"/>
          <w:highlight w:val="none"/>
          <w:lang w:val="en-US" w:eastAsia="zh-CN" w:bidi="ar"/>
        </w:rPr>
        <w:t>7</w:t>
      </w:r>
      <w:r>
        <w:rPr>
          <w:rFonts w:hint="eastAsia" w:ascii="宋体" w:hAnsi="宋体"/>
          <w:color w:val="auto"/>
          <w:sz w:val="24"/>
          <w:szCs w:val="24"/>
          <w:highlight w:val="none"/>
          <w:lang w:bidi="ar"/>
        </w:rPr>
        <w:t>、如果系统在质保期内出现重大故障，</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bidi="ar"/>
        </w:rPr>
        <w:t>在接到</w:t>
      </w:r>
      <w:r>
        <w:rPr>
          <w:rFonts w:hint="eastAsia" w:ascii="宋体" w:hAnsi="宋体"/>
          <w:color w:val="auto"/>
          <w:sz w:val="24"/>
          <w:szCs w:val="24"/>
          <w:highlight w:val="none"/>
          <w:lang w:eastAsia="zh-CN" w:bidi="ar"/>
        </w:rPr>
        <w:t>牵头方</w:t>
      </w:r>
      <w:r>
        <w:rPr>
          <w:rFonts w:hint="eastAsia" w:ascii="宋体" w:hAnsi="宋体"/>
          <w:color w:val="auto"/>
          <w:sz w:val="24"/>
          <w:szCs w:val="24"/>
          <w:highlight w:val="none"/>
          <w:lang w:bidi="ar"/>
        </w:rPr>
        <w:t xml:space="preserve">通知后 </w:t>
      </w:r>
      <w:r>
        <w:rPr>
          <w:rFonts w:hint="eastAsia" w:ascii="宋体" w:hAnsi="宋体"/>
          <w:color w:val="auto"/>
          <w:sz w:val="24"/>
          <w:szCs w:val="24"/>
          <w:highlight w:val="none"/>
          <w:lang w:val="en-US" w:eastAsia="zh-CN" w:bidi="ar"/>
        </w:rPr>
        <w:t>15分钟</w:t>
      </w:r>
      <w:r>
        <w:rPr>
          <w:rFonts w:hint="eastAsia" w:ascii="宋体" w:hAnsi="宋体"/>
          <w:color w:val="auto"/>
          <w:sz w:val="24"/>
          <w:szCs w:val="24"/>
          <w:highlight w:val="none"/>
          <w:lang w:bidi="ar"/>
        </w:rPr>
        <w:t>内作出响应并尽快提供解决方案。如果由</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bidi="ar"/>
        </w:rPr>
        <w:t>进行现场故障处理才能恢复系统正常的，</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val="en-US" w:eastAsia="zh-CN" w:bidi="ar"/>
        </w:rPr>
        <w:t>需</w:t>
      </w:r>
      <w:r>
        <w:rPr>
          <w:rFonts w:hint="eastAsia" w:ascii="宋体" w:hAnsi="宋体"/>
          <w:color w:val="auto"/>
          <w:sz w:val="24"/>
          <w:szCs w:val="24"/>
          <w:highlight w:val="none"/>
          <w:lang w:bidi="ar"/>
        </w:rPr>
        <w:t xml:space="preserve">立即派遣项目技术人员在 </w:t>
      </w:r>
      <w:r>
        <w:rPr>
          <w:rFonts w:hint="eastAsia" w:ascii="宋体" w:hAnsi="宋体"/>
          <w:color w:val="auto"/>
          <w:sz w:val="24"/>
          <w:szCs w:val="24"/>
          <w:highlight w:val="none"/>
          <w:lang w:val="en-US" w:eastAsia="zh-CN" w:bidi="ar"/>
        </w:rPr>
        <w:t>0.5</w:t>
      </w:r>
      <w:r>
        <w:rPr>
          <w:rFonts w:hint="eastAsia" w:ascii="宋体" w:hAnsi="宋体"/>
          <w:color w:val="auto"/>
          <w:sz w:val="24"/>
          <w:szCs w:val="24"/>
          <w:highlight w:val="none"/>
          <w:lang w:bidi="ar"/>
        </w:rPr>
        <w:t xml:space="preserve"> 小时内到达现场。在解决问题后，</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bidi="ar"/>
        </w:rPr>
        <w:t xml:space="preserve">以书面方式详细说明导致故障的原由及解决问题时所要采取的措施。 </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 xml:space="preserve">   </w:t>
      </w:r>
      <w:r>
        <w:rPr>
          <w:rFonts w:ascii="宋体" w:hAnsi="宋体"/>
          <w:color w:val="auto"/>
          <w:sz w:val="24"/>
          <w:szCs w:val="24"/>
          <w:highlight w:val="none"/>
          <w:lang w:bidi="ar"/>
        </w:rPr>
        <w:t xml:space="preserve"> </w:t>
      </w:r>
      <w:r>
        <w:rPr>
          <w:rFonts w:hint="eastAsia" w:ascii="宋体" w:hAnsi="宋体"/>
          <w:color w:val="auto"/>
          <w:sz w:val="24"/>
          <w:szCs w:val="24"/>
          <w:highlight w:val="none"/>
          <w:lang w:bidi="ar"/>
        </w:rPr>
        <w:t>8、</w:t>
      </w:r>
      <w:r>
        <w:rPr>
          <w:rFonts w:hint="eastAsia" w:ascii="宋体" w:hAnsi="宋体"/>
          <w:color w:val="auto"/>
          <w:sz w:val="24"/>
          <w:szCs w:val="24"/>
          <w:highlight w:val="none"/>
          <w:lang w:eastAsia="zh-CN" w:bidi="ar"/>
        </w:rPr>
        <w:t>成员方中标后</w:t>
      </w:r>
      <w:r>
        <w:rPr>
          <w:rFonts w:hint="eastAsia" w:ascii="宋体" w:hAnsi="宋体"/>
          <w:color w:val="auto"/>
          <w:sz w:val="24"/>
          <w:szCs w:val="24"/>
          <w:highlight w:val="none"/>
          <w:lang w:val="en-US" w:eastAsia="zh-CN" w:bidi="ar"/>
        </w:rPr>
        <w:t>需</w:t>
      </w:r>
      <w:r>
        <w:rPr>
          <w:rFonts w:hint="eastAsia" w:ascii="宋体" w:hAnsi="宋体"/>
          <w:color w:val="auto"/>
          <w:sz w:val="24"/>
          <w:szCs w:val="24"/>
          <w:highlight w:val="none"/>
          <w:lang w:bidi="ar"/>
        </w:rPr>
        <w:t>提供关于本项目的运维保障方案。</w:t>
      </w:r>
      <w:r>
        <w:rPr>
          <w:rFonts w:hint="eastAsia" w:ascii="宋体" w:hAnsi="宋体"/>
          <w:color w:val="auto"/>
          <w:sz w:val="24"/>
          <w:szCs w:val="24"/>
          <w:highlight w:val="none"/>
          <w:lang w:bidi="ar"/>
        </w:rPr>
        <w:br w:type="textWrapping"/>
      </w:r>
      <w:r>
        <w:rPr>
          <w:rFonts w:hint="eastAsia" w:ascii="宋体" w:hAnsi="宋体"/>
          <w:color w:val="auto"/>
          <w:sz w:val="24"/>
          <w:szCs w:val="24"/>
          <w:highlight w:val="none"/>
          <w:lang w:bidi="ar"/>
        </w:rPr>
        <w:t xml:space="preserve">  </w:t>
      </w:r>
      <w:r>
        <w:rPr>
          <w:rFonts w:ascii="宋体" w:hAnsi="宋体"/>
          <w:color w:val="auto"/>
          <w:sz w:val="24"/>
          <w:szCs w:val="24"/>
          <w:highlight w:val="none"/>
          <w:lang w:bidi="ar"/>
        </w:rPr>
        <w:t xml:space="preserve"> </w:t>
      </w:r>
      <w:r>
        <w:rPr>
          <w:rFonts w:hint="eastAsia" w:ascii="宋体" w:hAnsi="宋体"/>
          <w:color w:val="auto"/>
          <w:sz w:val="24"/>
          <w:szCs w:val="24"/>
          <w:highlight w:val="none"/>
          <w:lang w:bidi="ar"/>
        </w:rPr>
        <w:t xml:space="preserve"> 9、</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val="en-US" w:eastAsia="zh-CN" w:bidi="ar"/>
        </w:rPr>
        <w:t>需</w:t>
      </w:r>
      <w:r>
        <w:rPr>
          <w:rFonts w:hint="eastAsia" w:ascii="宋体" w:hAnsi="宋体"/>
          <w:color w:val="auto"/>
          <w:sz w:val="24"/>
          <w:szCs w:val="24"/>
          <w:highlight w:val="none"/>
          <w:lang w:bidi="ar"/>
        </w:rPr>
        <w:t>对其本地的售后服务、技术支持方面的情况作出说明（包括但不限于服务机构、维护人员构成、提供服务的时段、技术服务范围、服务方式等）。</w:t>
      </w:r>
    </w:p>
    <w:p>
      <w:pPr>
        <w:pStyle w:val="71"/>
        <w:spacing w:line="360" w:lineRule="auto"/>
        <w:ind w:firstLine="480"/>
        <w:outlineLvl w:val="9"/>
        <w:rPr>
          <w:rFonts w:ascii="宋体" w:hAnsi="宋体"/>
          <w:color w:val="auto"/>
          <w:sz w:val="24"/>
          <w:szCs w:val="24"/>
          <w:highlight w:val="none"/>
          <w:lang w:bidi="ar"/>
        </w:rPr>
      </w:pPr>
      <w:bookmarkStart w:id="444" w:name="_Toc10281"/>
      <w:r>
        <w:rPr>
          <w:rFonts w:hint="eastAsia" w:ascii="宋体" w:hAnsi="宋体"/>
          <w:color w:val="auto"/>
          <w:sz w:val="24"/>
          <w:szCs w:val="24"/>
          <w:highlight w:val="none"/>
          <w:lang w:bidi="ar"/>
        </w:rPr>
        <w:t>10、</w:t>
      </w:r>
      <w:r>
        <w:rPr>
          <w:rFonts w:hint="eastAsia" w:ascii="宋体" w:hAnsi="宋体"/>
          <w:color w:val="auto"/>
          <w:sz w:val="24"/>
          <w:szCs w:val="24"/>
          <w:highlight w:val="none"/>
          <w:lang w:eastAsia="zh-CN" w:bidi="ar"/>
        </w:rPr>
        <w:t>成员方</w:t>
      </w:r>
      <w:r>
        <w:rPr>
          <w:rFonts w:hint="eastAsia" w:ascii="宋体" w:hAnsi="宋体"/>
          <w:color w:val="auto"/>
          <w:sz w:val="24"/>
          <w:szCs w:val="24"/>
          <w:highlight w:val="none"/>
          <w:lang w:bidi="ar"/>
        </w:rPr>
        <w:t>有义务提供技术服务培训。</w:t>
      </w:r>
      <w:bookmarkEnd w:id="444"/>
    </w:p>
    <w:p>
      <w:pPr>
        <w:pStyle w:val="4"/>
        <w:keepNext/>
        <w:numPr>
          <w:ilvl w:val="1"/>
          <w:numId w:val="0"/>
        </w:numPr>
        <w:spacing w:before="120" w:beforeAutospacing="0" w:after="120" w:afterAutospacing="0"/>
        <w:rPr>
          <w:color w:val="auto"/>
          <w:highlight w:val="none"/>
        </w:rPr>
      </w:pPr>
      <w:bookmarkStart w:id="445" w:name="_Toc11891"/>
      <w:bookmarkStart w:id="446" w:name="_Toc28499"/>
      <w:bookmarkStart w:id="447" w:name="_Toc20866"/>
      <w:bookmarkStart w:id="448" w:name="_Toc31678"/>
      <w:bookmarkStart w:id="449" w:name="_Toc26081"/>
      <w:bookmarkStart w:id="450" w:name="_Toc19706"/>
      <w:bookmarkStart w:id="451" w:name="_Toc5708"/>
      <w:bookmarkStart w:id="452" w:name="_Toc9618"/>
      <w:bookmarkStart w:id="453" w:name="_Toc20599"/>
      <w:bookmarkStart w:id="454" w:name="_Toc25107"/>
      <w:bookmarkStart w:id="455" w:name="_Toc28944"/>
      <w:bookmarkStart w:id="456" w:name="_Toc18776"/>
      <w:r>
        <w:rPr>
          <w:rFonts w:hint="eastAsia" w:cs="Times New Roman"/>
          <w:b/>
          <w:bCs/>
          <w:color w:val="auto"/>
          <w:kern w:val="24"/>
          <w:sz w:val="28"/>
          <w:szCs w:val="28"/>
          <w:lang w:val="en-US" w:eastAsia="zh-CN" w:bidi="ar-SA"/>
        </w:rPr>
        <w:t>10</w:t>
      </w:r>
      <w:r>
        <w:rPr>
          <w:rFonts w:hint="eastAsia" w:ascii="宋体" w:hAnsi="宋体" w:eastAsia="宋体" w:cs="Times New Roman"/>
          <w:b/>
          <w:bCs/>
          <w:color w:val="auto"/>
          <w:kern w:val="24"/>
          <w:sz w:val="28"/>
          <w:szCs w:val="28"/>
          <w:lang w:val="en-US" w:eastAsia="zh-CN" w:bidi="ar-SA"/>
        </w:rPr>
        <w:t>.3</w:t>
      </w:r>
      <w:r>
        <w:rPr>
          <w:rFonts w:hint="eastAsia"/>
          <w:color w:val="auto"/>
          <w:highlight w:val="none"/>
        </w:rPr>
        <w:t>项目培训</w:t>
      </w:r>
      <w:bookmarkEnd w:id="445"/>
      <w:bookmarkEnd w:id="446"/>
      <w:bookmarkEnd w:id="447"/>
      <w:bookmarkEnd w:id="448"/>
      <w:bookmarkEnd w:id="449"/>
      <w:bookmarkEnd w:id="450"/>
      <w:bookmarkEnd w:id="451"/>
      <w:bookmarkEnd w:id="452"/>
      <w:bookmarkEnd w:id="453"/>
      <w:bookmarkEnd w:id="454"/>
      <w:bookmarkEnd w:id="455"/>
      <w:bookmarkEnd w:id="456"/>
    </w:p>
    <w:p>
      <w:pPr>
        <w:pStyle w:val="2"/>
        <w:spacing w:after="0"/>
        <w:ind w:firstLine="480"/>
        <w:jc w:val="left"/>
        <w:rPr>
          <w:rFonts w:ascii="宋体" w:hAnsi="宋体"/>
          <w:color w:val="auto"/>
          <w:highlight w:val="none"/>
          <w:lang w:bidi="ar"/>
        </w:rPr>
      </w:pPr>
      <w:r>
        <w:rPr>
          <w:rFonts w:hint="eastAsia" w:ascii="宋体" w:hAnsi="宋体"/>
          <w:color w:val="auto"/>
          <w:highlight w:val="none"/>
          <w:lang w:val="en-US" w:eastAsia="zh-CN" w:bidi="ar"/>
        </w:rPr>
        <w:t>成员方</w:t>
      </w:r>
      <w:r>
        <w:rPr>
          <w:rFonts w:ascii="宋体" w:hAnsi="宋体"/>
          <w:color w:val="auto"/>
          <w:highlight w:val="none"/>
          <w:lang w:bidi="ar"/>
        </w:rPr>
        <w:t>需根据</w:t>
      </w:r>
      <w:r>
        <w:rPr>
          <w:rFonts w:hint="eastAsia" w:ascii="宋体" w:hAnsi="宋体"/>
          <w:color w:val="auto"/>
          <w:highlight w:val="none"/>
          <w:lang w:eastAsia="zh-CN" w:bidi="ar"/>
        </w:rPr>
        <w:t>牵头方</w:t>
      </w:r>
      <w:r>
        <w:rPr>
          <w:rFonts w:ascii="宋体" w:hAnsi="宋体"/>
          <w:color w:val="auto"/>
          <w:highlight w:val="none"/>
          <w:lang w:bidi="ar"/>
        </w:rPr>
        <w:t>的需求，就架构体系</w:t>
      </w:r>
      <w:r>
        <w:rPr>
          <w:rFonts w:hint="eastAsia" w:ascii="宋体" w:hAnsi="宋体"/>
          <w:color w:val="auto"/>
          <w:highlight w:val="none"/>
          <w:lang w:bidi="ar"/>
        </w:rPr>
        <w:t>、产品</w:t>
      </w:r>
      <w:r>
        <w:rPr>
          <w:rFonts w:ascii="宋体" w:hAnsi="宋体"/>
          <w:color w:val="auto"/>
          <w:highlight w:val="none"/>
          <w:lang w:bidi="ar"/>
        </w:rPr>
        <w:t>使用、二次开发、系统安全运行维护等</w:t>
      </w:r>
      <w:r>
        <w:rPr>
          <w:rFonts w:hint="eastAsia" w:ascii="宋体" w:hAnsi="宋体"/>
          <w:color w:val="auto"/>
          <w:highlight w:val="none"/>
          <w:lang w:bidi="ar"/>
        </w:rPr>
        <w:t>方面对合同签约单位</w:t>
      </w:r>
      <w:r>
        <w:rPr>
          <w:rFonts w:ascii="宋体" w:hAnsi="宋体"/>
          <w:color w:val="auto"/>
          <w:highlight w:val="none"/>
          <w:lang w:bidi="ar"/>
        </w:rPr>
        <w:t>开展培训。需编制培训计划，按计划提供相关培训，</w:t>
      </w:r>
      <w:r>
        <w:rPr>
          <w:rFonts w:hint="eastAsia" w:ascii="宋体" w:hAnsi="宋体"/>
          <w:color w:val="auto"/>
          <w:highlight w:val="none"/>
          <w:lang w:val="en-US" w:eastAsia="zh-CN" w:bidi="ar"/>
        </w:rPr>
        <w:t>培训讲师需具备至少3年相关工作经验，能将理论与实际案例结合，提升教学实用性。</w:t>
      </w:r>
      <w:r>
        <w:rPr>
          <w:rFonts w:ascii="宋体" w:hAnsi="宋体"/>
          <w:color w:val="auto"/>
          <w:highlight w:val="none"/>
          <w:lang w:bidi="ar"/>
        </w:rPr>
        <w:t>培训次数不少于</w:t>
      </w:r>
      <w:r>
        <w:rPr>
          <w:rFonts w:hint="eastAsia" w:ascii="宋体" w:hAnsi="宋体"/>
          <w:color w:val="auto"/>
          <w:highlight w:val="none"/>
          <w:lang w:bidi="ar"/>
        </w:rPr>
        <w:t>10</w:t>
      </w:r>
      <w:r>
        <w:rPr>
          <w:rFonts w:ascii="宋体" w:hAnsi="宋体"/>
          <w:color w:val="auto"/>
          <w:highlight w:val="none"/>
          <w:lang w:bidi="ar"/>
        </w:rPr>
        <w:t>次。</w:t>
      </w:r>
      <w:r>
        <w:rPr>
          <w:rFonts w:hint="eastAsia" w:ascii="宋体" w:hAnsi="宋体"/>
          <w:color w:val="auto"/>
          <w:highlight w:val="none"/>
          <w:lang w:bidi="ar"/>
        </w:rPr>
        <w:t>具体要求如下：</w:t>
      </w:r>
    </w:p>
    <w:p>
      <w:pPr>
        <w:pStyle w:val="2"/>
        <w:numPr>
          <w:ilvl w:val="0"/>
          <w:numId w:val="13"/>
        </w:numPr>
        <w:spacing w:after="0"/>
        <w:ind w:firstLine="424" w:firstLineChars="177"/>
        <w:jc w:val="left"/>
        <w:rPr>
          <w:rFonts w:ascii="宋体" w:hAnsi="宋体" w:eastAsia="宋体"/>
          <w:color w:val="auto"/>
          <w:highlight w:val="none"/>
          <w:lang w:bidi="ar"/>
        </w:rPr>
      </w:pPr>
      <w:r>
        <w:rPr>
          <w:rFonts w:ascii="宋体" w:hAnsi="宋体" w:eastAsia="宋体"/>
          <w:color w:val="auto"/>
          <w:highlight w:val="none"/>
          <w:lang w:bidi="ar"/>
        </w:rPr>
        <w:t>架构体系培训</w:t>
      </w:r>
      <w:r>
        <w:rPr>
          <w:rFonts w:hint="eastAsia" w:ascii="宋体" w:hAnsi="宋体" w:eastAsia="宋体"/>
          <w:color w:val="auto"/>
          <w:highlight w:val="none"/>
          <w:lang w:bidi="ar"/>
        </w:rPr>
        <w:t>：</w:t>
      </w:r>
      <w:r>
        <w:rPr>
          <w:rFonts w:ascii="宋体" w:hAnsi="宋体" w:eastAsia="宋体"/>
          <w:color w:val="auto"/>
          <w:highlight w:val="none"/>
          <w:lang w:bidi="ar"/>
        </w:rPr>
        <w:t>针对</w:t>
      </w:r>
      <w:r>
        <w:rPr>
          <w:rFonts w:hint="eastAsia" w:ascii="宋体" w:hAnsi="宋体" w:eastAsia="宋体"/>
          <w:color w:val="auto"/>
          <w:highlight w:val="none"/>
          <w:lang w:eastAsia="zh-Hans" w:bidi="ar"/>
        </w:rPr>
        <w:t>关系</w:t>
      </w:r>
      <w:r>
        <w:rPr>
          <w:rFonts w:hint="eastAsia" w:ascii="宋体" w:hAnsi="宋体" w:eastAsia="宋体"/>
          <w:color w:val="auto"/>
          <w:highlight w:val="none"/>
          <w:lang w:bidi="ar"/>
        </w:rPr>
        <w:t>型数据库</w:t>
      </w:r>
      <w:r>
        <w:rPr>
          <w:rFonts w:ascii="宋体" w:hAnsi="宋体" w:eastAsia="宋体"/>
          <w:color w:val="auto"/>
          <w:highlight w:val="none"/>
          <w:lang w:bidi="ar"/>
        </w:rPr>
        <w:t>整体架构体系方面进行详细的讲解操作实战。</w:t>
      </w:r>
    </w:p>
    <w:p>
      <w:pPr>
        <w:pStyle w:val="2"/>
        <w:numPr>
          <w:ilvl w:val="0"/>
          <w:numId w:val="13"/>
        </w:numPr>
        <w:spacing w:after="0"/>
        <w:ind w:firstLine="424" w:firstLineChars="177"/>
        <w:jc w:val="left"/>
        <w:rPr>
          <w:rFonts w:ascii="宋体" w:hAnsi="宋体" w:eastAsia="宋体"/>
          <w:color w:val="auto"/>
          <w:highlight w:val="none"/>
          <w:lang w:bidi="ar"/>
        </w:rPr>
      </w:pPr>
      <w:r>
        <w:rPr>
          <w:rFonts w:hint="eastAsia" w:ascii="宋体" w:hAnsi="宋体" w:eastAsia="宋体"/>
          <w:color w:val="auto"/>
          <w:highlight w:val="none"/>
          <w:lang w:bidi="ar"/>
        </w:rPr>
        <w:t>产品</w:t>
      </w:r>
      <w:r>
        <w:rPr>
          <w:rFonts w:ascii="宋体" w:hAnsi="宋体" w:eastAsia="宋体"/>
          <w:color w:val="auto"/>
          <w:highlight w:val="none"/>
          <w:lang w:bidi="ar"/>
        </w:rPr>
        <w:t>使用培训</w:t>
      </w:r>
      <w:r>
        <w:rPr>
          <w:rFonts w:hint="eastAsia" w:ascii="宋体" w:hAnsi="宋体" w:eastAsia="宋体"/>
          <w:color w:val="auto"/>
          <w:highlight w:val="none"/>
          <w:lang w:bidi="ar"/>
        </w:rPr>
        <w:t>：</w:t>
      </w:r>
      <w:r>
        <w:rPr>
          <w:rFonts w:ascii="宋体" w:hAnsi="宋体" w:eastAsia="宋体"/>
          <w:color w:val="auto"/>
          <w:highlight w:val="none"/>
          <w:lang w:bidi="ar"/>
        </w:rPr>
        <w:t>讲解</w:t>
      </w:r>
      <w:r>
        <w:rPr>
          <w:rFonts w:hint="eastAsia" w:ascii="宋体" w:hAnsi="宋体" w:eastAsia="宋体"/>
          <w:color w:val="auto"/>
          <w:highlight w:val="none"/>
          <w:lang w:eastAsia="zh-Hans" w:bidi="ar"/>
        </w:rPr>
        <w:t>关系</w:t>
      </w:r>
      <w:r>
        <w:rPr>
          <w:rFonts w:hint="eastAsia" w:ascii="宋体" w:hAnsi="宋体" w:eastAsia="宋体"/>
          <w:color w:val="auto"/>
          <w:highlight w:val="none"/>
          <w:lang w:bidi="ar"/>
        </w:rPr>
        <w:t>型数据库</w:t>
      </w:r>
      <w:r>
        <w:rPr>
          <w:rFonts w:ascii="宋体" w:hAnsi="宋体" w:eastAsia="宋体"/>
          <w:color w:val="auto"/>
          <w:highlight w:val="none"/>
          <w:lang w:bidi="ar"/>
        </w:rPr>
        <w:t>的功能及使用方法以及典型应用场景等操作实战。</w:t>
      </w:r>
    </w:p>
    <w:p>
      <w:pPr>
        <w:pStyle w:val="2"/>
        <w:numPr>
          <w:ilvl w:val="0"/>
          <w:numId w:val="13"/>
        </w:numPr>
        <w:spacing w:after="0"/>
        <w:ind w:firstLine="424" w:firstLineChars="177"/>
        <w:jc w:val="left"/>
        <w:rPr>
          <w:rFonts w:ascii="宋体" w:hAnsi="宋体" w:eastAsia="宋体"/>
          <w:color w:val="auto"/>
          <w:highlight w:val="none"/>
          <w:lang w:bidi="ar"/>
        </w:rPr>
      </w:pPr>
      <w:r>
        <w:rPr>
          <w:rFonts w:ascii="宋体" w:hAnsi="宋体" w:eastAsia="宋体"/>
          <w:color w:val="auto"/>
          <w:highlight w:val="none"/>
          <w:lang w:bidi="ar"/>
        </w:rPr>
        <w:t>安全培训</w:t>
      </w:r>
      <w:r>
        <w:rPr>
          <w:rFonts w:hint="eastAsia" w:ascii="宋体" w:hAnsi="宋体" w:eastAsia="宋体"/>
          <w:color w:val="auto"/>
          <w:highlight w:val="none"/>
          <w:lang w:bidi="ar"/>
        </w:rPr>
        <w:t>：</w:t>
      </w:r>
      <w:r>
        <w:rPr>
          <w:rFonts w:hint="eastAsia" w:ascii="宋体" w:hAnsi="宋体" w:eastAsia="宋体"/>
          <w:color w:val="auto"/>
          <w:highlight w:val="none"/>
          <w:lang w:eastAsia="zh-Hans" w:bidi="ar"/>
        </w:rPr>
        <w:t>关系</w:t>
      </w:r>
      <w:r>
        <w:rPr>
          <w:rFonts w:hint="eastAsia" w:ascii="宋体" w:hAnsi="宋体" w:eastAsia="宋体"/>
          <w:color w:val="auto"/>
          <w:highlight w:val="none"/>
          <w:lang w:bidi="ar"/>
        </w:rPr>
        <w:t>型数据库</w:t>
      </w:r>
      <w:r>
        <w:rPr>
          <w:rFonts w:ascii="宋体" w:hAnsi="宋体" w:eastAsia="宋体"/>
          <w:color w:val="auto"/>
          <w:highlight w:val="none"/>
          <w:lang w:bidi="ar"/>
        </w:rPr>
        <w:t>安全管理培训服务，提供平台防护体系以及日常巡检、运维方法,安全解决方案解析与操作实战</w:t>
      </w:r>
      <w:r>
        <w:rPr>
          <w:rFonts w:hint="eastAsia" w:ascii="宋体" w:hAnsi="宋体" w:eastAsia="宋体"/>
          <w:color w:val="auto"/>
          <w:highlight w:val="none"/>
          <w:lang w:bidi="ar"/>
        </w:rPr>
        <w:t>。</w:t>
      </w:r>
    </w:p>
    <w:p>
      <w:pPr>
        <w:pStyle w:val="2"/>
        <w:numPr>
          <w:ilvl w:val="0"/>
          <w:numId w:val="13"/>
        </w:numPr>
        <w:spacing w:after="0"/>
        <w:ind w:firstLine="424" w:firstLineChars="177"/>
        <w:jc w:val="left"/>
        <w:rPr>
          <w:rFonts w:ascii="宋体" w:hAnsi="宋体" w:eastAsia="宋体"/>
          <w:color w:val="auto"/>
          <w:highlight w:val="none"/>
          <w:lang w:bidi="ar"/>
        </w:rPr>
      </w:pPr>
      <w:bookmarkStart w:id="457" w:name="_Toc20099"/>
      <w:r>
        <w:rPr>
          <w:rFonts w:ascii="宋体" w:hAnsi="宋体" w:eastAsia="宋体"/>
          <w:color w:val="auto"/>
          <w:highlight w:val="none"/>
          <w:lang w:bidi="ar"/>
        </w:rPr>
        <w:t>运维培训</w:t>
      </w:r>
      <w:r>
        <w:rPr>
          <w:rFonts w:hint="eastAsia" w:ascii="宋体" w:hAnsi="宋体" w:eastAsia="宋体"/>
          <w:color w:val="auto"/>
          <w:highlight w:val="none"/>
          <w:lang w:bidi="ar"/>
        </w:rPr>
        <w:t>：</w:t>
      </w:r>
      <w:r>
        <w:rPr>
          <w:rFonts w:ascii="宋体" w:hAnsi="宋体" w:eastAsia="宋体"/>
          <w:color w:val="auto"/>
          <w:highlight w:val="none"/>
          <w:lang w:bidi="ar"/>
        </w:rPr>
        <w:t>提供</w:t>
      </w:r>
      <w:r>
        <w:rPr>
          <w:rFonts w:hint="eastAsia" w:ascii="宋体" w:hAnsi="宋体" w:eastAsia="宋体"/>
          <w:color w:val="auto"/>
          <w:highlight w:val="none"/>
          <w:lang w:eastAsia="zh-Hans" w:bidi="ar"/>
        </w:rPr>
        <w:t>关系</w:t>
      </w:r>
      <w:r>
        <w:rPr>
          <w:rFonts w:hint="eastAsia" w:ascii="宋体" w:hAnsi="宋体" w:eastAsia="宋体"/>
          <w:color w:val="auto"/>
          <w:highlight w:val="none"/>
          <w:lang w:bidi="ar"/>
        </w:rPr>
        <w:t>型数据库</w:t>
      </w:r>
      <w:r>
        <w:rPr>
          <w:rFonts w:ascii="宋体" w:hAnsi="宋体" w:eastAsia="宋体"/>
          <w:color w:val="auto"/>
          <w:highlight w:val="none"/>
          <w:lang w:bidi="ar"/>
        </w:rPr>
        <w:t>运维与管理整体技术培训服务</w:t>
      </w:r>
      <w:r>
        <w:rPr>
          <w:rFonts w:hint="eastAsia" w:ascii="宋体" w:hAnsi="宋体" w:eastAsia="宋体"/>
          <w:color w:val="auto"/>
          <w:highlight w:val="none"/>
          <w:lang w:bidi="ar"/>
        </w:rPr>
        <w:t>。</w:t>
      </w:r>
      <w:bookmarkEnd w:id="457"/>
    </w:p>
    <w:p>
      <w:pPr>
        <w:pStyle w:val="2"/>
        <w:numPr>
          <w:ilvl w:val="0"/>
          <w:numId w:val="13"/>
        </w:numPr>
        <w:spacing w:after="0"/>
        <w:ind w:firstLine="424" w:firstLineChars="177"/>
        <w:jc w:val="left"/>
        <w:rPr>
          <w:rFonts w:ascii="宋体" w:hAnsi="宋体" w:eastAsia="宋体"/>
          <w:color w:val="auto"/>
          <w:highlight w:val="none"/>
          <w:lang w:bidi="ar"/>
        </w:rPr>
      </w:pPr>
      <w:r>
        <w:rPr>
          <w:rFonts w:ascii="宋体" w:hAnsi="宋体" w:eastAsia="宋体"/>
          <w:color w:val="auto"/>
          <w:highlight w:val="none"/>
          <w:lang w:bidi="ar"/>
        </w:rPr>
        <w:t>二次开发培训</w:t>
      </w:r>
      <w:r>
        <w:rPr>
          <w:rFonts w:hint="eastAsia" w:ascii="宋体" w:hAnsi="宋体" w:eastAsia="宋体"/>
          <w:color w:val="auto"/>
          <w:highlight w:val="none"/>
          <w:lang w:bidi="ar"/>
        </w:rPr>
        <w:t>：</w:t>
      </w:r>
      <w:r>
        <w:rPr>
          <w:rFonts w:ascii="宋体" w:hAnsi="宋体" w:eastAsia="宋体"/>
          <w:color w:val="auto"/>
          <w:highlight w:val="none"/>
          <w:lang w:bidi="ar"/>
        </w:rPr>
        <w:t>基于</w:t>
      </w:r>
      <w:r>
        <w:rPr>
          <w:rFonts w:hint="eastAsia" w:ascii="宋体" w:hAnsi="宋体" w:eastAsia="宋体"/>
          <w:color w:val="auto"/>
          <w:highlight w:val="none"/>
          <w:lang w:eastAsia="zh-Hans" w:bidi="ar"/>
        </w:rPr>
        <w:t>关系</w:t>
      </w:r>
      <w:r>
        <w:rPr>
          <w:rFonts w:hint="eastAsia" w:ascii="宋体" w:hAnsi="宋体" w:eastAsia="宋体"/>
          <w:color w:val="auto"/>
          <w:highlight w:val="none"/>
          <w:lang w:bidi="ar"/>
        </w:rPr>
        <w:t>型数据库</w:t>
      </w:r>
      <w:r>
        <w:rPr>
          <w:rFonts w:ascii="宋体" w:hAnsi="宋体" w:eastAsia="宋体"/>
          <w:color w:val="auto"/>
          <w:highlight w:val="none"/>
          <w:lang w:bidi="ar"/>
        </w:rPr>
        <w:t>的开放API使用及二次开发</w:t>
      </w:r>
      <w:r>
        <w:rPr>
          <w:rFonts w:hint="eastAsia" w:ascii="宋体" w:hAnsi="宋体" w:eastAsia="宋体"/>
          <w:color w:val="auto"/>
          <w:highlight w:val="none"/>
          <w:lang w:bidi="ar"/>
        </w:rPr>
        <w:t>培训。</w:t>
      </w:r>
    </w:p>
    <w:p>
      <w:pPr>
        <w:pStyle w:val="2"/>
        <w:numPr>
          <w:ilvl w:val="0"/>
          <w:numId w:val="13"/>
        </w:numPr>
        <w:spacing w:after="0"/>
        <w:ind w:firstLine="424" w:firstLineChars="177"/>
        <w:jc w:val="left"/>
        <w:rPr>
          <w:rFonts w:ascii="宋体" w:hAnsi="宋体" w:eastAsia="宋体"/>
          <w:color w:val="auto"/>
          <w:highlight w:val="none"/>
          <w:lang w:bidi="ar"/>
        </w:rPr>
      </w:pPr>
      <w:r>
        <w:rPr>
          <w:rFonts w:hint="eastAsia" w:ascii="宋体" w:hAnsi="宋体" w:eastAsia="宋体"/>
          <w:color w:val="auto"/>
          <w:highlight w:val="none"/>
          <w:lang w:bidi="ar"/>
        </w:rPr>
        <w:t>认证</w:t>
      </w:r>
      <w:r>
        <w:rPr>
          <w:rFonts w:ascii="宋体" w:hAnsi="宋体" w:eastAsia="宋体"/>
          <w:color w:val="auto"/>
          <w:highlight w:val="none"/>
          <w:lang w:bidi="ar"/>
        </w:rPr>
        <w:t>培训</w:t>
      </w:r>
      <w:r>
        <w:rPr>
          <w:rFonts w:hint="eastAsia" w:ascii="宋体" w:hAnsi="宋体" w:eastAsia="宋体"/>
          <w:color w:val="auto"/>
          <w:highlight w:val="none"/>
          <w:lang w:bidi="ar"/>
        </w:rPr>
        <w:t>：</w:t>
      </w:r>
      <w:r>
        <w:rPr>
          <w:rFonts w:hint="eastAsia" w:ascii="宋体" w:hAnsi="宋体" w:eastAsia="宋体"/>
          <w:color w:val="auto"/>
          <w:highlight w:val="none"/>
          <w:lang w:val="en-US" w:eastAsia="zh-CN" w:bidi="ar"/>
        </w:rPr>
        <w:t>提供</w:t>
      </w:r>
      <w:r>
        <w:rPr>
          <w:rFonts w:ascii="宋体" w:hAnsi="宋体" w:eastAsia="宋体"/>
          <w:color w:val="auto"/>
          <w:highlight w:val="none"/>
          <w:lang w:bidi="ar"/>
        </w:rPr>
        <w:t>基于关系型数据库的初级</w:t>
      </w:r>
      <w:r>
        <w:rPr>
          <w:rFonts w:hint="eastAsia" w:ascii="宋体" w:hAnsi="宋体" w:eastAsia="宋体"/>
          <w:color w:val="auto"/>
          <w:highlight w:val="none"/>
          <w:lang w:eastAsia="zh-CN" w:bidi="ar"/>
        </w:rPr>
        <w:t>、</w:t>
      </w:r>
      <w:r>
        <w:rPr>
          <w:rFonts w:hint="eastAsia" w:ascii="宋体" w:hAnsi="宋体" w:eastAsia="宋体"/>
          <w:color w:val="auto"/>
          <w:highlight w:val="none"/>
          <w:lang w:val="en-US" w:eastAsia="zh-CN" w:bidi="ar"/>
        </w:rPr>
        <w:t>中级</w:t>
      </w:r>
      <w:r>
        <w:rPr>
          <w:rFonts w:hint="eastAsia" w:ascii="宋体" w:hAnsi="宋体" w:eastAsia="宋体"/>
          <w:color w:val="auto"/>
          <w:highlight w:val="none"/>
          <w:lang w:bidi="ar"/>
        </w:rPr>
        <w:t>认证</w:t>
      </w:r>
      <w:r>
        <w:rPr>
          <w:rFonts w:ascii="宋体" w:hAnsi="宋体" w:eastAsia="宋体"/>
          <w:color w:val="auto"/>
          <w:highlight w:val="none"/>
          <w:lang w:bidi="ar"/>
        </w:rPr>
        <w:t>培训</w:t>
      </w:r>
      <w:r>
        <w:rPr>
          <w:rFonts w:hint="eastAsia" w:ascii="宋体" w:hAnsi="宋体" w:eastAsia="宋体"/>
          <w:color w:val="auto"/>
          <w:highlight w:val="none"/>
          <w:lang w:bidi="ar"/>
        </w:rPr>
        <w:t>及认证考试</w:t>
      </w:r>
      <w:bookmarkEnd w:id="431"/>
      <w:r>
        <w:rPr>
          <w:rFonts w:hint="eastAsia" w:ascii="宋体" w:hAnsi="宋体" w:eastAsia="宋体"/>
          <w:color w:val="auto"/>
          <w:highlight w:val="none"/>
          <w:lang w:eastAsia="zh-CN" w:bidi="ar"/>
        </w:rPr>
        <w:t>，</w:t>
      </w:r>
      <w:r>
        <w:rPr>
          <w:rFonts w:hint="eastAsia" w:ascii="宋体" w:hAnsi="宋体" w:eastAsia="宋体"/>
          <w:color w:val="auto"/>
          <w:highlight w:val="none"/>
          <w:lang w:val="en-US" w:eastAsia="zh-CN" w:bidi="ar"/>
        </w:rPr>
        <w:t>具体认证考试人数由招标双方协商确定。</w:t>
      </w:r>
    </w:p>
    <w:p>
      <w:pPr>
        <w:pStyle w:val="3"/>
        <w:keepNext/>
        <w:numPr>
          <w:ilvl w:val="0"/>
          <w:numId w:val="0"/>
        </w:numPr>
        <w:spacing w:before="163" w:beforeLines="50" w:after="163" w:afterLines="50"/>
        <w:rPr>
          <w:rFonts w:hint="eastAsia" w:cs="Times New Roman" w:asciiTheme="majorEastAsia" w:hAnsiTheme="majorEastAsia" w:eastAsiaTheme="majorEastAsia"/>
          <w:b/>
          <w:bCs w:val="0"/>
          <w:color w:val="auto"/>
          <w:szCs w:val="32"/>
          <w:lang w:bidi="ar-SA"/>
        </w:rPr>
      </w:pPr>
      <w:bookmarkStart w:id="458" w:name="_Toc27667"/>
      <w:bookmarkStart w:id="459" w:name="_Toc15513"/>
      <w:r>
        <w:rPr>
          <w:rFonts w:hint="eastAsia" w:cs="Times New Roman" w:asciiTheme="majorEastAsia" w:hAnsiTheme="majorEastAsia" w:eastAsiaTheme="majorEastAsia"/>
          <w:b/>
          <w:bCs w:val="0"/>
          <w:color w:val="auto"/>
          <w:szCs w:val="32"/>
          <w:lang w:val="en-US" w:eastAsia="zh-CN" w:bidi="ar-SA"/>
        </w:rPr>
        <w:t>11</w:t>
      </w:r>
      <w:r>
        <w:rPr>
          <w:rFonts w:hint="eastAsia" w:cs="Times New Roman" w:asciiTheme="majorEastAsia" w:hAnsiTheme="majorEastAsia" w:eastAsiaTheme="majorEastAsia"/>
          <w:b/>
          <w:bCs w:val="0"/>
          <w:color w:val="auto"/>
          <w:szCs w:val="32"/>
          <w:lang w:bidi="ar-SA"/>
        </w:rPr>
        <w:t>安全要求</w:t>
      </w:r>
      <w:bookmarkEnd w:id="458"/>
      <w:bookmarkEnd w:id="459"/>
    </w:p>
    <w:p>
      <w:pPr>
        <w:rPr>
          <w:rFonts w:hint="eastAsia" w:ascii="宋体" w:hAnsi="宋体"/>
          <w:color w:val="auto"/>
          <w:highlight w:val="none"/>
          <w:lang w:bidi="ar"/>
        </w:rPr>
      </w:pPr>
      <w:r>
        <w:rPr>
          <w:rFonts w:hint="eastAsia" w:ascii="宋体" w:hAnsi="宋体" w:eastAsia="宋体" w:cs="Times New Roman"/>
          <w:color w:val="auto"/>
          <w:highlight w:val="none"/>
          <w:lang w:eastAsia="zh-CN" w:bidi="ar"/>
        </w:rPr>
        <w:t>成员方在开展技术服务时</w:t>
      </w:r>
      <w:r>
        <w:rPr>
          <w:rFonts w:hint="eastAsia" w:ascii="宋体" w:hAnsi="宋体"/>
          <w:color w:val="auto"/>
          <w:highlight w:val="none"/>
          <w:lang w:bidi="ar"/>
        </w:rPr>
        <w:t>需遵守国家网络安全、数据安全的相关法律法规以及</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网络安全、数据安全相关制度要求。</w:t>
      </w:r>
    </w:p>
    <w:p>
      <w:pPr>
        <w:pStyle w:val="3"/>
        <w:keepNext/>
        <w:widowControl/>
        <w:numPr>
          <w:ilvl w:val="0"/>
          <w:numId w:val="0"/>
        </w:numPr>
        <w:spacing w:before="163" w:beforeLines="50" w:after="163" w:afterLines="50" w:line="240" w:lineRule="auto"/>
        <w:rPr>
          <w:rFonts w:hint="eastAsia" w:asciiTheme="majorEastAsia" w:hAnsiTheme="majorEastAsia" w:eastAsiaTheme="majorEastAsia"/>
          <w:b/>
          <w:bCs w:val="0"/>
          <w:color w:val="auto"/>
          <w:sz w:val="32"/>
          <w:szCs w:val="32"/>
          <w:highlight w:val="none"/>
        </w:rPr>
      </w:pPr>
      <w:bookmarkStart w:id="460" w:name="_Toc22425"/>
      <w:bookmarkStart w:id="461" w:name="_Toc31937"/>
      <w:bookmarkStart w:id="462" w:name="_Toc17123"/>
      <w:r>
        <w:rPr>
          <w:rFonts w:hint="eastAsia" w:asciiTheme="majorEastAsia" w:hAnsiTheme="majorEastAsia" w:eastAsiaTheme="majorEastAsia"/>
          <w:b/>
          <w:bCs w:val="0"/>
          <w:color w:val="auto"/>
          <w:sz w:val="32"/>
          <w:szCs w:val="32"/>
          <w:lang w:val="en-US" w:eastAsia="zh-CN"/>
        </w:rPr>
        <w:t>12</w:t>
      </w:r>
      <w:r>
        <w:rPr>
          <w:rFonts w:hint="eastAsia" w:asciiTheme="majorEastAsia" w:hAnsiTheme="majorEastAsia" w:eastAsiaTheme="majorEastAsia"/>
          <w:b/>
          <w:bCs w:val="0"/>
          <w:color w:val="auto"/>
          <w:sz w:val="32"/>
          <w:szCs w:val="32"/>
          <w:highlight w:val="none"/>
          <w:lang w:val="en-US" w:eastAsia="zh-CN"/>
        </w:rPr>
        <w:t>保密</w:t>
      </w:r>
      <w:r>
        <w:rPr>
          <w:rFonts w:hint="eastAsia" w:asciiTheme="majorEastAsia" w:hAnsiTheme="majorEastAsia" w:eastAsiaTheme="majorEastAsia"/>
          <w:b/>
          <w:bCs w:val="0"/>
          <w:color w:val="auto"/>
          <w:sz w:val="32"/>
          <w:szCs w:val="32"/>
          <w:highlight w:val="none"/>
        </w:rPr>
        <w:t>要求</w:t>
      </w:r>
      <w:bookmarkEnd w:id="460"/>
      <w:bookmarkEnd w:id="461"/>
      <w:bookmarkEnd w:id="462"/>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本项目团队成员获得接触和知悉与本项工作相关的国家秘密、商业秘密或敏感信息和数据的资格，为此，本项目团队成员获得接触和知悉与本项工作相关的国家秘密、商业秘密或敏感信息和数据的资格,为此，项目组成员应当承担维护信息安全及保密义务和法律责任，若违反信息安全及保密相关的行为规范，将依照《中国南方电网有限责任公司供应商不良行为处理管理细则》进行供应商不良行为认定及处理，因此需要达到以下要求：</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12</w:t>
      </w:r>
      <w:r>
        <w:rPr>
          <w:rFonts w:hint="eastAsia" w:ascii="宋体" w:hAnsi="宋体" w:eastAsia="宋体" w:cs="宋体"/>
          <w:i w:val="0"/>
          <w:iCs w:val="0"/>
          <w:color w:val="auto"/>
          <w:sz w:val="24"/>
          <w:szCs w:val="24"/>
          <w:highlight w:val="none"/>
          <w:lang w:val="en-US" w:eastAsia="zh-CN"/>
        </w:rPr>
        <w:t>.1.1个人信息提供</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项目组成员在项目资格审查时提供的所有个人信息、证件都是真实有效的，没有任何虚假、伪造或隐瞒。</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12</w:t>
      </w:r>
      <w:r>
        <w:rPr>
          <w:rFonts w:hint="eastAsia" w:ascii="宋体" w:hAnsi="宋体" w:eastAsia="宋体" w:cs="宋体"/>
          <w:i w:val="0"/>
          <w:iCs w:val="0"/>
          <w:color w:val="auto"/>
          <w:sz w:val="24"/>
          <w:szCs w:val="24"/>
          <w:highlight w:val="none"/>
          <w:lang w:val="en-US" w:eastAsia="zh-CN"/>
        </w:rPr>
        <w:t>.1.2行为规范</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（一）遵守国家、南网数研院信息安全及保密法律、法规和规章制度，维护信息安全，履行保密义务；</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（二）承担项目组成员工作职责范围内的信息安全责任，确保项目组成员接触到的各类南网数研院信息和数据的保密性、完整性、可用性；</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（三）不违规记录、存储、复制、携带国家秘密、南网数研院秘密以及内部信息和敏感数据，不违规持有国家秘密、南网数研院秘密载体，未经南网数研院审查批准允许不得拍照、录音、录像等；</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（四）不以任何方式泄露、传播、公布、发表、转让、交换或者以其他任何方式使任何第三方知悉所接触和知悉的国家秘密、南网数研院秘密；</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（五）不对涉及南网数研院的重要事件、热点话题发表不当言论，进行无端猜测、恶意评论和炒作；</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（六）不制造、发布或传播损害南网数研院形象和利益的负面信息；</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（七）不发布或泄露南网数研院生产、经营和管理等方面的商业秘密和可能对南网数研院产生负面影响的信息或资讯；</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八）不将与南网数研院相关的开发、测试、演示系统（带有南方电网相关信息、标志或者南网数研院内部数据）向互联网开放，不在出厂阶段的系统上使用南网数研院真实数据进行测试（经南网数研院确认需使用的，必须对数据进行脱敏操作）；</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（九）不通过邮箱、即时沟通工具传递涉密或敏感信息和数据，如：系统源代码、网络拓扑、系统账号密码、人员姓名、身份信息等，不得将机密资料复制、传递或提供给第三方；</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（十）未经南网数研院审查批准，不擅自发表涉及南网数研院未公开工作内容的文章、著述；</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一）未经授权许可，不发布或泄露南网数研院生产、经营和管理等方面的信息和数据。不得在微博、微信等即时沟通工具注册、发布信息中包含南网数研院各级单位名称、标识用品、工资薪酬、福利待遇、公务活动等内容，不发布有损南网数研院形象的言论；</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（十二）未经批准不接入南网数研院网络。经批准同意接入南网数研院网络的，不使用无线路由器、随身 wifi 等工具将南网数研院网络扩展为无线网络；</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（十三）不在南网数研院服务器、终端部署远程控制程序、后门程序、病毒或其他恶意程序；</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（十四）在 IT 设备（计算机、U 盘、移动硬盘等）接入南网数研院网络前，做好病毒及恶意软件查杀；</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（十五）一旦判断可能发生或发生信息安全事件时，立即向南网数研院相关人员报告，并按要求采取应急处置措施，保留有关原始记录，并配合开展信息安全事件调查，接受整改要求，落实整改措施；</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（十六）国家信息安全及保密法律、法规规定应当履行的行为；</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（十七）离场离职前做好工作交接，返还、删除或销毁南网数研院生产、经营和管理等方面的敏感资料；</w:t>
      </w:r>
    </w:p>
    <w:p>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（十八）完成项目工作时，返还、删除或销毁南网数研院生产、经营和管理等方面的商业秘密资料；</w:t>
      </w:r>
    </w:p>
    <w:p>
      <w:pPr>
        <w:numPr>
          <w:ilvl w:val="0"/>
          <w:numId w:val="0"/>
        </w:numPr>
        <w:ind w:firstLine="480"/>
        <w:rPr>
          <w:rFonts w:hint="eastAsia" w:ascii="宋体" w:hAnsi="宋体"/>
          <w:color w:val="auto"/>
          <w:highlight w:val="none"/>
          <w:lang w:bidi="ar"/>
        </w:rPr>
      </w:pPr>
      <w:r>
        <w:rPr>
          <w:rFonts w:hint="eastAsia" w:ascii="宋体" w:hAnsi="宋体" w:eastAsia="宋体" w:cs="宋体"/>
          <w:i w:val="0"/>
          <w:iCs w:val="0"/>
          <w:color w:val="auto"/>
          <w:sz w:val="24"/>
          <w:szCs w:val="24"/>
          <w:highlight w:val="none"/>
          <w:lang w:val="en-US" w:eastAsia="zh-CN"/>
        </w:rPr>
        <w:t>（十九）载体包括但不限于：文字、数据、符号、图形、图像、声音、网络存储等方式记载秘密信息的纸介质、光介质、电磁介质等各类物品。</w:t>
      </w:r>
    </w:p>
    <w:p>
      <w:pPr>
        <w:pStyle w:val="3"/>
        <w:keepNext/>
        <w:numPr>
          <w:ilvl w:val="0"/>
          <w:numId w:val="0"/>
        </w:numPr>
        <w:spacing w:before="163" w:beforeLines="50" w:after="163" w:afterLines="50"/>
        <w:rPr>
          <w:rFonts w:hint="eastAsia" w:cs="Times New Roman" w:asciiTheme="majorEastAsia" w:hAnsiTheme="majorEastAsia" w:eastAsiaTheme="majorEastAsia"/>
          <w:b/>
          <w:bCs w:val="0"/>
          <w:color w:val="auto"/>
          <w:szCs w:val="32"/>
          <w:highlight w:val="none"/>
          <w:lang w:val="en-US" w:eastAsia="zh-CN" w:bidi="ar-SA"/>
        </w:rPr>
      </w:pPr>
      <w:bookmarkStart w:id="463" w:name="_Toc6456"/>
      <w:bookmarkStart w:id="464" w:name="_Toc3950"/>
      <w:r>
        <w:rPr>
          <w:rFonts w:hint="eastAsia" w:cs="Times New Roman" w:asciiTheme="majorEastAsia" w:hAnsiTheme="majorEastAsia" w:eastAsiaTheme="majorEastAsia"/>
          <w:b/>
          <w:bCs w:val="0"/>
          <w:color w:val="auto"/>
          <w:szCs w:val="32"/>
          <w:lang w:val="en-US" w:eastAsia="zh-CN" w:bidi="ar-SA"/>
        </w:rPr>
        <w:t>13</w:t>
      </w:r>
      <w:r>
        <w:rPr>
          <w:rFonts w:hint="eastAsia" w:cs="Times New Roman" w:asciiTheme="majorEastAsia" w:hAnsiTheme="majorEastAsia" w:eastAsiaTheme="majorEastAsia"/>
          <w:b/>
          <w:bCs w:val="0"/>
          <w:color w:val="auto"/>
          <w:szCs w:val="32"/>
          <w:highlight w:val="none"/>
          <w:lang w:val="en-US" w:eastAsia="zh-CN" w:bidi="ar-SA"/>
        </w:rPr>
        <w:t>知识产权</w:t>
      </w:r>
      <w:bookmarkEnd w:id="463"/>
      <w:r>
        <w:rPr>
          <w:rFonts w:hint="eastAsia" w:cs="Times New Roman" w:asciiTheme="majorEastAsia" w:hAnsiTheme="majorEastAsia" w:eastAsiaTheme="majorEastAsia"/>
          <w:b/>
          <w:bCs w:val="0"/>
          <w:color w:val="auto"/>
          <w:szCs w:val="32"/>
          <w:highlight w:val="none"/>
          <w:lang w:val="en-US" w:eastAsia="zh-CN" w:bidi="ar-SA"/>
        </w:rPr>
        <w:t>要求</w:t>
      </w:r>
      <w:bookmarkEnd w:id="464"/>
    </w:p>
    <w:p>
      <w:pPr>
        <w:pStyle w:val="4"/>
        <w:keepNext/>
        <w:numPr>
          <w:ilvl w:val="1"/>
          <w:numId w:val="0"/>
        </w:numPr>
        <w:spacing w:before="120" w:beforeAutospacing="0" w:after="120" w:afterAutospacing="0"/>
        <w:rPr>
          <w:rFonts w:hint="eastAsia"/>
          <w:color w:val="auto"/>
        </w:rPr>
      </w:pPr>
      <w:bookmarkStart w:id="465" w:name="_Toc18897"/>
      <w:bookmarkStart w:id="466" w:name="_Toc14884"/>
      <w:r>
        <w:rPr>
          <w:rFonts w:hint="eastAsia" w:ascii="宋体" w:hAnsi="宋体" w:eastAsia="宋体" w:cs="Times New Roman"/>
          <w:color w:val="auto"/>
          <w:lang w:val="en-US" w:eastAsia="zh-CN"/>
        </w:rPr>
        <w:t>13.1</w:t>
      </w:r>
      <w:r>
        <w:rPr>
          <w:rFonts w:hint="eastAsia"/>
          <w:color w:val="auto"/>
        </w:rPr>
        <w:t>权利保证与瑕疵担保</w:t>
      </w:r>
      <w:bookmarkEnd w:id="465"/>
      <w:bookmarkEnd w:id="466"/>
    </w:p>
    <w:p>
      <w:pPr>
        <w:numPr>
          <w:ilvl w:val="0"/>
          <w:numId w:val="0"/>
        </w:numPr>
        <w:ind w:left="0" w:leftChars="0" w:firstLine="480" w:firstLineChars="200"/>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保证其提供的全部工具、模型、算法、方法论、技术文档、知识资产及服务均系合法取得或自主研发，不存在任何权利瑕疵，未侵犯任何第三方的专利权、著作权、商标权、商业秘密及其他知识产权。</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及其关联公司在依约使用上述产品或服务的任何部分时，免受任何第三方基于知识产权侵权提出的权利主张、索赔、诉讼或行政调查。若发生此类情形：</w:t>
      </w: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应自费负责处理全部纠纷、应诉、和解或仲裁事宜；</w:t>
      </w: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应赔偿</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因此遭受的全部损失，包括但不限于直接损失、诉讼费用、律师费、商誉损失及业务中断损失；若相关产品或服务被有权机关认定侵权，</w:t>
      </w: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应在</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要求的合理期限内提供同等功能的替代方案，或退还相应价款。</w:t>
      </w:r>
    </w:p>
    <w:p>
      <w:pPr>
        <w:pStyle w:val="4"/>
        <w:keepNext/>
        <w:numPr>
          <w:ilvl w:val="1"/>
          <w:numId w:val="0"/>
        </w:numPr>
        <w:spacing w:before="120" w:beforeAutospacing="0" w:after="120" w:afterAutospacing="0"/>
        <w:rPr>
          <w:rFonts w:hint="eastAsia"/>
          <w:color w:val="auto"/>
        </w:rPr>
      </w:pPr>
      <w:bookmarkStart w:id="467" w:name="_Toc28891"/>
      <w:bookmarkStart w:id="468" w:name="_Toc15697"/>
      <w:r>
        <w:rPr>
          <w:rFonts w:hint="eastAsia" w:ascii="宋体" w:hAnsi="宋体" w:eastAsia="宋体" w:cs="Times New Roman"/>
          <w:color w:val="auto"/>
          <w:lang w:val="en-US" w:eastAsia="zh-CN"/>
        </w:rPr>
        <w:t>13.2</w:t>
      </w:r>
      <w:r>
        <w:rPr>
          <w:rFonts w:hint="eastAsia"/>
          <w:color w:val="auto"/>
        </w:rPr>
        <w:t>已有知识产权的归属</w:t>
      </w:r>
      <w:bookmarkEnd w:id="467"/>
      <w:bookmarkEnd w:id="468"/>
    </w:p>
    <w:p>
      <w:pPr>
        <w:numPr>
          <w:ilvl w:val="0"/>
          <w:numId w:val="0"/>
        </w:numPr>
        <w:ind w:left="0" w:leftChars="0" w:firstLine="480" w:firstLineChars="200"/>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向</w:t>
      </w: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提供的全部资料、数据、企业内部信息及背景知识产权（以下简称"</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资料"），其所有权及全部知识产权均归</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所有。</w:t>
      </w:r>
      <w:r>
        <w:rPr>
          <w:rFonts w:hint="eastAsia" w:ascii="宋体" w:hAnsi="宋体" w:eastAsia="宋体" w:cs="宋体"/>
          <w:color w:val="auto"/>
          <w:highlight w:val="none"/>
          <w:lang w:eastAsia="zh-CN" w:bidi="ar"/>
        </w:rPr>
        <w:t>成员方</w:t>
      </w:r>
      <w:r>
        <w:rPr>
          <w:rFonts w:hint="eastAsia" w:ascii="宋体" w:hAnsi="宋体" w:eastAsia="宋体" w:cs="宋体"/>
          <w:color w:val="auto"/>
          <w:highlight w:val="none"/>
          <w:lang w:bidi="ar"/>
        </w:rPr>
        <w:t>仅得为履行本项目合同之目的，在本项目合同约定的项目范围内使用</w:t>
      </w:r>
      <w:r>
        <w:rPr>
          <w:rFonts w:hint="eastAsia" w:ascii="宋体" w:hAnsi="宋体" w:eastAsia="宋体" w:cs="宋体"/>
          <w:color w:val="auto"/>
          <w:highlight w:val="none"/>
          <w:lang w:eastAsia="zh-CN" w:bidi="ar"/>
        </w:rPr>
        <w:t>牵头方</w:t>
      </w:r>
      <w:r>
        <w:rPr>
          <w:rFonts w:hint="eastAsia" w:ascii="宋体" w:hAnsi="宋体" w:eastAsia="宋体" w:cs="宋体"/>
          <w:color w:val="auto"/>
          <w:highlight w:val="none"/>
          <w:lang w:bidi="ar"/>
        </w:rPr>
        <w:t>资料，不得用于任何其他目的，不得向任何第三方披露、许可或转让。各方在签署本项目合同之前已独立创作或合法取得的知识产权（背景知识产权），仍归原权利人所有，不因本项目合同的履行而发生转移。</w:t>
      </w:r>
    </w:p>
    <w:p>
      <w:pPr>
        <w:pStyle w:val="4"/>
        <w:keepNext/>
        <w:numPr>
          <w:ilvl w:val="1"/>
          <w:numId w:val="0"/>
        </w:numPr>
        <w:spacing w:before="120" w:beforeAutospacing="0" w:after="120" w:afterAutospacing="0"/>
        <w:rPr>
          <w:rFonts w:hint="eastAsia"/>
          <w:color w:val="auto"/>
        </w:rPr>
      </w:pPr>
      <w:bookmarkStart w:id="469" w:name="_Toc31758"/>
      <w:bookmarkStart w:id="470" w:name="_Toc30510"/>
      <w:r>
        <w:rPr>
          <w:rFonts w:hint="eastAsia" w:ascii="宋体" w:hAnsi="宋体" w:eastAsia="宋体" w:cs="Times New Roman"/>
          <w:color w:val="auto"/>
          <w:lang w:val="en-US" w:eastAsia="zh-CN"/>
        </w:rPr>
        <w:t>13.3</w:t>
      </w:r>
      <w:r>
        <w:rPr>
          <w:rFonts w:hint="eastAsia"/>
          <w:color w:val="auto"/>
        </w:rPr>
        <w:t>项目成果的知识产权归属</w:t>
      </w:r>
      <w:bookmarkEnd w:id="469"/>
      <w:bookmarkEnd w:id="470"/>
    </w:p>
    <w:p>
      <w:pPr>
        <w:numPr>
          <w:ilvl w:val="0"/>
          <w:numId w:val="0"/>
        </w:numPr>
        <w:ind w:firstLine="480" w:firstLineChars="200"/>
        <w:rPr>
          <w:rFonts w:hint="eastAsia"/>
        </w:rPr>
      </w:pPr>
      <w:r>
        <w:rPr>
          <w:rFonts w:hint="eastAsia" w:ascii="宋体" w:hAnsi="宋体" w:cs="宋体"/>
          <w:color w:val="auto"/>
          <w:highlight w:val="none"/>
          <w:lang w:bidi="ar"/>
        </w:rPr>
        <w:t>因</w:t>
      </w:r>
      <w:r>
        <w:rPr>
          <w:rFonts w:hint="eastAsia" w:ascii="宋体" w:hAnsi="宋体"/>
          <w:color w:val="auto"/>
          <w:highlight w:val="none"/>
          <w:lang w:bidi="ar"/>
        </w:rPr>
        <w:t>履行本项目合同所产生的全部技术成果、工作成果、交付物、文档、数据、源代码、算法模型、技术方案及其他知识产权成果（以下简称“项目成果”），其全部知识产权（包括但不限于著作权、专利权、商标权、商业秘密申请权等）自成果形成之日起即归</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所有。中标人应在项目验收完成后，在</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规定时间内，向</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移交项目成果的全部源文件、技术文档、数据、操作手册、培训材料及相关知识产权权属证明文件，并配合</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完成知识产权登记或确权手续。</w:t>
      </w:r>
    </w:p>
    <w:p>
      <w:pPr>
        <w:pStyle w:val="4"/>
        <w:keepNext/>
        <w:numPr>
          <w:ilvl w:val="1"/>
          <w:numId w:val="0"/>
        </w:numPr>
        <w:spacing w:before="120" w:beforeAutospacing="0" w:after="120" w:afterAutospacing="0"/>
        <w:rPr>
          <w:rFonts w:hint="eastAsia"/>
          <w:color w:val="auto"/>
        </w:rPr>
      </w:pPr>
      <w:bookmarkStart w:id="471" w:name="_Toc12411"/>
      <w:bookmarkStart w:id="472" w:name="_Toc1425"/>
      <w:r>
        <w:rPr>
          <w:rFonts w:hint="eastAsia" w:ascii="宋体" w:hAnsi="宋体" w:eastAsia="宋体" w:cs="Times New Roman"/>
          <w:color w:val="auto"/>
          <w:lang w:val="en-US" w:eastAsia="zh-CN"/>
        </w:rPr>
        <w:t>13.4</w:t>
      </w:r>
      <w:r>
        <w:rPr>
          <w:rFonts w:hint="eastAsia"/>
          <w:color w:val="auto"/>
        </w:rPr>
        <w:t>项目成果的使用许可</w:t>
      </w:r>
      <w:bookmarkEnd w:id="471"/>
      <w:bookmarkEnd w:id="472"/>
    </w:p>
    <w:p>
      <w:pPr>
        <w:numPr>
          <w:ilvl w:val="0"/>
          <w:numId w:val="0"/>
        </w:numPr>
        <w:ind w:firstLine="480" w:firstLineChars="200"/>
        <w:rPr>
          <w:rFonts w:hint="eastAsia" w:ascii="宋体" w:hAnsi="宋体"/>
          <w:color w:val="auto"/>
          <w:highlight w:val="none"/>
          <w:lang w:bidi="ar"/>
        </w:rPr>
      </w:pP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对项目成果享有完整、独占、免费、永久、不可撤销的使用权、复制权、修改权、</w:t>
      </w:r>
      <w:r>
        <w:rPr>
          <w:rFonts w:hint="eastAsia" w:ascii="宋体" w:hAnsi="宋体" w:cs="宋体"/>
          <w:color w:val="auto"/>
          <w:highlight w:val="none"/>
          <w:lang w:bidi="ar"/>
        </w:rPr>
        <w:t>改编权</w:t>
      </w:r>
      <w:r>
        <w:rPr>
          <w:rFonts w:hint="eastAsia" w:ascii="宋体" w:hAnsi="宋体"/>
          <w:color w:val="auto"/>
          <w:highlight w:val="none"/>
          <w:lang w:bidi="ar"/>
        </w:rPr>
        <w:t>、分发权及再许可权，无需另行征得中标人同意，亦无需支付额外费用。中标人如需将项目成果用于自身宣传、案例展示、学术研究或其他商业或非商业目的，须事先取得</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的书面授权，且不得披露</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保密信息。任何基于项目成果的复制件、演绎作品或改进成果，均应显著标明</w:t>
      </w:r>
      <w:r>
        <w:rPr>
          <w:rFonts w:hint="eastAsia" w:ascii="宋体" w:hAnsi="宋体" w:eastAsia="宋体" w:cs="Times New Roman"/>
          <w:color w:val="auto"/>
          <w:highlight w:val="none"/>
          <w:lang w:eastAsia="zh-CN" w:bidi="ar"/>
        </w:rPr>
        <w:t>牵头方</w:t>
      </w:r>
      <w:r>
        <w:rPr>
          <w:rFonts w:hint="eastAsia" w:ascii="宋体" w:hAnsi="宋体"/>
          <w:color w:val="auto"/>
          <w:highlight w:val="none"/>
          <w:lang w:bidi="ar"/>
        </w:rPr>
        <w:t>的知识产权权属，中标人不得删除、篡改或隐匿原始权属标识。</w:t>
      </w:r>
    </w:p>
    <w:p>
      <w:pPr>
        <w:pStyle w:val="4"/>
        <w:keepNext/>
        <w:numPr>
          <w:ilvl w:val="1"/>
          <w:numId w:val="0"/>
        </w:numPr>
        <w:spacing w:before="120" w:beforeAutospacing="0" w:after="120" w:afterAutospacing="0"/>
        <w:rPr>
          <w:rFonts w:hint="eastAsia"/>
          <w:color w:val="auto"/>
        </w:rPr>
      </w:pPr>
      <w:bookmarkStart w:id="473" w:name="_Toc31556"/>
      <w:bookmarkStart w:id="474" w:name="_Toc9463"/>
      <w:r>
        <w:rPr>
          <w:rFonts w:hint="eastAsia" w:ascii="宋体" w:hAnsi="宋体" w:eastAsia="宋体" w:cs="Times New Roman"/>
          <w:color w:val="auto"/>
          <w:lang w:val="en-US" w:eastAsia="zh-CN"/>
        </w:rPr>
        <w:t>13.5</w:t>
      </w:r>
      <w:r>
        <w:rPr>
          <w:rFonts w:hint="eastAsia"/>
          <w:color w:val="auto"/>
        </w:rPr>
        <w:t>合规使用与法律责任</w:t>
      </w:r>
      <w:bookmarkEnd w:id="473"/>
      <w:bookmarkEnd w:id="474"/>
    </w:p>
    <w:p>
      <w:pPr>
        <w:numPr>
          <w:ilvl w:val="0"/>
          <w:numId w:val="0"/>
        </w:numPr>
        <w:ind w:firstLine="480" w:firstLineChars="200"/>
      </w:pPr>
      <w:r>
        <w:rPr>
          <w:rFonts w:hint="eastAsia" w:ascii="宋体" w:hAnsi="宋体" w:cs="宋体"/>
          <w:color w:val="auto"/>
          <w:highlight w:val="none"/>
          <w:lang w:bidi="ar"/>
        </w:rPr>
        <w:t>双方</w:t>
      </w:r>
      <w:r>
        <w:rPr>
          <w:rFonts w:hint="eastAsia" w:ascii="宋体" w:hAnsi="宋体"/>
          <w:color w:val="auto"/>
          <w:highlight w:val="none"/>
          <w:lang w:bidi="ar"/>
        </w:rPr>
        <w:t>均应遵守中华人民共和国现行有效的知识产权法律法规，合法使用对方提供的资料及项目成果。任何一方违反本条规定给对方造成损失的，应承担相应的赔偿责任。</w:t>
      </w:r>
    </w:p>
    <w:p>
      <w:pPr>
        <w:rPr>
          <w:rFonts w:hint="eastAsia" w:ascii="宋体" w:hAnsi="宋体" w:eastAsia="宋体"/>
          <w:color w:val="auto"/>
          <w:highlight w:val="none"/>
          <w:lang w:val="en-US" w:eastAsia="zh-CN" w:bidi="ar"/>
        </w:rPr>
      </w:pPr>
    </w:p>
    <w:p>
      <w:pPr>
        <w:pStyle w:val="71"/>
        <w:numPr>
          <w:ilvl w:val="0"/>
          <w:numId w:val="0"/>
        </w:numPr>
        <w:spacing w:line="360" w:lineRule="auto"/>
        <w:ind w:left="480" w:leftChars="0"/>
        <w:rPr>
          <w:color w:val="auto"/>
          <w:highlight w:val="none"/>
        </w:rPr>
      </w:pPr>
    </w:p>
    <w:sectPr>
      <w:headerReference r:id="rId13" w:type="default"/>
      <w:footerReference r:id="rId14" w:type="default"/>
      <w:pgSz w:w="11906" w:h="16838"/>
      <w:pgMar w:top="1021" w:right="1134" w:bottom="1021" w:left="1134" w:header="567" w:footer="992" w:gutter="0"/>
      <w:pgNumType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w:fldChar w:fldCharType="begin"/>
    </w:r>
    <w:r>
      <w:instrText xml:space="preserve">PAGE   \* MERGEFORMAT</w:instrText>
    </w:r>
    <w:r>
      <w:fldChar w:fldCharType="separate"/>
    </w:r>
    <w:r>
      <w:rPr>
        <w:lang w:val="zh-CN"/>
      </w:rP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w:fldChar w:fldCharType="begin"/>
    </w:r>
    <w:r>
      <w:instrText xml:space="preserve"> PAGE   \* MERGEFORMAT </w:instrText>
    </w:r>
    <w:r>
      <w:fldChar w:fldCharType="separate"/>
    </w:r>
    <w:r>
      <w:rPr>
        <w:lang w:val="zh-CN"/>
      </w:rPr>
      <w:t>23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single" w:color="auto" w:sz="4" w:space="1"/>
      </w:pBdr>
      <w:ind w:firstLine="360"/>
      <w:jc w:val="both"/>
      <w:rPr>
        <w:rFonts w:ascii="Arial" w:hAnsi="Arial"/>
      </w:rPr>
    </w:pPr>
    <w:r>
      <w:rPr>
        <w:rFonts w:hint="eastAsia" w:ascii="Arial" w:hAnsi="Arial"/>
      </w:rPr>
      <w:t>深圳供电局</w:t>
    </w:r>
    <w:r>
      <w:rPr>
        <w:rFonts w:hint="eastAsia"/>
      </w:rPr>
      <w:t>ERP系统建设项目(营销专业软件第二期技术实施部分)项目技术协议</w:t>
    </w:r>
  </w:p>
  <w:p>
    <w:pPr>
      <w:pStyle w:val="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97338B"/>
    <w:multiLevelType w:val="multilevel"/>
    <w:tmpl w:val="F697338B"/>
    <w:lvl w:ilvl="0" w:tentative="0">
      <w:start w:val="1"/>
      <w:numFmt w:val="decimal"/>
      <w:pStyle w:val="5"/>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
    <w:nsid w:val="0000001B"/>
    <w:multiLevelType w:val="multilevel"/>
    <w:tmpl w:val="0000001B"/>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pStyle w:val="88"/>
      <w:suff w:val="nothing"/>
      <w:lvlText w:val="%1%2.%3　"/>
      <w:lvlJc w:val="left"/>
      <w:pPr>
        <w:ind w:left="0" w:firstLine="0"/>
      </w:pPr>
      <w:rPr>
        <w:rFonts w:hint="eastAsia" w:hAnsi="Times New Roman" w:cs="Times New Roman"/>
        <w:bCs w:val="0"/>
        <w:i w:val="0"/>
        <w:iCs w:val="0"/>
        <w:caps w:val="0"/>
        <w:smallCaps w:val="0"/>
        <w:strike w:val="0"/>
        <w:dstrike w:val="0"/>
        <w:vanish w:val="0"/>
        <w:spacing w:val="0"/>
        <w:kern w:val="0"/>
        <w:position w:val="0"/>
        <w:u w:val="none"/>
        <w:vertAlign w:val="baseline"/>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34"/>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118C5290"/>
    <w:multiLevelType w:val="multilevel"/>
    <w:tmpl w:val="118C5290"/>
    <w:lvl w:ilvl="0" w:tentative="0">
      <w:start w:val="1"/>
      <w:numFmt w:val="decimal"/>
      <w:pStyle w:val="66"/>
      <w:suff w:val="nothing"/>
      <w:lvlText w:val="%1."/>
      <w:lvlJc w:val="left"/>
      <w:pPr>
        <w:ind w:left="425" w:hanging="425"/>
      </w:pPr>
      <w:rPr>
        <w:rFonts w:hint="eastAsia"/>
      </w:rPr>
    </w:lvl>
    <w:lvl w:ilvl="1" w:tentative="0">
      <w:start w:val="1"/>
      <w:numFmt w:val="decimal"/>
      <w:pStyle w:val="61"/>
      <w:suff w:val="nothing"/>
      <w:lvlText w:val="%1.%2."/>
      <w:lvlJc w:val="left"/>
      <w:pPr>
        <w:ind w:left="567" w:hanging="567"/>
      </w:pPr>
      <w:rPr>
        <w:rFonts w:hint="eastAsia"/>
      </w:rPr>
    </w:lvl>
    <w:lvl w:ilvl="2" w:tentative="0">
      <w:start w:val="1"/>
      <w:numFmt w:val="decimal"/>
      <w:pStyle w:val="62"/>
      <w:suff w:val="nothing"/>
      <w:lvlText w:val="%1.%2.%3."/>
      <w:lvlJc w:val="left"/>
      <w:pPr>
        <w:ind w:left="709" w:hanging="709"/>
      </w:pPr>
      <w:rPr>
        <w:rFonts w:hint="eastAsia"/>
      </w:rPr>
    </w:lvl>
    <w:lvl w:ilvl="3" w:tentative="0">
      <w:start w:val="1"/>
      <w:numFmt w:val="decimal"/>
      <w:pStyle w:val="63"/>
      <w:suff w:val="nothing"/>
      <w:lvlText w:val="%1.%2.%3.%4."/>
      <w:lvlJc w:val="left"/>
      <w:pPr>
        <w:ind w:left="851" w:hanging="851"/>
      </w:pPr>
      <w:rPr>
        <w:rFonts w:hint="eastAsia"/>
      </w:rPr>
    </w:lvl>
    <w:lvl w:ilvl="4" w:tentative="0">
      <w:start w:val="1"/>
      <w:numFmt w:val="decimal"/>
      <w:pStyle w:val="64"/>
      <w:suff w:val="nothing"/>
      <w:lvlText w:val="%1.%2.%3.%4.%5."/>
      <w:lvlJc w:val="left"/>
      <w:pPr>
        <w:ind w:left="992" w:hanging="992"/>
      </w:pPr>
      <w:rPr>
        <w:rFonts w:hint="eastAsia"/>
      </w:rPr>
    </w:lvl>
    <w:lvl w:ilvl="5" w:tentative="0">
      <w:start w:val="1"/>
      <w:numFmt w:val="decimal"/>
      <w:suff w:val="nothing"/>
      <w:lvlText w:val="%1.%2.%3.%4.%5.%6."/>
      <w:lvlJc w:val="left"/>
      <w:pPr>
        <w:ind w:left="1134" w:hanging="1134"/>
      </w:pPr>
      <w:rPr>
        <w:rFonts w:hint="eastAsia"/>
      </w:rPr>
    </w:lvl>
    <w:lvl w:ilvl="6" w:tentative="0">
      <w:start w:val="1"/>
      <w:numFmt w:val="decimal"/>
      <w:suff w:val="nothing"/>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
    <w:nsid w:val="235228D9"/>
    <w:multiLevelType w:val="multilevel"/>
    <w:tmpl w:val="235228D9"/>
    <w:lvl w:ilvl="0" w:tentative="0">
      <w:start w:val="1"/>
      <w:numFmt w:val="decimal"/>
      <w:pStyle w:val="69"/>
      <w:lvlText w:val="%1."/>
      <w:lvlJc w:val="left"/>
      <w:pPr>
        <w:ind w:left="420" w:hanging="420"/>
      </w:pPr>
      <w:rPr>
        <w:b w:val="0"/>
        <w:bCs w:val="0"/>
        <w:i w:val="0"/>
        <w:iCs w:val="0"/>
        <w:caps w:val="0"/>
        <w:smallCaps w:val="0"/>
        <w:strike w:val="0"/>
        <w:dstrike w:val="0"/>
        <w:vanish w:val="0"/>
        <w:color w:val="000000"/>
        <w:spacing w:val="0"/>
        <w:kern w:val="0"/>
        <w:position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3C1415C"/>
    <w:multiLevelType w:val="singleLevel"/>
    <w:tmpl w:val="23C1415C"/>
    <w:lvl w:ilvl="0" w:tentative="0">
      <w:start w:val="1"/>
      <w:numFmt w:val="decimal"/>
      <w:suff w:val="nothing"/>
      <w:lvlText w:val="%1、"/>
      <w:lvlJc w:val="left"/>
    </w:lvl>
  </w:abstractNum>
  <w:abstractNum w:abstractNumId="6">
    <w:nsid w:val="324E1B64"/>
    <w:multiLevelType w:val="multilevel"/>
    <w:tmpl w:val="324E1B64"/>
    <w:lvl w:ilvl="0" w:tentative="0">
      <w:start w:val="1"/>
      <w:numFmt w:val="bullet"/>
      <w:lvlText w:val=""/>
      <w:lvlJc w:val="left"/>
      <w:pPr>
        <w:ind w:left="900" w:hanging="420"/>
      </w:pPr>
      <w:rPr>
        <w:rFonts w:hint="default" w:ascii="Wingdings" w:hAnsi="Wingdings"/>
        <w:spacing w:val="20"/>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
    <w:nsid w:val="5D228858"/>
    <w:multiLevelType w:val="singleLevel"/>
    <w:tmpl w:val="5D228858"/>
    <w:lvl w:ilvl="0" w:tentative="0">
      <w:start w:val="1"/>
      <w:numFmt w:val="decimal"/>
      <w:suff w:val="nothing"/>
      <w:lvlText w:val="%1、"/>
      <w:lvlJc w:val="left"/>
      <w:pPr>
        <w:ind w:left="0" w:firstLine="0"/>
      </w:pPr>
    </w:lvl>
  </w:abstractNum>
  <w:abstractNum w:abstractNumId="8">
    <w:nsid w:val="5D359AC0"/>
    <w:multiLevelType w:val="singleLevel"/>
    <w:tmpl w:val="5D359AC0"/>
    <w:lvl w:ilvl="0" w:tentative="0">
      <w:start w:val="1"/>
      <w:numFmt w:val="decimal"/>
      <w:suff w:val="nothing"/>
      <w:lvlText w:val="%1、"/>
      <w:lvlJc w:val="left"/>
      <w:pPr>
        <w:ind w:left="0" w:firstLine="0"/>
      </w:pPr>
    </w:lvl>
  </w:abstractNum>
  <w:abstractNum w:abstractNumId="9">
    <w:nsid w:val="5D359B2B"/>
    <w:multiLevelType w:val="singleLevel"/>
    <w:tmpl w:val="5D359B2B"/>
    <w:lvl w:ilvl="0" w:tentative="0">
      <w:start w:val="1"/>
      <w:numFmt w:val="decimal"/>
      <w:suff w:val="nothing"/>
      <w:lvlText w:val="%1、"/>
      <w:lvlJc w:val="left"/>
    </w:lvl>
  </w:abstractNum>
  <w:abstractNum w:abstractNumId="10">
    <w:nsid w:val="5DD03E58"/>
    <w:multiLevelType w:val="singleLevel"/>
    <w:tmpl w:val="5DD03E58"/>
    <w:lvl w:ilvl="0" w:tentative="0">
      <w:start w:val="1"/>
      <w:numFmt w:val="decimal"/>
      <w:suff w:val="nothing"/>
      <w:lvlText w:val="%1、"/>
      <w:lvlJc w:val="left"/>
      <w:pPr>
        <w:ind w:left="0" w:firstLine="0"/>
      </w:pPr>
    </w:lvl>
  </w:abstractNum>
  <w:abstractNum w:abstractNumId="11">
    <w:nsid w:val="6E635BA4"/>
    <w:multiLevelType w:val="singleLevel"/>
    <w:tmpl w:val="6E635BA4"/>
    <w:lvl w:ilvl="0" w:tentative="0">
      <w:start w:val="1"/>
      <w:numFmt w:val="decimal"/>
      <w:suff w:val="nothing"/>
      <w:lvlText w:val="%1、"/>
      <w:lvlJc w:val="left"/>
    </w:lvl>
  </w:abstractNum>
  <w:abstractNum w:abstractNumId="12">
    <w:nsid w:val="6EF57B4B"/>
    <w:multiLevelType w:val="multilevel"/>
    <w:tmpl w:val="6EF57B4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12"/>
  </w:num>
  <w:num w:numId="8">
    <w:abstractNumId w:val="11"/>
  </w:num>
  <w:num w:numId="9">
    <w:abstractNumId w:val="6"/>
  </w:num>
  <w:num w:numId="10">
    <w:abstractNumId w:val="8"/>
  </w:num>
  <w:num w:numId="11">
    <w:abstractNumId w:val="7"/>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SystemFonts/>
  <w:bordersDoNotSurroundHeader w:val="0"/>
  <w:bordersDoNotSurroundFooter w:val="0"/>
  <w:trackRevisions w:val="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172A27"/>
    <w:rsid w:val="00005D22"/>
    <w:rsid w:val="00006CFB"/>
    <w:rsid w:val="00007F44"/>
    <w:rsid w:val="0001452C"/>
    <w:rsid w:val="00016501"/>
    <w:rsid w:val="00026DEE"/>
    <w:rsid w:val="00027547"/>
    <w:rsid w:val="00030D83"/>
    <w:rsid w:val="00031407"/>
    <w:rsid w:val="00032146"/>
    <w:rsid w:val="000333D3"/>
    <w:rsid w:val="00033EC0"/>
    <w:rsid w:val="00036448"/>
    <w:rsid w:val="00037F8F"/>
    <w:rsid w:val="000462AA"/>
    <w:rsid w:val="00050B11"/>
    <w:rsid w:val="00050D62"/>
    <w:rsid w:val="00054A65"/>
    <w:rsid w:val="00055794"/>
    <w:rsid w:val="000604DD"/>
    <w:rsid w:val="00064587"/>
    <w:rsid w:val="00073CDB"/>
    <w:rsid w:val="00082922"/>
    <w:rsid w:val="00083DB4"/>
    <w:rsid w:val="000842E2"/>
    <w:rsid w:val="0008438F"/>
    <w:rsid w:val="00087901"/>
    <w:rsid w:val="000917CD"/>
    <w:rsid w:val="000924B4"/>
    <w:rsid w:val="00094546"/>
    <w:rsid w:val="000963DE"/>
    <w:rsid w:val="000A0BD8"/>
    <w:rsid w:val="000A1078"/>
    <w:rsid w:val="000B066E"/>
    <w:rsid w:val="000B06C6"/>
    <w:rsid w:val="000C03EA"/>
    <w:rsid w:val="000C0F38"/>
    <w:rsid w:val="000C1C6A"/>
    <w:rsid w:val="000C1EE4"/>
    <w:rsid w:val="000C3657"/>
    <w:rsid w:val="000D2BE9"/>
    <w:rsid w:val="000D3CC2"/>
    <w:rsid w:val="000D4B35"/>
    <w:rsid w:val="000E6F8D"/>
    <w:rsid w:val="000F2B3B"/>
    <w:rsid w:val="000F64C8"/>
    <w:rsid w:val="001024C7"/>
    <w:rsid w:val="00104493"/>
    <w:rsid w:val="001052CE"/>
    <w:rsid w:val="0010655F"/>
    <w:rsid w:val="00110AC8"/>
    <w:rsid w:val="001126EA"/>
    <w:rsid w:val="001168CB"/>
    <w:rsid w:val="00123F0E"/>
    <w:rsid w:val="00124A06"/>
    <w:rsid w:val="00124DEF"/>
    <w:rsid w:val="001310CC"/>
    <w:rsid w:val="00137A97"/>
    <w:rsid w:val="00140F86"/>
    <w:rsid w:val="00147B47"/>
    <w:rsid w:val="0015294D"/>
    <w:rsid w:val="001563E3"/>
    <w:rsid w:val="0016101B"/>
    <w:rsid w:val="001634F1"/>
    <w:rsid w:val="001646B3"/>
    <w:rsid w:val="00166545"/>
    <w:rsid w:val="00170414"/>
    <w:rsid w:val="00170CDC"/>
    <w:rsid w:val="00172A27"/>
    <w:rsid w:val="00184DDC"/>
    <w:rsid w:val="00185258"/>
    <w:rsid w:val="001861B3"/>
    <w:rsid w:val="0018649D"/>
    <w:rsid w:val="0018786C"/>
    <w:rsid w:val="00187D29"/>
    <w:rsid w:val="00193399"/>
    <w:rsid w:val="0019496B"/>
    <w:rsid w:val="00194CAF"/>
    <w:rsid w:val="00195B29"/>
    <w:rsid w:val="001A0974"/>
    <w:rsid w:val="001B08A3"/>
    <w:rsid w:val="001B0A31"/>
    <w:rsid w:val="001B23A9"/>
    <w:rsid w:val="001B3651"/>
    <w:rsid w:val="001B6CDC"/>
    <w:rsid w:val="001B717C"/>
    <w:rsid w:val="001C4CFA"/>
    <w:rsid w:val="001C4E31"/>
    <w:rsid w:val="001C5F00"/>
    <w:rsid w:val="001D42DF"/>
    <w:rsid w:val="001F02CB"/>
    <w:rsid w:val="001F3446"/>
    <w:rsid w:val="001F66AE"/>
    <w:rsid w:val="00204F92"/>
    <w:rsid w:val="00213A39"/>
    <w:rsid w:val="0022365C"/>
    <w:rsid w:val="00223D6C"/>
    <w:rsid w:val="002253DE"/>
    <w:rsid w:val="00227426"/>
    <w:rsid w:val="002329C7"/>
    <w:rsid w:val="00233DE5"/>
    <w:rsid w:val="00234BA7"/>
    <w:rsid w:val="0023708E"/>
    <w:rsid w:val="0023775A"/>
    <w:rsid w:val="00240DC3"/>
    <w:rsid w:val="00243FC9"/>
    <w:rsid w:val="0024491C"/>
    <w:rsid w:val="00245EF9"/>
    <w:rsid w:val="00252E60"/>
    <w:rsid w:val="0025481A"/>
    <w:rsid w:val="002605F0"/>
    <w:rsid w:val="002665F7"/>
    <w:rsid w:val="002742E5"/>
    <w:rsid w:val="00274559"/>
    <w:rsid w:val="002800BA"/>
    <w:rsid w:val="00280DB9"/>
    <w:rsid w:val="00281B7F"/>
    <w:rsid w:val="00284086"/>
    <w:rsid w:val="002911A3"/>
    <w:rsid w:val="002941A3"/>
    <w:rsid w:val="00294F1E"/>
    <w:rsid w:val="0029547A"/>
    <w:rsid w:val="0029606B"/>
    <w:rsid w:val="002A3516"/>
    <w:rsid w:val="002A501F"/>
    <w:rsid w:val="002A6481"/>
    <w:rsid w:val="002B2262"/>
    <w:rsid w:val="002B68AA"/>
    <w:rsid w:val="002B7356"/>
    <w:rsid w:val="002C5638"/>
    <w:rsid w:val="002C5E24"/>
    <w:rsid w:val="002C7FD5"/>
    <w:rsid w:val="002D6612"/>
    <w:rsid w:val="002E2788"/>
    <w:rsid w:val="002E4B5E"/>
    <w:rsid w:val="002E4E2D"/>
    <w:rsid w:val="002E529C"/>
    <w:rsid w:val="002E61AD"/>
    <w:rsid w:val="002F0771"/>
    <w:rsid w:val="002F0E1E"/>
    <w:rsid w:val="002F3E6E"/>
    <w:rsid w:val="002F49A2"/>
    <w:rsid w:val="002F55F9"/>
    <w:rsid w:val="002F7CC3"/>
    <w:rsid w:val="00300270"/>
    <w:rsid w:val="00304758"/>
    <w:rsid w:val="00307913"/>
    <w:rsid w:val="00310E88"/>
    <w:rsid w:val="0031428C"/>
    <w:rsid w:val="00314BDA"/>
    <w:rsid w:val="0031535E"/>
    <w:rsid w:val="00316174"/>
    <w:rsid w:val="0032735E"/>
    <w:rsid w:val="003273E8"/>
    <w:rsid w:val="00331992"/>
    <w:rsid w:val="003360C4"/>
    <w:rsid w:val="003367DB"/>
    <w:rsid w:val="00337670"/>
    <w:rsid w:val="00337B9D"/>
    <w:rsid w:val="00341868"/>
    <w:rsid w:val="00343121"/>
    <w:rsid w:val="00347281"/>
    <w:rsid w:val="003474BD"/>
    <w:rsid w:val="003509A2"/>
    <w:rsid w:val="0035152E"/>
    <w:rsid w:val="0035295B"/>
    <w:rsid w:val="00353538"/>
    <w:rsid w:val="0035395C"/>
    <w:rsid w:val="0035429D"/>
    <w:rsid w:val="00356DAA"/>
    <w:rsid w:val="00356FF5"/>
    <w:rsid w:val="003573E8"/>
    <w:rsid w:val="00357930"/>
    <w:rsid w:val="00357BBE"/>
    <w:rsid w:val="00364A7F"/>
    <w:rsid w:val="0036561F"/>
    <w:rsid w:val="00365ACD"/>
    <w:rsid w:val="00373652"/>
    <w:rsid w:val="0038056C"/>
    <w:rsid w:val="00383ADD"/>
    <w:rsid w:val="00383E68"/>
    <w:rsid w:val="00384B81"/>
    <w:rsid w:val="00385021"/>
    <w:rsid w:val="0039378A"/>
    <w:rsid w:val="00393D23"/>
    <w:rsid w:val="00396FFA"/>
    <w:rsid w:val="003A71B6"/>
    <w:rsid w:val="003A776B"/>
    <w:rsid w:val="003B2031"/>
    <w:rsid w:val="003B289D"/>
    <w:rsid w:val="003B5DC6"/>
    <w:rsid w:val="003C36CC"/>
    <w:rsid w:val="003C3A20"/>
    <w:rsid w:val="003C54F4"/>
    <w:rsid w:val="003C7FFD"/>
    <w:rsid w:val="003D0704"/>
    <w:rsid w:val="003D42E5"/>
    <w:rsid w:val="003D4EE0"/>
    <w:rsid w:val="003D641A"/>
    <w:rsid w:val="003D6565"/>
    <w:rsid w:val="003D71BA"/>
    <w:rsid w:val="003E12F8"/>
    <w:rsid w:val="003E3C00"/>
    <w:rsid w:val="003E4E90"/>
    <w:rsid w:val="003E5382"/>
    <w:rsid w:val="003E68FB"/>
    <w:rsid w:val="003E7328"/>
    <w:rsid w:val="00400F49"/>
    <w:rsid w:val="00407333"/>
    <w:rsid w:val="00410BB4"/>
    <w:rsid w:val="004117C0"/>
    <w:rsid w:val="004219BF"/>
    <w:rsid w:val="004252A0"/>
    <w:rsid w:val="0042566E"/>
    <w:rsid w:val="00440C4B"/>
    <w:rsid w:val="00446A67"/>
    <w:rsid w:val="004526EA"/>
    <w:rsid w:val="004579CA"/>
    <w:rsid w:val="00460EE2"/>
    <w:rsid w:val="004624DC"/>
    <w:rsid w:val="00462D3E"/>
    <w:rsid w:val="00463F0E"/>
    <w:rsid w:val="00466248"/>
    <w:rsid w:val="00466A52"/>
    <w:rsid w:val="0047108C"/>
    <w:rsid w:val="00471C3E"/>
    <w:rsid w:val="00471E02"/>
    <w:rsid w:val="00473268"/>
    <w:rsid w:val="0047479D"/>
    <w:rsid w:val="00485713"/>
    <w:rsid w:val="00486028"/>
    <w:rsid w:val="004866A6"/>
    <w:rsid w:val="0048768A"/>
    <w:rsid w:val="004A3D98"/>
    <w:rsid w:val="004B005A"/>
    <w:rsid w:val="004B111F"/>
    <w:rsid w:val="004B1D67"/>
    <w:rsid w:val="004B6145"/>
    <w:rsid w:val="004C02CD"/>
    <w:rsid w:val="004C13E3"/>
    <w:rsid w:val="004C4A64"/>
    <w:rsid w:val="004C4A7F"/>
    <w:rsid w:val="004C7B62"/>
    <w:rsid w:val="004D42AB"/>
    <w:rsid w:val="004D5E6A"/>
    <w:rsid w:val="004E1371"/>
    <w:rsid w:val="004E1F39"/>
    <w:rsid w:val="004E2F78"/>
    <w:rsid w:val="004E2FBB"/>
    <w:rsid w:val="004E6AB8"/>
    <w:rsid w:val="004F04AC"/>
    <w:rsid w:val="004F1D16"/>
    <w:rsid w:val="004F49B1"/>
    <w:rsid w:val="004F5EC0"/>
    <w:rsid w:val="004F7340"/>
    <w:rsid w:val="0050000B"/>
    <w:rsid w:val="00504F57"/>
    <w:rsid w:val="005157E5"/>
    <w:rsid w:val="005159AF"/>
    <w:rsid w:val="00516363"/>
    <w:rsid w:val="005228CE"/>
    <w:rsid w:val="00523239"/>
    <w:rsid w:val="00525893"/>
    <w:rsid w:val="00525C83"/>
    <w:rsid w:val="00527CF6"/>
    <w:rsid w:val="00532506"/>
    <w:rsid w:val="00532BFC"/>
    <w:rsid w:val="00535005"/>
    <w:rsid w:val="00536769"/>
    <w:rsid w:val="00541578"/>
    <w:rsid w:val="00543340"/>
    <w:rsid w:val="00544375"/>
    <w:rsid w:val="005470D6"/>
    <w:rsid w:val="005552A2"/>
    <w:rsid w:val="005572ED"/>
    <w:rsid w:val="00560E08"/>
    <w:rsid w:val="00562911"/>
    <w:rsid w:val="005656EA"/>
    <w:rsid w:val="00567982"/>
    <w:rsid w:val="005701AA"/>
    <w:rsid w:val="0057155B"/>
    <w:rsid w:val="00571F58"/>
    <w:rsid w:val="00574816"/>
    <w:rsid w:val="005834D5"/>
    <w:rsid w:val="00586FAA"/>
    <w:rsid w:val="0059134A"/>
    <w:rsid w:val="00594BC3"/>
    <w:rsid w:val="00596809"/>
    <w:rsid w:val="00597026"/>
    <w:rsid w:val="005A0847"/>
    <w:rsid w:val="005A0AB3"/>
    <w:rsid w:val="005A58AC"/>
    <w:rsid w:val="005A5F9E"/>
    <w:rsid w:val="005A6915"/>
    <w:rsid w:val="005A73B5"/>
    <w:rsid w:val="005A7F37"/>
    <w:rsid w:val="005B2565"/>
    <w:rsid w:val="005B3EEB"/>
    <w:rsid w:val="005B63FC"/>
    <w:rsid w:val="005C2DA1"/>
    <w:rsid w:val="005C5FA0"/>
    <w:rsid w:val="005C7D6F"/>
    <w:rsid w:val="005E254E"/>
    <w:rsid w:val="005E28E5"/>
    <w:rsid w:val="005E30A3"/>
    <w:rsid w:val="005E36A0"/>
    <w:rsid w:val="005E6FEC"/>
    <w:rsid w:val="005F0248"/>
    <w:rsid w:val="005F09EC"/>
    <w:rsid w:val="00600A4C"/>
    <w:rsid w:val="00602008"/>
    <w:rsid w:val="0060205E"/>
    <w:rsid w:val="006033AB"/>
    <w:rsid w:val="00611B8A"/>
    <w:rsid w:val="00620671"/>
    <w:rsid w:val="00622C16"/>
    <w:rsid w:val="00626C4D"/>
    <w:rsid w:val="00641C82"/>
    <w:rsid w:val="00642E88"/>
    <w:rsid w:val="00644F0B"/>
    <w:rsid w:val="00646F21"/>
    <w:rsid w:val="0065732D"/>
    <w:rsid w:val="006600A8"/>
    <w:rsid w:val="00660CAF"/>
    <w:rsid w:val="00666DBA"/>
    <w:rsid w:val="006673F7"/>
    <w:rsid w:val="00670563"/>
    <w:rsid w:val="0067575E"/>
    <w:rsid w:val="006769F7"/>
    <w:rsid w:val="006771A6"/>
    <w:rsid w:val="00677999"/>
    <w:rsid w:val="00677FCD"/>
    <w:rsid w:val="00681331"/>
    <w:rsid w:val="00690C91"/>
    <w:rsid w:val="00690E4E"/>
    <w:rsid w:val="00692149"/>
    <w:rsid w:val="006951FD"/>
    <w:rsid w:val="00695D03"/>
    <w:rsid w:val="00696AD2"/>
    <w:rsid w:val="006A0064"/>
    <w:rsid w:val="006A20C0"/>
    <w:rsid w:val="006A23E5"/>
    <w:rsid w:val="006A78F0"/>
    <w:rsid w:val="006A7FC7"/>
    <w:rsid w:val="006B33A1"/>
    <w:rsid w:val="006B3C17"/>
    <w:rsid w:val="006B5B79"/>
    <w:rsid w:val="006C2623"/>
    <w:rsid w:val="006C2843"/>
    <w:rsid w:val="006C342C"/>
    <w:rsid w:val="006C38E9"/>
    <w:rsid w:val="006C5BED"/>
    <w:rsid w:val="006C601D"/>
    <w:rsid w:val="006C6892"/>
    <w:rsid w:val="006C7E68"/>
    <w:rsid w:val="006D28B6"/>
    <w:rsid w:val="006D2E19"/>
    <w:rsid w:val="006D6D46"/>
    <w:rsid w:val="006E185D"/>
    <w:rsid w:val="006E36D7"/>
    <w:rsid w:val="006E6BC4"/>
    <w:rsid w:val="006F54D9"/>
    <w:rsid w:val="006F6D38"/>
    <w:rsid w:val="00700FD3"/>
    <w:rsid w:val="007037E6"/>
    <w:rsid w:val="00705356"/>
    <w:rsid w:val="007125ED"/>
    <w:rsid w:val="007134D8"/>
    <w:rsid w:val="0072140B"/>
    <w:rsid w:val="00722536"/>
    <w:rsid w:val="007226A5"/>
    <w:rsid w:val="00724FA5"/>
    <w:rsid w:val="00727DAA"/>
    <w:rsid w:val="00732A1E"/>
    <w:rsid w:val="00732DA5"/>
    <w:rsid w:val="007377B5"/>
    <w:rsid w:val="00740D2C"/>
    <w:rsid w:val="00740E82"/>
    <w:rsid w:val="00742CB1"/>
    <w:rsid w:val="0074367B"/>
    <w:rsid w:val="007439CD"/>
    <w:rsid w:val="0074478E"/>
    <w:rsid w:val="00745299"/>
    <w:rsid w:val="00745DBD"/>
    <w:rsid w:val="007517A5"/>
    <w:rsid w:val="007534FB"/>
    <w:rsid w:val="007538F1"/>
    <w:rsid w:val="007562BE"/>
    <w:rsid w:val="00757076"/>
    <w:rsid w:val="00763448"/>
    <w:rsid w:val="00764FCF"/>
    <w:rsid w:val="00775E52"/>
    <w:rsid w:val="00776214"/>
    <w:rsid w:val="007777F5"/>
    <w:rsid w:val="007800D2"/>
    <w:rsid w:val="007801F1"/>
    <w:rsid w:val="007803D5"/>
    <w:rsid w:val="007804FB"/>
    <w:rsid w:val="00786C0B"/>
    <w:rsid w:val="007903AA"/>
    <w:rsid w:val="00791654"/>
    <w:rsid w:val="007A2B9E"/>
    <w:rsid w:val="007A73E8"/>
    <w:rsid w:val="007B19C1"/>
    <w:rsid w:val="007B3CEA"/>
    <w:rsid w:val="007B49FA"/>
    <w:rsid w:val="007B4A24"/>
    <w:rsid w:val="007B590B"/>
    <w:rsid w:val="007B7A1A"/>
    <w:rsid w:val="007C29AF"/>
    <w:rsid w:val="007C4A02"/>
    <w:rsid w:val="007C54FF"/>
    <w:rsid w:val="007C5DF9"/>
    <w:rsid w:val="007C5F09"/>
    <w:rsid w:val="007C7647"/>
    <w:rsid w:val="007D2545"/>
    <w:rsid w:val="007D44FE"/>
    <w:rsid w:val="007D4E50"/>
    <w:rsid w:val="007E61AB"/>
    <w:rsid w:val="007F17FF"/>
    <w:rsid w:val="007F1CD6"/>
    <w:rsid w:val="007F2807"/>
    <w:rsid w:val="007F3F44"/>
    <w:rsid w:val="007F66DB"/>
    <w:rsid w:val="007F7284"/>
    <w:rsid w:val="00800697"/>
    <w:rsid w:val="00801529"/>
    <w:rsid w:val="00802350"/>
    <w:rsid w:val="00802C6F"/>
    <w:rsid w:val="00804A89"/>
    <w:rsid w:val="00805815"/>
    <w:rsid w:val="008178F5"/>
    <w:rsid w:val="00817E6A"/>
    <w:rsid w:val="008211BA"/>
    <w:rsid w:val="0082457D"/>
    <w:rsid w:val="0082730B"/>
    <w:rsid w:val="008375E3"/>
    <w:rsid w:val="00842878"/>
    <w:rsid w:val="0084730C"/>
    <w:rsid w:val="00851641"/>
    <w:rsid w:val="00851706"/>
    <w:rsid w:val="008527E5"/>
    <w:rsid w:val="0085493A"/>
    <w:rsid w:val="00854BD9"/>
    <w:rsid w:val="0085667D"/>
    <w:rsid w:val="008626E6"/>
    <w:rsid w:val="0086604B"/>
    <w:rsid w:val="00866076"/>
    <w:rsid w:val="00873688"/>
    <w:rsid w:val="00877AF9"/>
    <w:rsid w:val="0088067A"/>
    <w:rsid w:val="00885DAB"/>
    <w:rsid w:val="008864FF"/>
    <w:rsid w:val="008879D3"/>
    <w:rsid w:val="00890BBC"/>
    <w:rsid w:val="0089565E"/>
    <w:rsid w:val="008A38C9"/>
    <w:rsid w:val="008A7CAE"/>
    <w:rsid w:val="008B175B"/>
    <w:rsid w:val="008B232B"/>
    <w:rsid w:val="008B4111"/>
    <w:rsid w:val="008B4310"/>
    <w:rsid w:val="008B49FC"/>
    <w:rsid w:val="008B6831"/>
    <w:rsid w:val="008B6998"/>
    <w:rsid w:val="008B6C70"/>
    <w:rsid w:val="008C2EF6"/>
    <w:rsid w:val="008C3341"/>
    <w:rsid w:val="008C3E10"/>
    <w:rsid w:val="008D1541"/>
    <w:rsid w:val="008D25C9"/>
    <w:rsid w:val="008D5290"/>
    <w:rsid w:val="008D70BC"/>
    <w:rsid w:val="008D73A8"/>
    <w:rsid w:val="008E453A"/>
    <w:rsid w:val="008E59C0"/>
    <w:rsid w:val="008E5B67"/>
    <w:rsid w:val="008E600D"/>
    <w:rsid w:val="008F18A2"/>
    <w:rsid w:val="0090219B"/>
    <w:rsid w:val="0090279D"/>
    <w:rsid w:val="009101FC"/>
    <w:rsid w:val="00912685"/>
    <w:rsid w:val="00914CB4"/>
    <w:rsid w:val="00916614"/>
    <w:rsid w:val="00923D5B"/>
    <w:rsid w:val="00925831"/>
    <w:rsid w:val="00927705"/>
    <w:rsid w:val="0093070F"/>
    <w:rsid w:val="009310C1"/>
    <w:rsid w:val="009404D1"/>
    <w:rsid w:val="009422F3"/>
    <w:rsid w:val="0095210C"/>
    <w:rsid w:val="009547F3"/>
    <w:rsid w:val="009571AE"/>
    <w:rsid w:val="00961AD6"/>
    <w:rsid w:val="00961DAD"/>
    <w:rsid w:val="00962680"/>
    <w:rsid w:val="00966838"/>
    <w:rsid w:val="00967FD7"/>
    <w:rsid w:val="00970A85"/>
    <w:rsid w:val="00971709"/>
    <w:rsid w:val="00987413"/>
    <w:rsid w:val="00994399"/>
    <w:rsid w:val="00996CB3"/>
    <w:rsid w:val="00997F06"/>
    <w:rsid w:val="009A3EB8"/>
    <w:rsid w:val="009A3EE2"/>
    <w:rsid w:val="009A682B"/>
    <w:rsid w:val="009C098E"/>
    <w:rsid w:val="009C1822"/>
    <w:rsid w:val="009C5893"/>
    <w:rsid w:val="009C65CD"/>
    <w:rsid w:val="009C6BEE"/>
    <w:rsid w:val="009C7ADA"/>
    <w:rsid w:val="009D0290"/>
    <w:rsid w:val="009D03C8"/>
    <w:rsid w:val="009D194B"/>
    <w:rsid w:val="009D2731"/>
    <w:rsid w:val="009D3356"/>
    <w:rsid w:val="009D40D1"/>
    <w:rsid w:val="009D788E"/>
    <w:rsid w:val="009E18DA"/>
    <w:rsid w:val="009E1B95"/>
    <w:rsid w:val="009E3FB3"/>
    <w:rsid w:val="009E4212"/>
    <w:rsid w:val="009E62FE"/>
    <w:rsid w:val="009F5EFD"/>
    <w:rsid w:val="009F6BFB"/>
    <w:rsid w:val="00A020B7"/>
    <w:rsid w:val="00A032A8"/>
    <w:rsid w:val="00A04A1D"/>
    <w:rsid w:val="00A11C55"/>
    <w:rsid w:val="00A126BB"/>
    <w:rsid w:val="00A12C7D"/>
    <w:rsid w:val="00A137DB"/>
    <w:rsid w:val="00A1798A"/>
    <w:rsid w:val="00A20C70"/>
    <w:rsid w:val="00A21EFC"/>
    <w:rsid w:val="00A22D1D"/>
    <w:rsid w:val="00A24AA9"/>
    <w:rsid w:val="00A31DD1"/>
    <w:rsid w:val="00A3209C"/>
    <w:rsid w:val="00A33BBF"/>
    <w:rsid w:val="00A34079"/>
    <w:rsid w:val="00A35A66"/>
    <w:rsid w:val="00A3723D"/>
    <w:rsid w:val="00A43AD0"/>
    <w:rsid w:val="00A44000"/>
    <w:rsid w:val="00A458A4"/>
    <w:rsid w:val="00A477C6"/>
    <w:rsid w:val="00A517E8"/>
    <w:rsid w:val="00A5340E"/>
    <w:rsid w:val="00A54421"/>
    <w:rsid w:val="00A54A19"/>
    <w:rsid w:val="00A54BB7"/>
    <w:rsid w:val="00A55B6F"/>
    <w:rsid w:val="00A575A5"/>
    <w:rsid w:val="00A60AEE"/>
    <w:rsid w:val="00A634FD"/>
    <w:rsid w:val="00A63FD0"/>
    <w:rsid w:val="00A65E5D"/>
    <w:rsid w:val="00A711E7"/>
    <w:rsid w:val="00A71210"/>
    <w:rsid w:val="00A776AB"/>
    <w:rsid w:val="00A8674A"/>
    <w:rsid w:val="00A86EFA"/>
    <w:rsid w:val="00A92498"/>
    <w:rsid w:val="00A94675"/>
    <w:rsid w:val="00A963A4"/>
    <w:rsid w:val="00A96B96"/>
    <w:rsid w:val="00AA5D94"/>
    <w:rsid w:val="00AA74EF"/>
    <w:rsid w:val="00AA7F50"/>
    <w:rsid w:val="00AB085D"/>
    <w:rsid w:val="00AB250B"/>
    <w:rsid w:val="00AB5017"/>
    <w:rsid w:val="00AB62CF"/>
    <w:rsid w:val="00AB6CC1"/>
    <w:rsid w:val="00AC1CF7"/>
    <w:rsid w:val="00AC24BC"/>
    <w:rsid w:val="00AC35A3"/>
    <w:rsid w:val="00AC657D"/>
    <w:rsid w:val="00AD40EA"/>
    <w:rsid w:val="00AD59A5"/>
    <w:rsid w:val="00AD77C5"/>
    <w:rsid w:val="00AE027E"/>
    <w:rsid w:val="00AE114F"/>
    <w:rsid w:val="00AE1BD2"/>
    <w:rsid w:val="00AE67CC"/>
    <w:rsid w:val="00AF07BF"/>
    <w:rsid w:val="00AF4328"/>
    <w:rsid w:val="00AF757B"/>
    <w:rsid w:val="00B02A0F"/>
    <w:rsid w:val="00B073C6"/>
    <w:rsid w:val="00B10838"/>
    <w:rsid w:val="00B1195F"/>
    <w:rsid w:val="00B13CD0"/>
    <w:rsid w:val="00B13FE4"/>
    <w:rsid w:val="00B149A5"/>
    <w:rsid w:val="00B15C84"/>
    <w:rsid w:val="00B21A39"/>
    <w:rsid w:val="00B222D8"/>
    <w:rsid w:val="00B368E1"/>
    <w:rsid w:val="00B40243"/>
    <w:rsid w:val="00B42E8C"/>
    <w:rsid w:val="00B56F36"/>
    <w:rsid w:val="00B6331C"/>
    <w:rsid w:val="00B67B7D"/>
    <w:rsid w:val="00B704DA"/>
    <w:rsid w:val="00B74383"/>
    <w:rsid w:val="00B762BC"/>
    <w:rsid w:val="00B76836"/>
    <w:rsid w:val="00B84FA0"/>
    <w:rsid w:val="00B8607E"/>
    <w:rsid w:val="00B86FA0"/>
    <w:rsid w:val="00B876ED"/>
    <w:rsid w:val="00B87A66"/>
    <w:rsid w:val="00B94CF8"/>
    <w:rsid w:val="00B96013"/>
    <w:rsid w:val="00BA5074"/>
    <w:rsid w:val="00BB0DD1"/>
    <w:rsid w:val="00BB2301"/>
    <w:rsid w:val="00BB42FE"/>
    <w:rsid w:val="00BB766A"/>
    <w:rsid w:val="00BB797B"/>
    <w:rsid w:val="00BC02D4"/>
    <w:rsid w:val="00BC29C1"/>
    <w:rsid w:val="00BC2BC2"/>
    <w:rsid w:val="00BC4275"/>
    <w:rsid w:val="00BC46DC"/>
    <w:rsid w:val="00BC7876"/>
    <w:rsid w:val="00BE2FAB"/>
    <w:rsid w:val="00BE4C7E"/>
    <w:rsid w:val="00BF3140"/>
    <w:rsid w:val="00BF7E1B"/>
    <w:rsid w:val="00C02122"/>
    <w:rsid w:val="00C202DF"/>
    <w:rsid w:val="00C22B10"/>
    <w:rsid w:val="00C23A28"/>
    <w:rsid w:val="00C23EB2"/>
    <w:rsid w:val="00C34375"/>
    <w:rsid w:val="00C37F1B"/>
    <w:rsid w:val="00C444FD"/>
    <w:rsid w:val="00C47335"/>
    <w:rsid w:val="00C5286B"/>
    <w:rsid w:val="00C528FB"/>
    <w:rsid w:val="00C54DAA"/>
    <w:rsid w:val="00C55C16"/>
    <w:rsid w:val="00C55CA8"/>
    <w:rsid w:val="00C605B1"/>
    <w:rsid w:val="00C60A26"/>
    <w:rsid w:val="00C63EEF"/>
    <w:rsid w:val="00C6423B"/>
    <w:rsid w:val="00C75D57"/>
    <w:rsid w:val="00C818D6"/>
    <w:rsid w:val="00C8489F"/>
    <w:rsid w:val="00C87AAB"/>
    <w:rsid w:val="00CA1199"/>
    <w:rsid w:val="00CA2105"/>
    <w:rsid w:val="00CA386C"/>
    <w:rsid w:val="00CB4588"/>
    <w:rsid w:val="00CC0D6E"/>
    <w:rsid w:val="00CC3C83"/>
    <w:rsid w:val="00CC5F21"/>
    <w:rsid w:val="00CD10AD"/>
    <w:rsid w:val="00CD2A49"/>
    <w:rsid w:val="00CD4A1D"/>
    <w:rsid w:val="00CD4A8A"/>
    <w:rsid w:val="00CD4D8F"/>
    <w:rsid w:val="00CD6ECC"/>
    <w:rsid w:val="00CD777B"/>
    <w:rsid w:val="00CE091C"/>
    <w:rsid w:val="00CE29F1"/>
    <w:rsid w:val="00CF0DA5"/>
    <w:rsid w:val="00CF74A7"/>
    <w:rsid w:val="00D001B7"/>
    <w:rsid w:val="00D016E2"/>
    <w:rsid w:val="00D023BE"/>
    <w:rsid w:val="00D1004D"/>
    <w:rsid w:val="00D1219D"/>
    <w:rsid w:val="00D13330"/>
    <w:rsid w:val="00D13888"/>
    <w:rsid w:val="00D17C5B"/>
    <w:rsid w:val="00D21B15"/>
    <w:rsid w:val="00D30CEE"/>
    <w:rsid w:val="00D3619B"/>
    <w:rsid w:val="00D36CE9"/>
    <w:rsid w:val="00D455BC"/>
    <w:rsid w:val="00D531AD"/>
    <w:rsid w:val="00D536FE"/>
    <w:rsid w:val="00D54279"/>
    <w:rsid w:val="00D54331"/>
    <w:rsid w:val="00D60821"/>
    <w:rsid w:val="00D6133F"/>
    <w:rsid w:val="00D63AF0"/>
    <w:rsid w:val="00D65F8D"/>
    <w:rsid w:val="00D67BE6"/>
    <w:rsid w:val="00D71748"/>
    <w:rsid w:val="00D723DA"/>
    <w:rsid w:val="00D7485C"/>
    <w:rsid w:val="00D7486A"/>
    <w:rsid w:val="00D74DB4"/>
    <w:rsid w:val="00D7545F"/>
    <w:rsid w:val="00D84E29"/>
    <w:rsid w:val="00D91509"/>
    <w:rsid w:val="00D93ACB"/>
    <w:rsid w:val="00D96972"/>
    <w:rsid w:val="00D9765C"/>
    <w:rsid w:val="00DA1444"/>
    <w:rsid w:val="00DA1A46"/>
    <w:rsid w:val="00DA6999"/>
    <w:rsid w:val="00DB225B"/>
    <w:rsid w:val="00DB2FA9"/>
    <w:rsid w:val="00DB6B3E"/>
    <w:rsid w:val="00DB6FB4"/>
    <w:rsid w:val="00DC31CB"/>
    <w:rsid w:val="00DC41F8"/>
    <w:rsid w:val="00DC7E49"/>
    <w:rsid w:val="00DD0E08"/>
    <w:rsid w:val="00DD4169"/>
    <w:rsid w:val="00DD5A69"/>
    <w:rsid w:val="00DE1F77"/>
    <w:rsid w:val="00DE35B8"/>
    <w:rsid w:val="00DE5D1E"/>
    <w:rsid w:val="00DE6F34"/>
    <w:rsid w:val="00DF0AD2"/>
    <w:rsid w:val="00DF3D11"/>
    <w:rsid w:val="00E009D0"/>
    <w:rsid w:val="00E04BCC"/>
    <w:rsid w:val="00E05B6B"/>
    <w:rsid w:val="00E06CA0"/>
    <w:rsid w:val="00E1035D"/>
    <w:rsid w:val="00E1399E"/>
    <w:rsid w:val="00E21C6E"/>
    <w:rsid w:val="00E226CD"/>
    <w:rsid w:val="00E2492D"/>
    <w:rsid w:val="00E24D58"/>
    <w:rsid w:val="00E33D73"/>
    <w:rsid w:val="00E35382"/>
    <w:rsid w:val="00E35C1E"/>
    <w:rsid w:val="00E3738B"/>
    <w:rsid w:val="00E425BF"/>
    <w:rsid w:val="00E4429B"/>
    <w:rsid w:val="00E45167"/>
    <w:rsid w:val="00E50BAD"/>
    <w:rsid w:val="00E53674"/>
    <w:rsid w:val="00E561E9"/>
    <w:rsid w:val="00E5790C"/>
    <w:rsid w:val="00E66F71"/>
    <w:rsid w:val="00E673BB"/>
    <w:rsid w:val="00E70F6E"/>
    <w:rsid w:val="00E72383"/>
    <w:rsid w:val="00E802AD"/>
    <w:rsid w:val="00E80435"/>
    <w:rsid w:val="00E81F6E"/>
    <w:rsid w:val="00E8613F"/>
    <w:rsid w:val="00E912C1"/>
    <w:rsid w:val="00E91B73"/>
    <w:rsid w:val="00E91F12"/>
    <w:rsid w:val="00E94A7C"/>
    <w:rsid w:val="00E97748"/>
    <w:rsid w:val="00EA3DE4"/>
    <w:rsid w:val="00EA64E5"/>
    <w:rsid w:val="00EB1B44"/>
    <w:rsid w:val="00EB276D"/>
    <w:rsid w:val="00EB373A"/>
    <w:rsid w:val="00EB4D0A"/>
    <w:rsid w:val="00EB5B1D"/>
    <w:rsid w:val="00EB5C3C"/>
    <w:rsid w:val="00ED12EA"/>
    <w:rsid w:val="00ED23BD"/>
    <w:rsid w:val="00ED2612"/>
    <w:rsid w:val="00ED59A9"/>
    <w:rsid w:val="00EE1C9B"/>
    <w:rsid w:val="00EE2755"/>
    <w:rsid w:val="00EE2AED"/>
    <w:rsid w:val="00EE4DFC"/>
    <w:rsid w:val="00EE534A"/>
    <w:rsid w:val="00EE59CB"/>
    <w:rsid w:val="00EE6433"/>
    <w:rsid w:val="00EF0B57"/>
    <w:rsid w:val="00EF63AA"/>
    <w:rsid w:val="00F02376"/>
    <w:rsid w:val="00F03030"/>
    <w:rsid w:val="00F0319E"/>
    <w:rsid w:val="00F04927"/>
    <w:rsid w:val="00F108CE"/>
    <w:rsid w:val="00F10AC2"/>
    <w:rsid w:val="00F1139E"/>
    <w:rsid w:val="00F11CC7"/>
    <w:rsid w:val="00F13DA7"/>
    <w:rsid w:val="00F15E6E"/>
    <w:rsid w:val="00F170D0"/>
    <w:rsid w:val="00F176C5"/>
    <w:rsid w:val="00F17D2A"/>
    <w:rsid w:val="00F218B5"/>
    <w:rsid w:val="00F22B7B"/>
    <w:rsid w:val="00F257D5"/>
    <w:rsid w:val="00F26F93"/>
    <w:rsid w:val="00F34B3D"/>
    <w:rsid w:val="00F36E48"/>
    <w:rsid w:val="00F4355D"/>
    <w:rsid w:val="00F436CF"/>
    <w:rsid w:val="00F44BA8"/>
    <w:rsid w:val="00F45274"/>
    <w:rsid w:val="00F4643D"/>
    <w:rsid w:val="00F47F13"/>
    <w:rsid w:val="00F55D0D"/>
    <w:rsid w:val="00F5606B"/>
    <w:rsid w:val="00F56A73"/>
    <w:rsid w:val="00F57F2D"/>
    <w:rsid w:val="00F60A3F"/>
    <w:rsid w:val="00F613DF"/>
    <w:rsid w:val="00F64A4E"/>
    <w:rsid w:val="00F64D2F"/>
    <w:rsid w:val="00F677DB"/>
    <w:rsid w:val="00F7001F"/>
    <w:rsid w:val="00F70A24"/>
    <w:rsid w:val="00F719F9"/>
    <w:rsid w:val="00F74CA2"/>
    <w:rsid w:val="00F84055"/>
    <w:rsid w:val="00F85A1B"/>
    <w:rsid w:val="00F86017"/>
    <w:rsid w:val="00F9432C"/>
    <w:rsid w:val="00F97BA6"/>
    <w:rsid w:val="00FA0D9A"/>
    <w:rsid w:val="00FA54FD"/>
    <w:rsid w:val="00FA59D5"/>
    <w:rsid w:val="00FA6B34"/>
    <w:rsid w:val="00FA760C"/>
    <w:rsid w:val="00FB2709"/>
    <w:rsid w:val="00FB2AF4"/>
    <w:rsid w:val="00FB5591"/>
    <w:rsid w:val="00FC117C"/>
    <w:rsid w:val="00FC4261"/>
    <w:rsid w:val="00FC4FD8"/>
    <w:rsid w:val="00FC5220"/>
    <w:rsid w:val="00FD1E92"/>
    <w:rsid w:val="00FD4F39"/>
    <w:rsid w:val="00FE25EE"/>
    <w:rsid w:val="00FE570B"/>
    <w:rsid w:val="00FF1901"/>
    <w:rsid w:val="00FF1A7E"/>
    <w:rsid w:val="00FF283B"/>
    <w:rsid w:val="00FF49EA"/>
    <w:rsid w:val="00FF4F27"/>
    <w:rsid w:val="00FF77F0"/>
    <w:rsid w:val="010358B2"/>
    <w:rsid w:val="010567D9"/>
    <w:rsid w:val="01091E16"/>
    <w:rsid w:val="010975C0"/>
    <w:rsid w:val="0112244E"/>
    <w:rsid w:val="01175B60"/>
    <w:rsid w:val="012D5F79"/>
    <w:rsid w:val="0139010F"/>
    <w:rsid w:val="01420A1F"/>
    <w:rsid w:val="014F22B3"/>
    <w:rsid w:val="015654C1"/>
    <w:rsid w:val="0157700C"/>
    <w:rsid w:val="015B02B3"/>
    <w:rsid w:val="016B4241"/>
    <w:rsid w:val="016C2D4F"/>
    <w:rsid w:val="01762172"/>
    <w:rsid w:val="017C44D1"/>
    <w:rsid w:val="017D09F2"/>
    <w:rsid w:val="01885065"/>
    <w:rsid w:val="01A45240"/>
    <w:rsid w:val="01B24556"/>
    <w:rsid w:val="01BD5DF4"/>
    <w:rsid w:val="01CF0B92"/>
    <w:rsid w:val="01CF1907"/>
    <w:rsid w:val="01D4735D"/>
    <w:rsid w:val="01DB3B8D"/>
    <w:rsid w:val="01DE7FC8"/>
    <w:rsid w:val="01F2533F"/>
    <w:rsid w:val="01F46D56"/>
    <w:rsid w:val="020A0467"/>
    <w:rsid w:val="020B0CA3"/>
    <w:rsid w:val="021D0FFE"/>
    <w:rsid w:val="02200ABF"/>
    <w:rsid w:val="02305C56"/>
    <w:rsid w:val="023907B0"/>
    <w:rsid w:val="023C0C98"/>
    <w:rsid w:val="023D1F3B"/>
    <w:rsid w:val="023F4E02"/>
    <w:rsid w:val="02561732"/>
    <w:rsid w:val="025F20F0"/>
    <w:rsid w:val="026020F9"/>
    <w:rsid w:val="026B1ED6"/>
    <w:rsid w:val="02725D02"/>
    <w:rsid w:val="027B4718"/>
    <w:rsid w:val="02840131"/>
    <w:rsid w:val="028A203B"/>
    <w:rsid w:val="028D1EB9"/>
    <w:rsid w:val="028D2FBF"/>
    <w:rsid w:val="028F64C2"/>
    <w:rsid w:val="029370C7"/>
    <w:rsid w:val="029C58B6"/>
    <w:rsid w:val="029C7EFD"/>
    <w:rsid w:val="02A50666"/>
    <w:rsid w:val="02A733A2"/>
    <w:rsid w:val="02AC0C4D"/>
    <w:rsid w:val="02B14CA8"/>
    <w:rsid w:val="02CD27A8"/>
    <w:rsid w:val="02E1031D"/>
    <w:rsid w:val="02E5364E"/>
    <w:rsid w:val="02FC5869"/>
    <w:rsid w:val="0317511F"/>
    <w:rsid w:val="0329678E"/>
    <w:rsid w:val="033042D4"/>
    <w:rsid w:val="03450CB0"/>
    <w:rsid w:val="03475AAF"/>
    <w:rsid w:val="03572688"/>
    <w:rsid w:val="038A588A"/>
    <w:rsid w:val="0395440F"/>
    <w:rsid w:val="039A6230"/>
    <w:rsid w:val="03A56875"/>
    <w:rsid w:val="03A74FDF"/>
    <w:rsid w:val="03B84CAB"/>
    <w:rsid w:val="03CA638C"/>
    <w:rsid w:val="03D96BFE"/>
    <w:rsid w:val="03DF4097"/>
    <w:rsid w:val="03E20C37"/>
    <w:rsid w:val="03E24D50"/>
    <w:rsid w:val="03E9547A"/>
    <w:rsid w:val="04034076"/>
    <w:rsid w:val="040A2ABE"/>
    <w:rsid w:val="041B3550"/>
    <w:rsid w:val="041C2AD0"/>
    <w:rsid w:val="041D6BCE"/>
    <w:rsid w:val="04210014"/>
    <w:rsid w:val="04260400"/>
    <w:rsid w:val="042A0462"/>
    <w:rsid w:val="043A21D4"/>
    <w:rsid w:val="043C3BFF"/>
    <w:rsid w:val="04403C62"/>
    <w:rsid w:val="045062B8"/>
    <w:rsid w:val="04656C99"/>
    <w:rsid w:val="04717777"/>
    <w:rsid w:val="04756A6F"/>
    <w:rsid w:val="04764CCF"/>
    <w:rsid w:val="047B15E6"/>
    <w:rsid w:val="047E006C"/>
    <w:rsid w:val="047E7038"/>
    <w:rsid w:val="048059D5"/>
    <w:rsid w:val="048765FD"/>
    <w:rsid w:val="048E76C4"/>
    <w:rsid w:val="048F78C6"/>
    <w:rsid w:val="04911AC8"/>
    <w:rsid w:val="04981AFF"/>
    <w:rsid w:val="049D326C"/>
    <w:rsid w:val="049F5EA2"/>
    <w:rsid w:val="049F77AB"/>
    <w:rsid w:val="04A21A2A"/>
    <w:rsid w:val="04B45A7F"/>
    <w:rsid w:val="04CA256A"/>
    <w:rsid w:val="04CE0F70"/>
    <w:rsid w:val="04D87656"/>
    <w:rsid w:val="04DA46E1"/>
    <w:rsid w:val="04E20DD1"/>
    <w:rsid w:val="04E90BD6"/>
    <w:rsid w:val="04ED1825"/>
    <w:rsid w:val="04F063E1"/>
    <w:rsid w:val="04F6192B"/>
    <w:rsid w:val="05045DBE"/>
    <w:rsid w:val="050510CA"/>
    <w:rsid w:val="05056D82"/>
    <w:rsid w:val="051545F8"/>
    <w:rsid w:val="05196FE8"/>
    <w:rsid w:val="05330914"/>
    <w:rsid w:val="05431F34"/>
    <w:rsid w:val="05477BB0"/>
    <w:rsid w:val="054E53C3"/>
    <w:rsid w:val="05597DA3"/>
    <w:rsid w:val="055F7B18"/>
    <w:rsid w:val="05636AC3"/>
    <w:rsid w:val="056F114B"/>
    <w:rsid w:val="05712B42"/>
    <w:rsid w:val="05A339C0"/>
    <w:rsid w:val="05A95A39"/>
    <w:rsid w:val="05AE6AD5"/>
    <w:rsid w:val="05B96B4E"/>
    <w:rsid w:val="05BB5375"/>
    <w:rsid w:val="05C55C85"/>
    <w:rsid w:val="05C57383"/>
    <w:rsid w:val="05C86F55"/>
    <w:rsid w:val="05D1531A"/>
    <w:rsid w:val="05DC112D"/>
    <w:rsid w:val="05E73C3B"/>
    <w:rsid w:val="05F0454A"/>
    <w:rsid w:val="05FF216B"/>
    <w:rsid w:val="060906FD"/>
    <w:rsid w:val="06222982"/>
    <w:rsid w:val="063F7B4D"/>
    <w:rsid w:val="065A6178"/>
    <w:rsid w:val="06617BCB"/>
    <w:rsid w:val="066862EC"/>
    <w:rsid w:val="068347D0"/>
    <w:rsid w:val="06B77DC0"/>
    <w:rsid w:val="06B8290A"/>
    <w:rsid w:val="06B972C6"/>
    <w:rsid w:val="06BB2D1A"/>
    <w:rsid w:val="06C455CF"/>
    <w:rsid w:val="06CB0CBF"/>
    <w:rsid w:val="06D01323"/>
    <w:rsid w:val="06DC2E8B"/>
    <w:rsid w:val="06E53B1D"/>
    <w:rsid w:val="06FA1EB8"/>
    <w:rsid w:val="07044413"/>
    <w:rsid w:val="07055BE6"/>
    <w:rsid w:val="071D3CB8"/>
    <w:rsid w:val="072036B4"/>
    <w:rsid w:val="073716DD"/>
    <w:rsid w:val="07432799"/>
    <w:rsid w:val="07474359"/>
    <w:rsid w:val="07490DD6"/>
    <w:rsid w:val="074A5C00"/>
    <w:rsid w:val="074B78AB"/>
    <w:rsid w:val="07541C13"/>
    <w:rsid w:val="075C3866"/>
    <w:rsid w:val="07616D6D"/>
    <w:rsid w:val="07621172"/>
    <w:rsid w:val="07805F5A"/>
    <w:rsid w:val="078B42EC"/>
    <w:rsid w:val="07956263"/>
    <w:rsid w:val="079647B5"/>
    <w:rsid w:val="07A73C1C"/>
    <w:rsid w:val="07B332B2"/>
    <w:rsid w:val="07B739FA"/>
    <w:rsid w:val="07B926C2"/>
    <w:rsid w:val="07BF3E08"/>
    <w:rsid w:val="07C3377E"/>
    <w:rsid w:val="07CC2C74"/>
    <w:rsid w:val="07E0043C"/>
    <w:rsid w:val="07E06F57"/>
    <w:rsid w:val="08025233"/>
    <w:rsid w:val="080800F3"/>
    <w:rsid w:val="082647B8"/>
    <w:rsid w:val="08265CF0"/>
    <w:rsid w:val="08327FE6"/>
    <w:rsid w:val="083D1619"/>
    <w:rsid w:val="085A6F43"/>
    <w:rsid w:val="08784B6C"/>
    <w:rsid w:val="08821A9C"/>
    <w:rsid w:val="0888458F"/>
    <w:rsid w:val="089538A4"/>
    <w:rsid w:val="0897712C"/>
    <w:rsid w:val="08A96CC2"/>
    <w:rsid w:val="08AA2000"/>
    <w:rsid w:val="08AC7C46"/>
    <w:rsid w:val="08AE3149"/>
    <w:rsid w:val="08B30107"/>
    <w:rsid w:val="08BD5962"/>
    <w:rsid w:val="08C01D56"/>
    <w:rsid w:val="08DA2D14"/>
    <w:rsid w:val="08DB073E"/>
    <w:rsid w:val="08DE3553"/>
    <w:rsid w:val="08F278B8"/>
    <w:rsid w:val="08F700C6"/>
    <w:rsid w:val="08F80725"/>
    <w:rsid w:val="092C6907"/>
    <w:rsid w:val="093843DD"/>
    <w:rsid w:val="09545063"/>
    <w:rsid w:val="095E0E59"/>
    <w:rsid w:val="09687168"/>
    <w:rsid w:val="09732B03"/>
    <w:rsid w:val="097F065A"/>
    <w:rsid w:val="097F3EBB"/>
    <w:rsid w:val="09891CE5"/>
    <w:rsid w:val="098A1833"/>
    <w:rsid w:val="099346C1"/>
    <w:rsid w:val="099E5015"/>
    <w:rsid w:val="09A301DE"/>
    <w:rsid w:val="09A34878"/>
    <w:rsid w:val="09B329F7"/>
    <w:rsid w:val="09C40713"/>
    <w:rsid w:val="09C74F1B"/>
    <w:rsid w:val="09CE7975"/>
    <w:rsid w:val="09D333AB"/>
    <w:rsid w:val="09D83C8A"/>
    <w:rsid w:val="09E23546"/>
    <w:rsid w:val="09F46CE4"/>
    <w:rsid w:val="09FE2009"/>
    <w:rsid w:val="0A0215CA"/>
    <w:rsid w:val="0A140F7A"/>
    <w:rsid w:val="0A1E22DE"/>
    <w:rsid w:val="0A1F7B28"/>
    <w:rsid w:val="0A2A2BC5"/>
    <w:rsid w:val="0A36774D"/>
    <w:rsid w:val="0A49096C"/>
    <w:rsid w:val="0A49662C"/>
    <w:rsid w:val="0A5115FC"/>
    <w:rsid w:val="0A534AFF"/>
    <w:rsid w:val="0A590C06"/>
    <w:rsid w:val="0A5A3BD5"/>
    <w:rsid w:val="0A5B65A1"/>
    <w:rsid w:val="0A5C798D"/>
    <w:rsid w:val="0A5E0A8D"/>
    <w:rsid w:val="0A7D3976"/>
    <w:rsid w:val="0A8E365F"/>
    <w:rsid w:val="0A9D0885"/>
    <w:rsid w:val="0A9E7973"/>
    <w:rsid w:val="0AA756FD"/>
    <w:rsid w:val="0AB03E53"/>
    <w:rsid w:val="0ABB3229"/>
    <w:rsid w:val="0AC14C9F"/>
    <w:rsid w:val="0AF20EBA"/>
    <w:rsid w:val="0AFA304B"/>
    <w:rsid w:val="0B003C93"/>
    <w:rsid w:val="0B147891"/>
    <w:rsid w:val="0B384045"/>
    <w:rsid w:val="0B3D7760"/>
    <w:rsid w:val="0B4238D1"/>
    <w:rsid w:val="0B4E7FAF"/>
    <w:rsid w:val="0B4F5D7A"/>
    <w:rsid w:val="0B57147F"/>
    <w:rsid w:val="0B59526D"/>
    <w:rsid w:val="0B5D4FB1"/>
    <w:rsid w:val="0B8217A7"/>
    <w:rsid w:val="0B982CEB"/>
    <w:rsid w:val="0B9A0DF3"/>
    <w:rsid w:val="0BBE6C5C"/>
    <w:rsid w:val="0BC40B3A"/>
    <w:rsid w:val="0BC56356"/>
    <w:rsid w:val="0BCA072B"/>
    <w:rsid w:val="0BD571F9"/>
    <w:rsid w:val="0BE24160"/>
    <w:rsid w:val="0BEA7A78"/>
    <w:rsid w:val="0BEF6B49"/>
    <w:rsid w:val="0BF07E05"/>
    <w:rsid w:val="0C0C154F"/>
    <w:rsid w:val="0C1002D8"/>
    <w:rsid w:val="0C152E54"/>
    <w:rsid w:val="0C1B7077"/>
    <w:rsid w:val="0C211877"/>
    <w:rsid w:val="0C2869AF"/>
    <w:rsid w:val="0C293400"/>
    <w:rsid w:val="0C4D0EE7"/>
    <w:rsid w:val="0C4D233B"/>
    <w:rsid w:val="0C522046"/>
    <w:rsid w:val="0C5C1EF2"/>
    <w:rsid w:val="0C695FEE"/>
    <w:rsid w:val="0C756849"/>
    <w:rsid w:val="0C7E5800"/>
    <w:rsid w:val="0C7F1085"/>
    <w:rsid w:val="0C8E76FA"/>
    <w:rsid w:val="0C9153AE"/>
    <w:rsid w:val="0C9621A1"/>
    <w:rsid w:val="0C9E1388"/>
    <w:rsid w:val="0CA971D2"/>
    <w:rsid w:val="0CAB1A37"/>
    <w:rsid w:val="0CBA3508"/>
    <w:rsid w:val="0CBE44D6"/>
    <w:rsid w:val="0CC03EC0"/>
    <w:rsid w:val="0CC44639"/>
    <w:rsid w:val="0CCB3AAA"/>
    <w:rsid w:val="0CD81E57"/>
    <w:rsid w:val="0CDB5E31"/>
    <w:rsid w:val="0D07357E"/>
    <w:rsid w:val="0D11117F"/>
    <w:rsid w:val="0D1622D8"/>
    <w:rsid w:val="0D1A078A"/>
    <w:rsid w:val="0D1A3B3F"/>
    <w:rsid w:val="0D1E5593"/>
    <w:rsid w:val="0D23109A"/>
    <w:rsid w:val="0D23491D"/>
    <w:rsid w:val="0D397769"/>
    <w:rsid w:val="0D3B6E3F"/>
    <w:rsid w:val="0D42194E"/>
    <w:rsid w:val="0D471659"/>
    <w:rsid w:val="0D617CD2"/>
    <w:rsid w:val="0D625363"/>
    <w:rsid w:val="0D6F1E77"/>
    <w:rsid w:val="0D844CBA"/>
    <w:rsid w:val="0D852A8F"/>
    <w:rsid w:val="0D8C2D3F"/>
    <w:rsid w:val="0DAC357C"/>
    <w:rsid w:val="0DAD4096"/>
    <w:rsid w:val="0DBA1EA2"/>
    <w:rsid w:val="0DBF5D40"/>
    <w:rsid w:val="0DC734B7"/>
    <w:rsid w:val="0DCF6FB4"/>
    <w:rsid w:val="0DD513A6"/>
    <w:rsid w:val="0DE201D3"/>
    <w:rsid w:val="0DE61DEE"/>
    <w:rsid w:val="0DEE1A67"/>
    <w:rsid w:val="0DEF2B92"/>
    <w:rsid w:val="0E074F17"/>
    <w:rsid w:val="0E1A09FC"/>
    <w:rsid w:val="0E231F18"/>
    <w:rsid w:val="0E2579C3"/>
    <w:rsid w:val="0E3715AD"/>
    <w:rsid w:val="0E444F68"/>
    <w:rsid w:val="0E5669CC"/>
    <w:rsid w:val="0E605813"/>
    <w:rsid w:val="0E653FC6"/>
    <w:rsid w:val="0E7145BF"/>
    <w:rsid w:val="0EA12B90"/>
    <w:rsid w:val="0EA27FF1"/>
    <w:rsid w:val="0EB35EB5"/>
    <w:rsid w:val="0EB77F16"/>
    <w:rsid w:val="0ED50D56"/>
    <w:rsid w:val="0ED92793"/>
    <w:rsid w:val="0EDA67FD"/>
    <w:rsid w:val="0EEA3DF6"/>
    <w:rsid w:val="0F133A4D"/>
    <w:rsid w:val="0F1605D0"/>
    <w:rsid w:val="0F167E67"/>
    <w:rsid w:val="0F267565"/>
    <w:rsid w:val="0F32642B"/>
    <w:rsid w:val="0F3869C6"/>
    <w:rsid w:val="0F4C5227"/>
    <w:rsid w:val="0F514F32"/>
    <w:rsid w:val="0F550903"/>
    <w:rsid w:val="0F596ABB"/>
    <w:rsid w:val="0F6428CD"/>
    <w:rsid w:val="0F6E2139"/>
    <w:rsid w:val="0F7450E6"/>
    <w:rsid w:val="0F775888"/>
    <w:rsid w:val="0F8D3247"/>
    <w:rsid w:val="0F8F6310"/>
    <w:rsid w:val="0F9173D2"/>
    <w:rsid w:val="0F983C03"/>
    <w:rsid w:val="0FB74B05"/>
    <w:rsid w:val="0FBC27AE"/>
    <w:rsid w:val="0FCF1F7D"/>
    <w:rsid w:val="0FD35A15"/>
    <w:rsid w:val="0FD45FF9"/>
    <w:rsid w:val="0FD61B7B"/>
    <w:rsid w:val="0FD77389"/>
    <w:rsid w:val="0FDA030E"/>
    <w:rsid w:val="0FDF5ACE"/>
    <w:rsid w:val="0FF653EE"/>
    <w:rsid w:val="0FFA3053"/>
    <w:rsid w:val="0FFC4455"/>
    <w:rsid w:val="100E0BE0"/>
    <w:rsid w:val="1019618D"/>
    <w:rsid w:val="101E4A41"/>
    <w:rsid w:val="10250CA7"/>
    <w:rsid w:val="103160ED"/>
    <w:rsid w:val="10345232"/>
    <w:rsid w:val="1039742E"/>
    <w:rsid w:val="103B0DDF"/>
    <w:rsid w:val="1041483A"/>
    <w:rsid w:val="104457BF"/>
    <w:rsid w:val="1050726A"/>
    <w:rsid w:val="10560F5C"/>
    <w:rsid w:val="10591B8F"/>
    <w:rsid w:val="1059665E"/>
    <w:rsid w:val="105B53E4"/>
    <w:rsid w:val="105F3DEA"/>
    <w:rsid w:val="10631DE9"/>
    <w:rsid w:val="10680DAC"/>
    <w:rsid w:val="10714592"/>
    <w:rsid w:val="10726E9B"/>
    <w:rsid w:val="108407A7"/>
    <w:rsid w:val="1085402A"/>
    <w:rsid w:val="108654B0"/>
    <w:rsid w:val="108F632F"/>
    <w:rsid w:val="10933284"/>
    <w:rsid w:val="10975474"/>
    <w:rsid w:val="109C5E4D"/>
    <w:rsid w:val="10A235DA"/>
    <w:rsid w:val="10A42C36"/>
    <w:rsid w:val="10A44047"/>
    <w:rsid w:val="10A90C42"/>
    <w:rsid w:val="10AE47E3"/>
    <w:rsid w:val="10BA46D9"/>
    <w:rsid w:val="10C3357D"/>
    <w:rsid w:val="10C42C5F"/>
    <w:rsid w:val="10CC018F"/>
    <w:rsid w:val="10CE4DB3"/>
    <w:rsid w:val="10CF132C"/>
    <w:rsid w:val="10CF3CC2"/>
    <w:rsid w:val="10D636D4"/>
    <w:rsid w:val="10E16C1F"/>
    <w:rsid w:val="110075DA"/>
    <w:rsid w:val="110D5292"/>
    <w:rsid w:val="11162911"/>
    <w:rsid w:val="11200625"/>
    <w:rsid w:val="112160A6"/>
    <w:rsid w:val="11220546"/>
    <w:rsid w:val="11276FA8"/>
    <w:rsid w:val="113D4A90"/>
    <w:rsid w:val="113E0571"/>
    <w:rsid w:val="11426CB3"/>
    <w:rsid w:val="114D3A73"/>
    <w:rsid w:val="11551FE1"/>
    <w:rsid w:val="115A7505"/>
    <w:rsid w:val="11665200"/>
    <w:rsid w:val="116A6EE2"/>
    <w:rsid w:val="116B1C6B"/>
    <w:rsid w:val="116B5BF0"/>
    <w:rsid w:val="117117D4"/>
    <w:rsid w:val="11756128"/>
    <w:rsid w:val="117732F8"/>
    <w:rsid w:val="1178778B"/>
    <w:rsid w:val="117A65BF"/>
    <w:rsid w:val="119871F7"/>
    <w:rsid w:val="119E78CE"/>
    <w:rsid w:val="11B2460D"/>
    <w:rsid w:val="11BB6D82"/>
    <w:rsid w:val="11C86E94"/>
    <w:rsid w:val="11D72352"/>
    <w:rsid w:val="11DA68AB"/>
    <w:rsid w:val="11DD3DE9"/>
    <w:rsid w:val="11ED44F6"/>
    <w:rsid w:val="11FC63D9"/>
    <w:rsid w:val="12015DC6"/>
    <w:rsid w:val="120B26DD"/>
    <w:rsid w:val="120C4DAA"/>
    <w:rsid w:val="120D2384"/>
    <w:rsid w:val="120E5B94"/>
    <w:rsid w:val="12136A07"/>
    <w:rsid w:val="1232579A"/>
    <w:rsid w:val="123B001A"/>
    <w:rsid w:val="124D4262"/>
    <w:rsid w:val="12625C18"/>
    <w:rsid w:val="1274275D"/>
    <w:rsid w:val="12790BF9"/>
    <w:rsid w:val="128846F4"/>
    <w:rsid w:val="128E2ED3"/>
    <w:rsid w:val="129B1CEC"/>
    <w:rsid w:val="12AB71DF"/>
    <w:rsid w:val="12CD086E"/>
    <w:rsid w:val="12D95A24"/>
    <w:rsid w:val="12DD5483"/>
    <w:rsid w:val="12DF0986"/>
    <w:rsid w:val="12E3158A"/>
    <w:rsid w:val="12F14123"/>
    <w:rsid w:val="12F81635"/>
    <w:rsid w:val="12FA11B0"/>
    <w:rsid w:val="130A4BB6"/>
    <w:rsid w:val="131F00EB"/>
    <w:rsid w:val="13236607"/>
    <w:rsid w:val="13280AA0"/>
    <w:rsid w:val="1331578D"/>
    <w:rsid w:val="1334692D"/>
    <w:rsid w:val="13364A6F"/>
    <w:rsid w:val="134C0C79"/>
    <w:rsid w:val="134E56D5"/>
    <w:rsid w:val="134E6D34"/>
    <w:rsid w:val="1350413D"/>
    <w:rsid w:val="13534B8D"/>
    <w:rsid w:val="1360319F"/>
    <w:rsid w:val="1364430D"/>
    <w:rsid w:val="13701C9F"/>
    <w:rsid w:val="13721605"/>
    <w:rsid w:val="137E1789"/>
    <w:rsid w:val="13933070"/>
    <w:rsid w:val="13960AA4"/>
    <w:rsid w:val="13A51648"/>
    <w:rsid w:val="13BA15EE"/>
    <w:rsid w:val="13C95863"/>
    <w:rsid w:val="13D23411"/>
    <w:rsid w:val="13E001A9"/>
    <w:rsid w:val="13E620B2"/>
    <w:rsid w:val="13E919C2"/>
    <w:rsid w:val="13EB76E8"/>
    <w:rsid w:val="14052040"/>
    <w:rsid w:val="14314BE4"/>
    <w:rsid w:val="14380CB3"/>
    <w:rsid w:val="14423CF0"/>
    <w:rsid w:val="14476C53"/>
    <w:rsid w:val="14570DBC"/>
    <w:rsid w:val="1467242C"/>
    <w:rsid w:val="14702016"/>
    <w:rsid w:val="14743081"/>
    <w:rsid w:val="14806DFA"/>
    <w:rsid w:val="148E1F0E"/>
    <w:rsid w:val="14911435"/>
    <w:rsid w:val="14950F51"/>
    <w:rsid w:val="14B013C1"/>
    <w:rsid w:val="14C065AD"/>
    <w:rsid w:val="14C44E9C"/>
    <w:rsid w:val="14C46042"/>
    <w:rsid w:val="14D03633"/>
    <w:rsid w:val="14DC065D"/>
    <w:rsid w:val="14F672E5"/>
    <w:rsid w:val="150C33B0"/>
    <w:rsid w:val="152165B6"/>
    <w:rsid w:val="15265AB9"/>
    <w:rsid w:val="152C263C"/>
    <w:rsid w:val="1549623A"/>
    <w:rsid w:val="155F7D2F"/>
    <w:rsid w:val="15612949"/>
    <w:rsid w:val="15646BFB"/>
    <w:rsid w:val="156C5731"/>
    <w:rsid w:val="156F653B"/>
    <w:rsid w:val="158C6BA6"/>
    <w:rsid w:val="15967CB1"/>
    <w:rsid w:val="15992D7D"/>
    <w:rsid w:val="159B2C9C"/>
    <w:rsid w:val="15AE392C"/>
    <w:rsid w:val="15B02D02"/>
    <w:rsid w:val="15BF2FBD"/>
    <w:rsid w:val="15C710C8"/>
    <w:rsid w:val="15D15ACC"/>
    <w:rsid w:val="15D8645B"/>
    <w:rsid w:val="15DD2AA0"/>
    <w:rsid w:val="15ED09F8"/>
    <w:rsid w:val="15FB1677"/>
    <w:rsid w:val="16082D2D"/>
    <w:rsid w:val="160B79BE"/>
    <w:rsid w:val="161F49A1"/>
    <w:rsid w:val="162A266C"/>
    <w:rsid w:val="16410BAF"/>
    <w:rsid w:val="16516CA8"/>
    <w:rsid w:val="16520B2D"/>
    <w:rsid w:val="16692461"/>
    <w:rsid w:val="16832E47"/>
    <w:rsid w:val="16951A38"/>
    <w:rsid w:val="16A05393"/>
    <w:rsid w:val="16A529A5"/>
    <w:rsid w:val="16A92BBA"/>
    <w:rsid w:val="16C759ED"/>
    <w:rsid w:val="16D26E1F"/>
    <w:rsid w:val="16E15A24"/>
    <w:rsid w:val="16E3365C"/>
    <w:rsid w:val="16E939A4"/>
    <w:rsid w:val="17084259"/>
    <w:rsid w:val="17096457"/>
    <w:rsid w:val="170E1E3C"/>
    <w:rsid w:val="171343D3"/>
    <w:rsid w:val="17135EB5"/>
    <w:rsid w:val="171C31D9"/>
    <w:rsid w:val="172005F8"/>
    <w:rsid w:val="1732642E"/>
    <w:rsid w:val="17377083"/>
    <w:rsid w:val="1741209D"/>
    <w:rsid w:val="17492C16"/>
    <w:rsid w:val="174A6B51"/>
    <w:rsid w:val="175D2523"/>
    <w:rsid w:val="176432ED"/>
    <w:rsid w:val="176D617B"/>
    <w:rsid w:val="17733477"/>
    <w:rsid w:val="17734833"/>
    <w:rsid w:val="177F771A"/>
    <w:rsid w:val="17814E1C"/>
    <w:rsid w:val="1785591F"/>
    <w:rsid w:val="178640B0"/>
    <w:rsid w:val="178B572B"/>
    <w:rsid w:val="179F6AC6"/>
    <w:rsid w:val="17BF58E1"/>
    <w:rsid w:val="17C20386"/>
    <w:rsid w:val="17CA50B8"/>
    <w:rsid w:val="17D63DED"/>
    <w:rsid w:val="17DA5EDB"/>
    <w:rsid w:val="18000F6D"/>
    <w:rsid w:val="1817029E"/>
    <w:rsid w:val="181C26CE"/>
    <w:rsid w:val="182C1626"/>
    <w:rsid w:val="1832394E"/>
    <w:rsid w:val="184503DD"/>
    <w:rsid w:val="1850071C"/>
    <w:rsid w:val="18530C97"/>
    <w:rsid w:val="1854505C"/>
    <w:rsid w:val="18573B7A"/>
    <w:rsid w:val="18606084"/>
    <w:rsid w:val="18727ABB"/>
    <w:rsid w:val="187569AE"/>
    <w:rsid w:val="187B5FA3"/>
    <w:rsid w:val="187C7D9B"/>
    <w:rsid w:val="187F2B40"/>
    <w:rsid w:val="188C4E86"/>
    <w:rsid w:val="189C3B46"/>
    <w:rsid w:val="189D20A8"/>
    <w:rsid w:val="18A66D40"/>
    <w:rsid w:val="18A870BD"/>
    <w:rsid w:val="18A93985"/>
    <w:rsid w:val="18AE7089"/>
    <w:rsid w:val="18AF588E"/>
    <w:rsid w:val="18B27D7E"/>
    <w:rsid w:val="18C61D92"/>
    <w:rsid w:val="18CC2A5F"/>
    <w:rsid w:val="18CC5838"/>
    <w:rsid w:val="18DF705A"/>
    <w:rsid w:val="18E17362"/>
    <w:rsid w:val="18F046F4"/>
    <w:rsid w:val="18F12AFC"/>
    <w:rsid w:val="18F1676E"/>
    <w:rsid w:val="18FA4ADE"/>
    <w:rsid w:val="19052F38"/>
    <w:rsid w:val="190B2724"/>
    <w:rsid w:val="191724BE"/>
    <w:rsid w:val="19194D13"/>
    <w:rsid w:val="19272616"/>
    <w:rsid w:val="193070E1"/>
    <w:rsid w:val="19345AE7"/>
    <w:rsid w:val="193733CD"/>
    <w:rsid w:val="19444CB9"/>
    <w:rsid w:val="19482447"/>
    <w:rsid w:val="194F2339"/>
    <w:rsid w:val="19504D0E"/>
    <w:rsid w:val="195F4CC1"/>
    <w:rsid w:val="196C14C4"/>
    <w:rsid w:val="197752D7"/>
    <w:rsid w:val="19800165"/>
    <w:rsid w:val="199B1FB6"/>
    <w:rsid w:val="19A32800"/>
    <w:rsid w:val="19A63505"/>
    <w:rsid w:val="19A805F0"/>
    <w:rsid w:val="19AF35F4"/>
    <w:rsid w:val="19B35367"/>
    <w:rsid w:val="19DF017E"/>
    <w:rsid w:val="19E6338C"/>
    <w:rsid w:val="19ED4F15"/>
    <w:rsid w:val="1A07319C"/>
    <w:rsid w:val="1A0A6EFC"/>
    <w:rsid w:val="1A182C39"/>
    <w:rsid w:val="1A1D658C"/>
    <w:rsid w:val="1A422421"/>
    <w:rsid w:val="1A446399"/>
    <w:rsid w:val="1A491DAC"/>
    <w:rsid w:val="1A496165"/>
    <w:rsid w:val="1A587471"/>
    <w:rsid w:val="1A5A3ECB"/>
    <w:rsid w:val="1A657865"/>
    <w:rsid w:val="1A6735DD"/>
    <w:rsid w:val="1A743B7B"/>
    <w:rsid w:val="1A7C1E4F"/>
    <w:rsid w:val="1A9966B3"/>
    <w:rsid w:val="1AAA245C"/>
    <w:rsid w:val="1AC82087"/>
    <w:rsid w:val="1AC9749B"/>
    <w:rsid w:val="1ACC0FC0"/>
    <w:rsid w:val="1ACF4287"/>
    <w:rsid w:val="1ADE22D4"/>
    <w:rsid w:val="1AE14473"/>
    <w:rsid w:val="1AE46E04"/>
    <w:rsid w:val="1AEF1FDB"/>
    <w:rsid w:val="1AF747AA"/>
    <w:rsid w:val="1AFC50D3"/>
    <w:rsid w:val="1B0118C8"/>
    <w:rsid w:val="1B034A5E"/>
    <w:rsid w:val="1B097B15"/>
    <w:rsid w:val="1B0B1E6A"/>
    <w:rsid w:val="1B155FFD"/>
    <w:rsid w:val="1B2A1C24"/>
    <w:rsid w:val="1B5F5177"/>
    <w:rsid w:val="1B726903"/>
    <w:rsid w:val="1B8141B9"/>
    <w:rsid w:val="1B8E3CB1"/>
    <w:rsid w:val="1B9D0A7B"/>
    <w:rsid w:val="1B9F6FD2"/>
    <w:rsid w:val="1BAE077A"/>
    <w:rsid w:val="1BB64420"/>
    <w:rsid w:val="1BC87008"/>
    <w:rsid w:val="1BD30113"/>
    <w:rsid w:val="1BD318B3"/>
    <w:rsid w:val="1BDF4295"/>
    <w:rsid w:val="1BE20B18"/>
    <w:rsid w:val="1BE903CE"/>
    <w:rsid w:val="1BFB7D2E"/>
    <w:rsid w:val="1BFC2A77"/>
    <w:rsid w:val="1BFC55E9"/>
    <w:rsid w:val="1BFE5F7A"/>
    <w:rsid w:val="1C0164EF"/>
    <w:rsid w:val="1C1B2BDB"/>
    <w:rsid w:val="1C1E137E"/>
    <w:rsid w:val="1C2B20AB"/>
    <w:rsid w:val="1C345D0C"/>
    <w:rsid w:val="1C3C1FC3"/>
    <w:rsid w:val="1C512181"/>
    <w:rsid w:val="1C574D14"/>
    <w:rsid w:val="1C5F17BF"/>
    <w:rsid w:val="1C621AE3"/>
    <w:rsid w:val="1C6C76D3"/>
    <w:rsid w:val="1C744CBF"/>
    <w:rsid w:val="1C9B4FA4"/>
    <w:rsid w:val="1C9E783F"/>
    <w:rsid w:val="1C9F2C50"/>
    <w:rsid w:val="1C9F2FBD"/>
    <w:rsid w:val="1CB0381F"/>
    <w:rsid w:val="1CB15565"/>
    <w:rsid w:val="1CCF5699"/>
    <w:rsid w:val="1CD77F55"/>
    <w:rsid w:val="1CDF26CD"/>
    <w:rsid w:val="1CE56278"/>
    <w:rsid w:val="1CEB38FB"/>
    <w:rsid w:val="1CF63F94"/>
    <w:rsid w:val="1D0760A4"/>
    <w:rsid w:val="1D0F3839"/>
    <w:rsid w:val="1D3D6906"/>
    <w:rsid w:val="1D4012A6"/>
    <w:rsid w:val="1D4051C2"/>
    <w:rsid w:val="1D40656F"/>
    <w:rsid w:val="1D621BDF"/>
    <w:rsid w:val="1D682FCE"/>
    <w:rsid w:val="1D7B096A"/>
    <w:rsid w:val="1D86134C"/>
    <w:rsid w:val="1D991E18"/>
    <w:rsid w:val="1DA62AB3"/>
    <w:rsid w:val="1DA653E3"/>
    <w:rsid w:val="1DB72FCD"/>
    <w:rsid w:val="1DC5113B"/>
    <w:rsid w:val="1DC762C3"/>
    <w:rsid w:val="1DCD3513"/>
    <w:rsid w:val="1DD36DFA"/>
    <w:rsid w:val="1DDF0796"/>
    <w:rsid w:val="1DE52597"/>
    <w:rsid w:val="1E073DD1"/>
    <w:rsid w:val="1E1E1068"/>
    <w:rsid w:val="1E2C702C"/>
    <w:rsid w:val="1E345B9A"/>
    <w:rsid w:val="1E432C32"/>
    <w:rsid w:val="1E461AD7"/>
    <w:rsid w:val="1E4B4A8F"/>
    <w:rsid w:val="1E532BCB"/>
    <w:rsid w:val="1E5D5AEF"/>
    <w:rsid w:val="1E651355"/>
    <w:rsid w:val="1E6961B3"/>
    <w:rsid w:val="1E6A50EC"/>
    <w:rsid w:val="1E6B3AF5"/>
    <w:rsid w:val="1E8451CC"/>
    <w:rsid w:val="1E880834"/>
    <w:rsid w:val="1EA73499"/>
    <w:rsid w:val="1EA8390E"/>
    <w:rsid w:val="1EAD251D"/>
    <w:rsid w:val="1EB27541"/>
    <w:rsid w:val="1EBF39BF"/>
    <w:rsid w:val="1EC074D7"/>
    <w:rsid w:val="1ED20022"/>
    <w:rsid w:val="1ED37FC8"/>
    <w:rsid w:val="1EDF38F9"/>
    <w:rsid w:val="1EFB17B1"/>
    <w:rsid w:val="1F006B63"/>
    <w:rsid w:val="1F145F98"/>
    <w:rsid w:val="1F184F13"/>
    <w:rsid w:val="1F1D1ACD"/>
    <w:rsid w:val="1F2A58EE"/>
    <w:rsid w:val="1F2D0E29"/>
    <w:rsid w:val="1F382D9D"/>
    <w:rsid w:val="1F4F75EB"/>
    <w:rsid w:val="1F523DF3"/>
    <w:rsid w:val="1F565A45"/>
    <w:rsid w:val="1F7A5EB1"/>
    <w:rsid w:val="1F8337AA"/>
    <w:rsid w:val="1F837642"/>
    <w:rsid w:val="1F8F254F"/>
    <w:rsid w:val="1F921359"/>
    <w:rsid w:val="1FA235C6"/>
    <w:rsid w:val="1FA94802"/>
    <w:rsid w:val="1FAF67D1"/>
    <w:rsid w:val="1FB24525"/>
    <w:rsid w:val="1FCC3DF9"/>
    <w:rsid w:val="1FD54A52"/>
    <w:rsid w:val="1FD75D0C"/>
    <w:rsid w:val="1FDB474F"/>
    <w:rsid w:val="1FEB4B59"/>
    <w:rsid w:val="1FF02EF0"/>
    <w:rsid w:val="1FFA5275"/>
    <w:rsid w:val="1FFC6DF9"/>
    <w:rsid w:val="20007BA3"/>
    <w:rsid w:val="20063966"/>
    <w:rsid w:val="200E322C"/>
    <w:rsid w:val="201E3372"/>
    <w:rsid w:val="20204A58"/>
    <w:rsid w:val="2023593B"/>
    <w:rsid w:val="202872CE"/>
    <w:rsid w:val="202E11D8"/>
    <w:rsid w:val="20400323"/>
    <w:rsid w:val="204A2D08"/>
    <w:rsid w:val="20523CE5"/>
    <w:rsid w:val="20584D29"/>
    <w:rsid w:val="206440F3"/>
    <w:rsid w:val="206C2341"/>
    <w:rsid w:val="207C25DC"/>
    <w:rsid w:val="207E7767"/>
    <w:rsid w:val="20833201"/>
    <w:rsid w:val="20943C05"/>
    <w:rsid w:val="20954B49"/>
    <w:rsid w:val="209B6169"/>
    <w:rsid w:val="20A9366B"/>
    <w:rsid w:val="20B63B8F"/>
    <w:rsid w:val="20C773EE"/>
    <w:rsid w:val="20C94425"/>
    <w:rsid w:val="20CF1167"/>
    <w:rsid w:val="20D65565"/>
    <w:rsid w:val="20FA45A8"/>
    <w:rsid w:val="21007088"/>
    <w:rsid w:val="210322B3"/>
    <w:rsid w:val="2105686C"/>
    <w:rsid w:val="210D42CD"/>
    <w:rsid w:val="2111724C"/>
    <w:rsid w:val="211E735D"/>
    <w:rsid w:val="212277EE"/>
    <w:rsid w:val="212B6839"/>
    <w:rsid w:val="2131389E"/>
    <w:rsid w:val="2132558F"/>
    <w:rsid w:val="21334238"/>
    <w:rsid w:val="213C2123"/>
    <w:rsid w:val="213D6177"/>
    <w:rsid w:val="21460A7A"/>
    <w:rsid w:val="21613B53"/>
    <w:rsid w:val="216337D3"/>
    <w:rsid w:val="21723DED"/>
    <w:rsid w:val="217414EF"/>
    <w:rsid w:val="21774B7F"/>
    <w:rsid w:val="2180753C"/>
    <w:rsid w:val="219F63CB"/>
    <w:rsid w:val="21A93913"/>
    <w:rsid w:val="21CF569A"/>
    <w:rsid w:val="21DA5274"/>
    <w:rsid w:val="21DA6607"/>
    <w:rsid w:val="21DE1E52"/>
    <w:rsid w:val="21E52AA7"/>
    <w:rsid w:val="21F45F36"/>
    <w:rsid w:val="21FB04CE"/>
    <w:rsid w:val="22135C6E"/>
    <w:rsid w:val="221B5875"/>
    <w:rsid w:val="221E351F"/>
    <w:rsid w:val="22203528"/>
    <w:rsid w:val="22253423"/>
    <w:rsid w:val="22315968"/>
    <w:rsid w:val="22321B7F"/>
    <w:rsid w:val="22395DB5"/>
    <w:rsid w:val="223E4AD4"/>
    <w:rsid w:val="22412D39"/>
    <w:rsid w:val="22424B65"/>
    <w:rsid w:val="224B1552"/>
    <w:rsid w:val="224C6FD4"/>
    <w:rsid w:val="224E24D7"/>
    <w:rsid w:val="22525AD8"/>
    <w:rsid w:val="226D6A16"/>
    <w:rsid w:val="227A2C39"/>
    <w:rsid w:val="227E7C1C"/>
    <w:rsid w:val="228A1E97"/>
    <w:rsid w:val="228C2592"/>
    <w:rsid w:val="229226CF"/>
    <w:rsid w:val="22954E49"/>
    <w:rsid w:val="22B01277"/>
    <w:rsid w:val="22C47F17"/>
    <w:rsid w:val="22CA6772"/>
    <w:rsid w:val="22E92B9D"/>
    <w:rsid w:val="22EB630E"/>
    <w:rsid w:val="22F1555F"/>
    <w:rsid w:val="22F42C65"/>
    <w:rsid w:val="22FB0071"/>
    <w:rsid w:val="22FE0FF6"/>
    <w:rsid w:val="2305446B"/>
    <w:rsid w:val="23085E7A"/>
    <w:rsid w:val="230F1290"/>
    <w:rsid w:val="232031B5"/>
    <w:rsid w:val="23366EF6"/>
    <w:rsid w:val="23375895"/>
    <w:rsid w:val="23430D00"/>
    <w:rsid w:val="23485F72"/>
    <w:rsid w:val="234D6DF0"/>
    <w:rsid w:val="235C493E"/>
    <w:rsid w:val="236073AE"/>
    <w:rsid w:val="23703BE3"/>
    <w:rsid w:val="23773763"/>
    <w:rsid w:val="237B2E39"/>
    <w:rsid w:val="23A25387"/>
    <w:rsid w:val="23A6588F"/>
    <w:rsid w:val="23AF3A46"/>
    <w:rsid w:val="23AF490C"/>
    <w:rsid w:val="23C6713C"/>
    <w:rsid w:val="23D17183"/>
    <w:rsid w:val="23D20D30"/>
    <w:rsid w:val="23D24851"/>
    <w:rsid w:val="23D93622"/>
    <w:rsid w:val="23DA4DAE"/>
    <w:rsid w:val="23F2088A"/>
    <w:rsid w:val="24004C88"/>
    <w:rsid w:val="242048C0"/>
    <w:rsid w:val="24216055"/>
    <w:rsid w:val="243E0993"/>
    <w:rsid w:val="24685543"/>
    <w:rsid w:val="246E48B7"/>
    <w:rsid w:val="247104F9"/>
    <w:rsid w:val="24737C5E"/>
    <w:rsid w:val="247C3476"/>
    <w:rsid w:val="24922C19"/>
    <w:rsid w:val="249704D4"/>
    <w:rsid w:val="249D6663"/>
    <w:rsid w:val="24A372E3"/>
    <w:rsid w:val="24A90FA8"/>
    <w:rsid w:val="24CB7953"/>
    <w:rsid w:val="24D469A0"/>
    <w:rsid w:val="24D853AB"/>
    <w:rsid w:val="24E559AD"/>
    <w:rsid w:val="24E62DC3"/>
    <w:rsid w:val="24E649EE"/>
    <w:rsid w:val="24F03B63"/>
    <w:rsid w:val="250A5BD3"/>
    <w:rsid w:val="250B4BC8"/>
    <w:rsid w:val="250F386E"/>
    <w:rsid w:val="251C5810"/>
    <w:rsid w:val="2537799C"/>
    <w:rsid w:val="255C4A1C"/>
    <w:rsid w:val="255D517E"/>
    <w:rsid w:val="256A366E"/>
    <w:rsid w:val="256C399A"/>
    <w:rsid w:val="256C760C"/>
    <w:rsid w:val="256D0C8D"/>
    <w:rsid w:val="257A5BF5"/>
    <w:rsid w:val="25824598"/>
    <w:rsid w:val="258D2929"/>
    <w:rsid w:val="259A582D"/>
    <w:rsid w:val="259B2F43"/>
    <w:rsid w:val="25B327FD"/>
    <w:rsid w:val="25D2119D"/>
    <w:rsid w:val="25D81723"/>
    <w:rsid w:val="25D94FA6"/>
    <w:rsid w:val="25DE5A41"/>
    <w:rsid w:val="25E642BC"/>
    <w:rsid w:val="25FA69BB"/>
    <w:rsid w:val="25FF3B3B"/>
    <w:rsid w:val="2608627F"/>
    <w:rsid w:val="260B6A7A"/>
    <w:rsid w:val="260D1F7D"/>
    <w:rsid w:val="261B3491"/>
    <w:rsid w:val="261C4271"/>
    <w:rsid w:val="262772A4"/>
    <w:rsid w:val="26402A59"/>
    <w:rsid w:val="264231C7"/>
    <w:rsid w:val="26630B20"/>
    <w:rsid w:val="2668630C"/>
    <w:rsid w:val="26763C60"/>
    <w:rsid w:val="268D5A9A"/>
    <w:rsid w:val="26A86578"/>
    <w:rsid w:val="26B045B9"/>
    <w:rsid w:val="26B07208"/>
    <w:rsid w:val="26B24900"/>
    <w:rsid w:val="26B61FCA"/>
    <w:rsid w:val="26BB5599"/>
    <w:rsid w:val="26BC1808"/>
    <w:rsid w:val="26C329A6"/>
    <w:rsid w:val="26C34E03"/>
    <w:rsid w:val="26C962B7"/>
    <w:rsid w:val="26D65933"/>
    <w:rsid w:val="26D87F81"/>
    <w:rsid w:val="26E61C61"/>
    <w:rsid w:val="26F41682"/>
    <w:rsid w:val="26FC4953"/>
    <w:rsid w:val="27122DA5"/>
    <w:rsid w:val="27130AA0"/>
    <w:rsid w:val="271933B4"/>
    <w:rsid w:val="271C2262"/>
    <w:rsid w:val="273C031C"/>
    <w:rsid w:val="273C25CE"/>
    <w:rsid w:val="273D00F1"/>
    <w:rsid w:val="274715F4"/>
    <w:rsid w:val="2757675D"/>
    <w:rsid w:val="276F3B71"/>
    <w:rsid w:val="27724941"/>
    <w:rsid w:val="27765CCC"/>
    <w:rsid w:val="277F0B5A"/>
    <w:rsid w:val="278716DE"/>
    <w:rsid w:val="27923F94"/>
    <w:rsid w:val="279D2AD8"/>
    <w:rsid w:val="279D398E"/>
    <w:rsid w:val="27AB5011"/>
    <w:rsid w:val="27AC5D46"/>
    <w:rsid w:val="27BD27AB"/>
    <w:rsid w:val="27C17045"/>
    <w:rsid w:val="27CC59F9"/>
    <w:rsid w:val="27DD2993"/>
    <w:rsid w:val="27E9369C"/>
    <w:rsid w:val="27EC0259"/>
    <w:rsid w:val="27F1168E"/>
    <w:rsid w:val="27FC39A7"/>
    <w:rsid w:val="280130B4"/>
    <w:rsid w:val="28167F1C"/>
    <w:rsid w:val="283D7C94"/>
    <w:rsid w:val="2844761E"/>
    <w:rsid w:val="286C74DE"/>
    <w:rsid w:val="28736E3E"/>
    <w:rsid w:val="28756563"/>
    <w:rsid w:val="287B51DB"/>
    <w:rsid w:val="28855E8A"/>
    <w:rsid w:val="28893904"/>
    <w:rsid w:val="288C0AFC"/>
    <w:rsid w:val="289C222B"/>
    <w:rsid w:val="28BD56E7"/>
    <w:rsid w:val="28CB3C22"/>
    <w:rsid w:val="28D30187"/>
    <w:rsid w:val="28E14F1E"/>
    <w:rsid w:val="28E26223"/>
    <w:rsid w:val="28E45EA3"/>
    <w:rsid w:val="28EB7E47"/>
    <w:rsid w:val="28F4613D"/>
    <w:rsid w:val="29123D91"/>
    <w:rsid w:val="291304FE"/>
    <w:rsid w:val="2913316F"/>
    <w:rsid w:val="292D27EF"/>
    <w:rsid w:val="29420724"/>
    <w:rsid w:val="2964004E"/>
    <w:rsid w:val="296A7401"/>
    <w:rsid w:val="297E60A1"/>
    <w:rsid w:val="29811ECA"/>
    <w:rsid w:val="298D547C"/>
    <w:rsid w:val="299701CA"/>
    <w:rsid w:val="299E3473"/>
    <w:rsid w:val="29A71464"/>
    <w:rsid w:val="29B33C83"/>
    <w:rsid w:val="29B36366"/>
    <w:rsid w:val="29B84F82"/>
    <w:rsid w:val="29BD5B86"/>
    <w:rsid w:val="29C50A14"/>
    <w:rsid w:val="29CF4BA7"/>
    <w:rsid w:val="29D23100"/>
    <w:rsid w:val="29DA7A8C"/>
    <w:rsid w:val="29DE3B3C"/>
    <w:rsid w:val="29E36EB3"/>
    <w:rsid w:val="29E90789"/>
    <w:rsid w:val="29FA3B73"/>
    <w:rsid w:val="29FB2774"/>
    <w:rsid w:val="2A043654"/>
    <w:rsid w:val="2A105610"/>
    <w:rsid w:val="2A130D90"/>
    <w:rsid w:val="2A141E18"/>
    <w:rsid w:val="2A1426EE"/>
    <w:rsid w:val="2A1E4926"/>
    <w:rsid w:val="2A2153B8"/>
    <w:rsid w:val="2A2256C4"/>
    <w:rsid w:val="2A355C12"/>
    <w:rsid w:val="2A366D80"/>
    <w:rsid w:val="2A40615F"/>
    <w:rsid w:val="2A413D08"/>
    <w:rsid w:val="2A483C14"/>
    <w:rsid w:val="2A567C56"/>
    <w:rsid w:val="2A6341E2"/>
    <w:rsid w:val="2A655E1F"/>
    <w:rsid w:val="2A6D00A2"/>
    <w:rsid w:val="2A816BC9"/>
    <w:rsid w:val="2A9066BE"/>
    <w:rsid w:val="2A955869"/>
    <w:rsid w:val="2A9A1CF1"/>
    <w:rsid w:val="2AA0747E"/>
    <w:rsid w:val="2AA07601"/>
    <w:rsid w:val="2AA373F3"/>
    <w:rsid w:val="2ADC4C02"/>
    <w:rsid w:val="2ADF1512"/>
    <w:rsid w:val="2AF96A83"/>
    <w:rsid w:val="2AFA300F"/>
    <w:rsid w:val="2AFE7817"/>
    <w:rsid w:val="2B0A2964"/>
    <w:rsid w:val="2B104BFD"/>
    <w:rsid w:val="2B195029"/>
    <w:rsid w:val="2B1CB4EC"/>
    <w:rsid w:val="2B210CD1"/>
    <w:rsid w:val="2B226752"/>
    <w:rsid w:val="2B2E2565"/>
    <w:rsid w:val="2B3F4693"/>
    <w:rsid w:val="2B415723"/>
    <w:rsid w:val="2B4A1E95"/>
    <w:rsid w:val="2B524D23"/>
    <w:rsid w:val="2B573697"/>
    <w:rsid w:val="2B586C2C"/>
    <w:rsid w:val="2B5A68AC"/>
    <w:rsid w:val="2B642979"/>
    <w:rsid w:val="2B6C08F1"/>
    <w:rsid w:val="2B8839C6"/>
    <w:rsid w:val="2B9D5D2C"/>
    <w:rsid w:val="2BA56D2B"/>
    <w:rsid w:val="2BB04B58"/>
    <w:rsid w:val="2BC20F86"/>
    <w:rsid w:val="2BC27730"/>
    <w:rsid w:val="2BC43D5D"/>
    <w:rsid w:val="2BCC27B1"/>
    <w:rsid w:val="2BD155F1"/>
    <w:rsid w:val="2BDD263A"/>
    <w:rsid w:val="2BDE7011"/>
    <w:rsid w:val="2BED4B66"/>
    <w:rsid w:val="2BF553DA"/>
    <w:rsid w:val="2C364107"/>
    <w:rsid w:val="2C377F84"/>
    <w:rsid w:val="2C393D1C"/>
    <w:rsid w:val="2C4833B1"/>
    <w:rsid w:val="2C494869"/>
    <w:rsid w:val="2C496C09"/>
    <w:rsid w:val="2C513616"/>
    <w:rsid w:val="2C5B0751"/>
    <w:rsid w:val="2C676DE9"/>
    <w:rsid w:val="2C6B3C42"/>
    <w:rsid w:val="2C6D2EF1"/>
    <w:rsid w:val="2C7C4025"/>
    <w:rsid w:val="2C825415"/>
    <w:rsid w:val="2C9A7FAD"/>
    <w:rsid w:val="2C9C0D0D"/>
    <w:rsid w:val="2C9C6AC1"/>
    <w:rsid w:val="2C9D28A6"/>
    <w:rsid w:val="2C9D5C3F"/>
    <w:rsid w:val="2CAE5ED9"/>
    <w:rsid w:val="2CC8747F"/>
    <w:rsid w:val="2CCC458F"/>
    <w:rsid w:val="2CCF77CC"/>
    <w:rsid w:val="2CD33277"/>
    <w:rsid w:val="2CD446B6"/>
    <w:rsid w:val="2CEA7598"/>
    <w:rsid w:val="2CF2580F"/>
    <w:rsid w:val="2D001EEA"/>
    <w:rsid w:val="2D126C94"/>
    <w:rsid w:val="2D1472A9"/>
    <w:rsid w:val="2D1D52AA"/>
    <w:rsid w:val="2D403CB9"/>
    <w:rsid w:val="2D492E0B"/>
    <w:rsid w:val="2D555CDA"/>
    <w:rsid w:val="2D5B47E4"/>
    <w:rsid w:val="2D603BC2"/>
    <w:rsid w:val="2D6C6F17"/>
    <w:rsid w:val="2D6E06E4"/>
    <w:rsid w:val="2D6F3D99"/>
    <w:rsid w:val="2D757EA0"/>
    <w:rsid w:val="2D760376"/>
    <w:rsid w:val="2D8A6EEC"/>
    <w:rsid w:val="2D8F1735"/>
    <w:rsid w:val="2D8F21B8"/>
    <w:rsid w:val="2D9211A8"/>
    <w:rsid w:val="2D9938D7"/>
    <w:rsid w:val="2DA07DEB"/>
    <w:rsid w:val="2DA16F28"/>
    <w:rsid w:val="2DA17971"/>
    <w:rsid w:val="2DA9619F"/>
    <w:rsid w:val="2DAC0D8C"/>
    <w:rsid w:val="2DD55161"/>
    <w:rsid w:val="2DDA1C3C"/>
    <w:rsid w:val="2DE35491"/>
    <w:rsid w:val="2E001109"/>
    <w:rsid w:val="2E03632D"/>
    <w:rsid w:val="2E037175"/>
    <w:rsid w:val="2E0B749A"/>
    <w:rsid w:val="2E1B50A3"/>
    <w:rsid w:val="2E200339"/>
    <w:rsid w:val="2E3118D8"/>
    <w:rsid w:val="2E3A56E5"/>
    <w:rsid w:val="2E3C43E6"/>
    <w:rsid w:val="2E3D56EB"/>
    <w:rsid w:val="2E3F1ED5"/>
    <w:rsid w:val="2E54519C"/>
    <w:rsid w:val="2E6D3CBB"/>
    <w:rsid w:val="2E732FD3"/>
    <w:rsid w:val="2E7C3283"/>
    <w:rsid w:val="2EA26082"/>
    <w:rsid w:val="2EB2380A"/>
    <w:rsid w:val="2EB4662E"/>
    <w:rsid w:val="2EB73C11"/>
    <w:rsid w:val="2EC629DC"/>
    <w:rsid w:val="2EC76E3E"/>
    <w:rsid w:val="2EE14381"/>
    <w:rsid w:val="2EF97CF9"/>
    <w:rsid w:val="2F0860B8"/>
    <w:rsid w:val="2F0970CB"/>
    <w:rsid w:val="2F2378CC"/>
    <w:rsid w:val="2F2F608B"/>
    <w:rsid w:val="2F3A3BFA"/>
    <w:rsid w:val="2F480717"/>
    <w:rsid w:val="2F500F5A"/>
    <w:rsid w:val="2F525233"/>
    <w:rsid w:val="2F561530"/>
    <w:rsid w:val="2F5B3A39"/>
    <w:rsid w:val="2F700F60"/>
    <w:rsid w:val="2F762FFE"/>
    <w:rsid w:val="2F785750"/>
    <w:rsid w:val="2F8340AB"/>
    <w:rsid w:val="2F882060"/>
    <w:rsid w:val="2F895376"/>
    <w:rsid w:val="2FA74BCE"/>
    <w:rsid w:val="2FA849C0"/>
    <w:rsid w:val="2FB6282A"/>
    <w:rsid w:val="2FD071AB"/>
    <w:rsid w:val="2FD33202"/>
    <w:rsid w:val="2FDA1111"/>
    <w:rsid w:val="2FDA51EB"/>
    <w:rsid w:val="2FE05C5E"/>
    <w:rsid w:val="2FE51D6A"/>
    <w:rsid w:val="2FF105A6"/>
    <w:rsid w:val="2FF16E7B"/>
    <w:rsid w:val="2FFD6B2F"/>
    <w:rsid w:val="300936DD"/>
    <w:rsid w:val="30113016"/>
    <w:rsid w:val="301A6461"/>
    <w:rsid w:val="302A4246"/>
    <w:rsid w:val="30357A24"/>
    <w:rsid w:val="3049725E"/>
    <w:rsid w:val="30692676"/>
    <w:rsid w:val="306D4D2A"/>
    <w:rsid w:val="3075080D"/>
    <w:rsid w:val="307D76A6"/>
    <w:rsid w:val="308372A9"/>
    <w:rsid w:val="30853026"/>
    <w:rsid w:val="30881A2C"/>
    <w:rsid w:val="30BA5A7F"/>
    <w:rsid w:val="30C123CB"/>
    <w:rsid w:val="30CB379B"/>
    <w:rsid w:val="30D2708D"/>
    <w:rsid w:val="30D32235"/>
    <w:rsid w:val="30D52143"/>
    <w:rsid w:val="30E725E9"/>
    <w:rsid w:val="30EC3CCF"/>
    <w:rsid w:val="310304F4"/>
    <w:rsid w:val="3105267B"/>
    <w:rsid w:val="311814E9"/>
    <w:rsid w:val="311D5D23"/>
    <w:rsid w:val="311E4F11"/>
    <w:rsid w:val="313F155B"/>
    <w:rsid w:val="314016ED"/>
    <w:rsid w:val="3142493F"/>
    <w:rsid w:val="3155448F"/>
    <w:rsid w:val="315826E0"/>
    <w:rsid w:val="31594303"/>
    <w:rsid w:val="31631424"/>
    <w:rsid w:val="316A459E"/>
    <w:rsid w:val="316D434C"/>
    <w:rsid w:val="3173406A"/>
    <w:rsid w:val="31734EAD"/>
    <w:rsid w:val="31766EAD"/>
    <w:rsid w:val="318D384B"/>
    <w:rsid w:val="318F30FF"/>
    <w:rsid w:val="31A85B5D"/>
    <w:rsid w:val="31B04F3F"/>
    <w:rsid w:val="31BE4FA2"/>
    <w:rsid w:val="31C316CD"/>
    <w:rsid w:val="31C81E83"/>
    <w:rsid w:val="31CA113F"/>
    <w:rsid w:val="31D077C5"/>
    <w:rsid w:val="31DB35D8"/>
    <w:rsid w:val="31DE40A8"/>
    <w:rsid w:val="31EF301E"/>
    <w:rsid w:val="31F3735E"/>
    <w:rsid w:val="31FC3B22"/>
    <w:rsid w:val="320222A1"/>
    <w:rsid w:val="32082D46"/>
    <w:rsid w:val="3209173E"/>
    <w:rsid w:val="32173750"/>
    <w:rsid w:val="321B4AC7"/>
    <w:rsid w:val="322018E0"/>
    <w:rsid w:val="32226777"/>
    <w:rsid w:val="322814D9"/>
    <w:rsid w:val="322C14FF"/>
    <w:rsid w:val="323352EB"/>
    <w:rsid w:val="32360B21"/>
    <w:rsid w:val="324241DC"/>
    <w:rsid w:val="3247650A"/>
    <w:rsid w:val="326478A0"/>
    <w:rsid w:val="326A5D43"/>
    <w:rsid w:val="32720653"/>
    <w:rsid w:val="32737A48"/>
    <w:rsid w:val="328B4D00"/>
    <w:rsid w:val="328E4700"/>
    <w:rsid w:val="329B0193"/>
    <w:rsid w:val="329B31E3"/>
    <w:rsid w:val="329C5C14"/>
    <w:rsid w:val="329D43FE"/>
    <w:rsid w:val="32A06F53"/>
    <w:rsid w:val="32A12544"/>
    <w:rsid w:val="32A345BC"/>
    <w:rsid w:val="32B545C0"/>
    <w:rsid w:val="32BC444F"/>
    <w:rsid w:val="32CC5715"/>
    <w:rsid w:val="32D13830"/>
    <w:rsid w:val="32D53A63"/>
    <w:rsid w:val="32DC1E34"/>
    <w:rsid w:val="32EF34A0"/>
    <w:rsid w:val="32FF5CB9"/>
    <w:rsid w:val="33032140"/>
    <w:rsid w:val="331918C7"/>
    <w:rsid w:val="331F536E"/>
    <w:rsid w:val="33286C25"/>
    <w:rsid w:val="332E5536"/>
    <w:rsid w:val="332F5418"/>
    <w:rsid w:val="33514F7D"/>
    <w:rsid w:val="33597117"/>
    <w:rsid w:val="335A27AC"/>
    <w:rsid w:val="336701AD"/>
    <w:rsid w:val="336A6EE7"/>
    <w:rsid w:val="336C22BB"/>
    <w:rsid w:val="33930462"/>
    <w:rsid w:val="339F1CED"/>
    <w:rsid w:val="33A11A0E"/>
    <w:rsid w:val="33A30306"/>
    <w:rsid w:val="33AC40D0"/>
    <w:rsid w:val="33B2468A"/>
    <w:rsid w:val="33B53DED"/>
    <w:rsid w:val="33C70744"/>
    <w:rsid w:val="33C9004E"/>
    <w:rsid w:val="33D6421E"/>
    <w:rsid w:val="33F42D4E"/>
    <w:rsid w:val="33F54F4C"/>
    <w:rsid w:val="341C738A"/>
    <w:rsid w:val="34245B22"/>
    <w:rsid w:val="342801F3"/>
    <w:rsid w:val="343007C1"/>
    <w:rsid w:val="34355D35"/>
    <w:rsid w:val="34423930"/>
    <w:rsid w:val="34454ACD"/>
    <w:rsid w:val="34515C51"/>
    <w:rsid w:val="347B0AA2"/>
    <w:rsid w:val="347E32C6"/>
    <w:rsid w:val="34802932"/>
    <w:rsid w:val="349264B3"/>
    <w:rsid w:val="349A6D90"/>
    <w:rsid w:val="34A15065"/>
    <w:rsid w:val="34A840E3"/>
    <w:rsid w:val="34A922C0"/>
    <w:rsid w:val="34C9499B"/>
    <w:rsid w:val="34CD0E40"/>
    <w:rsid w:val="34D96843"/>
    <w:rsid w:val="34E41274"/>
    <w:rsid w:val="34E7385F"/>
    <w:rsid w:val="34EE4109"/>
    <w:rsid w:val="34F766C1"/>
    <w:rsid w:val="35032B8B"/>
    <w:rsid w:val="351140DB"/>
    <w:rsid w:val="35325198"/>
    <w:rsid w:val="356120F5"/>
    <w:rsid w:val="356E6D37"/>
    <w:rsid w:val="357069B7"/>
    <w:rsid w:val="35775354"/>
    <w:rsid w:val="357B604D"/>
    <w:rsid w:val="357C1067"/>
    <w:rsid w:val="35964198"/>
    <w:rsid w:val="35977B84"/>
    <w:rsid w:val="35A2666A"/>
    <w:rsid w:val="35A67FBD"/>
    <w:rsid w:val="35B064FE"/>
    <w:rsid w:val="35CF25BC"/>
    <w:rsid w:val="35D02EC2"/>
    <w:rsid w:val="35D23BE4"/>
    <w:rsid w:val="35EB1B84"/>
    <w:rsid w:val="35FD4A7A"/>
    <w:rsid w:val="360842FC"/>
    <w:rsid w:val="360A38BC"/>
    <w:rsid w:val="36136AED"/>
    <w:rsid w:val="361A4919"/>
    <w:rsid w:val="36294943"/>
    <w:rsid w:val="36383AF5"/>
    <w:rsid w:val="364E2191"/>
    <w:rsid w:val="3665184D"/>
    <w:rsid w:val="366603F9"/>
    <w:rsid w:val="367162D2"/>
    <w:rsid w:val="36794C6B"/>
    <w:rsid w:val="368E447C"/>
    <w:rsid w:val="36900113"/>
    <w:rsid w:val="369A636C"/>
    <w:rsid w:val="36A0119A"/>
    <w:rsid w:val="36B9674B"/>
    <w:rsid w:val="36C64D6A"/>
    <w:rsid w:val="36CA6FF3"/>
    <w:rsid w:val="36DC4E20"/>
    <w:rsid w:val="36DE168F"/>
    <w:rsid w:val="36E21039"/>
    <w:rsid w:val="36F36B33"/>
    <w:rsid w:val="36F7A7C4"/>
    <w:rsid w:val="37050D0E"/>
    <w:rsid w:val="370A7CBE"/>
    <w:rsid w:val="371F2DEE"/>
    <w:rsid w:val="372C645F"/>
    <w:rsid w:val="37317C9C"/>
    <w:rsid w:val="373B1EFE"/>
    <w:rsid w:val="37490D0C"/>
    <w:rsid w:val="375D0761"/>
    <w:rsid w:val="375F74E7"/>
    <w:rsid w:val="37624BE8"/>
    <w:rsid w:val="376949C4"/>
    <w:rsid w:val="37745F5A"/>
    <w:rsid w:val="3775168B"/>
    <w:rsid w:val="378A3358"/>
    <w:rsid w:val="378F2FC2"/>
    <w:rsid w:val="37935D65"/>
    <w:rsid w:val="3795413E"/>
    <w:rsid w:val="379C154A"/>
    <w:rsid w:val="37A92DDE"/>
    <w:rsid w:val="37AA40E3"/>
    <w:rsid w:val="37B27972"/>
    <w:rsid w:val="37B76890"/>
    <w:rsid w:val="37BF2CB4"/>
    <w:rsid w:val="37C962C7"/>
    <w:rsid w:val="37D33628"/>
    <w:rsid w:val="380E53F4"/>
    <w:rsid w:val="38114D8C"/>
    <w:rsid w:val="3814783E"/>
    <w:rsid w:val="38242EEC"/>
    <w:rsid w:val="382F775F"/>
    <w:rsid w:val="383D3652"/>
    <w:rsid w:val="38562DED"/>
    <w:rsid w:val="38600AE1"/>
    <w:rsid w:val="38615E10"/>
    <w:rsid w:val="38750F11"/>
    <w:rsid w:val="388062FE"/>
    <w:rsid w:val="388F565A"/>
    <w:rsid w:val="38944D63"/>
    <w:rsid w:val="389A0168"/>
    <w:rsid w:val="389E394D"/>
    <w:rsid w:val="38A05990"/>
    <w:rsid w:val="38A10829"/>
    <w:rsid w:val="38B40276"/>
    <w:rsid w:val="38BD7423"/>
    <w:rsid w:val="38DB0A4E"/>
    <w:rsid w:val="38DF66DE"/>
    <w:rsid w:val="38E23DE0"/>
    <w:rsid w:val="38F54FFF"/>
    <w:rsid w:val="38FE12FA"/>
    <w:rsid w:val="391321A6"/>
    <w:rsid w:val="391B523E"/>
    <w:rsid w:val="39212136"/>
    <w:rsid w:val="3934576A"/>
    <w:rsid w:val="39390072"/>
    <w:rsid w:val="39420B52"/>
    <w:rsid w:val="394C6F6D"/>
    <w:rsid w:val="39526175"/>
    <w:rsid w:val="395664B0"/>
    <w:rsid w:val="39566549"/>
    <w:rsid w:val="39657AA9"/>
    <w:rsid w:val="39740084"/>
    <w:rsid w:val="397411E3"/>
    <w:rsid w:val="397825DA"/>
    <w:rsid w:val="39787B56"/>
    <w:rsid w:val="397B2943"/>
    <w:rsid w:val="39896917"/>
    <w:rsid w:val="39900A80"/>
    <w:rsid w:val="39BD6642"/>
    <w:rsid w:val="39EC7CEC"/>
    <w:rsid w:val="3A0D5A0A"/>
    <w:rsid w:val="3A0F354D"/>
    <w:rsid w:val="3A16348E"/>
    <w:rsid w:val="3A1A5E8C"/>
    <w:rsid w:val="3A1F37E7"/>
    <w:rsid w:val="3A255373"/>
    <w:rsid w:val="3A270BF4"/>
    <w:rsid w:val="3A4B39F9"/>
    <w:rsid w:val="3A5007E7"/>
    <w:rsid w:val="3A712129"/>
    <w:rsid w:val="3A947029"/>
    <w:rsid w:val="3AA1530A"/>
    <w:rsid w:val="3AA34992"/>
    <w:rsid w:val="3AA70248"/>
    <w:rsid w:val="3AB5335B"/>
    <w:rsid w:val="3AC95137"/>
    <w:rsid w:val="3AD26B0E"/>
    <w:rsid w:val="3AD568FB"/>
    <w:rsid w:val="3AD64514"/>
    <w:rsid w:val="3AD65514"/>
    <w:rsid w:val="3AE80CB2"/>
    <w:rsid w:val="3AF1517E"/>
    <w:rsid w:val="3AFE3042"/>
    <w:rsid w:val="3B1D588C"/>
    <w:rsid w:val="3B1E0D3F"/>
    <w:rsid w:val="3B2A23B9"/>
    <w:rsid w:val="3B2B2A20"/>
    <w:rsid w:val="3B450D16"/>
    <w:rsid w:val="3B465F7A"/>
    <w:rsid w:val="3B4A5299"/>
    <w:rsid w:val="3B4A6737"/>
    <w:rsid w:val="3B536163"/>
    <w:rsid w:val="3B5E66F2"/>
    <w:rsid w:val="3B7D30F0"/>
    <w:rsid w:val="3B7D782A"/>
    <w:rsid w:val="3B8360A3"/>
    <w:rsid w:val="3B853672"/>
    <w:rsid w:val="3B8E0546"/>
    <w:rsid w:val="3B964474"/>
    <w:rsid w:val="3BA7366E"/>
    <w:rsid w:val="3BA80557"/>
    <w:rsid w:val="3BAE7776"/>
    <w:rsid w:val="3BB707CD"/>
    <w:rsid w:val="3BCE3FAB"/>
    <w:rsid w:val="3BD369CC"/>
    <w:rsid w:val="3BE51D20"/>
    <w:rsid w:val="3BF42A28"/>
    <w:rsid w:val="3BFD301A"/>
    <w:rsid w:val="3C003CFD"/>
    <w:rsid w:val="3C0969F8"/>
    <w:rsid w:val="3C0C15C8"/>
    <w:rsid w:val="3C164E8D"/>
    <w:rsid w:val="3C1D7F7A"/>
    <w:rsid w:val="3C26613B"/>
    <w:rsid w:val="3C306A4A"/>
    <w:rsid w:val="3C3535D5"/>
    <w:rsid w:val="3C5627E9"/>
    <w:rsid w:val="3C814EDA"/>
    <w:rsid w:val="3C860145"/>
    <w:rsid w:val="3CB36E30"/>
    <w:rsid w:val="3CE55274"/>
    <w:rsid w:val="3CE55B68"/>
    <w:rsid w:val="3CE66579"/>
    <w:rsid w:val="3CE81A7C"/>
    <w:rsid w:val="3CEA4F7F"/>
    <w:rsid w:val="3CED72B1"/>
    <w:rsid w:val="3CFD16B1"/>
    <w:rsid w:val="3CFF7A0D"/>
    <w:rsid w:val="3D02646D"/>
    <w:rsid w:val="3D05498C"/>
    <w:rsid w:val="3D0B104F"/>
    <w:rsid w:val="3D1B36C6"/>
    <w:rsid w:val="3D225082"/>
    <w:rsid w:val="3D2363DE"/>
    <w:rsid w:val="3D286FE2"/>
    <w:rsid w:val="3D2B59E9"/>
    <w:rsid w:val="3D2C3303"/>
    <w:rsid w:val="3D361B44"/>
    <w:rsid w:val="3D41171D"/>
    <w:rsid w:val="3D4C330A"/>
    <w:rsid w:val="3D507B20"/>
    <w:rsid w:val="3D5236AA"/>
    <w:rsid w:val="3D5F713C"/>
    <w:rsid w:val="3D6932D9"/>
    <w:rsid w:val="3D697A4C"/>
    <w:rsid w:val="3D7AB621"/>
    <w:rsid w:val="3D7F5473"/>
    <w:rsid w:val="3D8D3EB6"/>
    <w:rsid w:val="3D99601D"/>
    <w:rsid w:val="3DA541E3"/>
    <w:rsid w:val="3DC05AC1"/>
    <w:rsid w:val="3DD3167A"/>
    <w:rsid w:val="3DDB2309"/>
    <w:rsid w:val="3DDF47D5"/>
    <w:rsid w:val="3DEB0DE3"/>
    <w:rsid w:val="3DEE1483"/>
    <w:rsid w:val="3DF27455"/>
    <w:rsid w:val="3DFEBDD2"/>
    <w:rsid w:val="3E01494A"/>
    <w:rsid w:val="3E1A5F07"/>
    <w:rsid w:val="3E1B6376"/>
    <w:rsid w:val="3E52772C"/>
    <w:rsid w:val="3E7B3595"/>
    <w:rsid w:val="3E7F5015"/>
    <w:rsid w:val="3E89749E"/>
    <w:rsid w:val="3E8A2155"/>
    <w:rsid w:val="3E8E1058"/>
    <w:rsid w:val="3E9052B0"/>
    <w:rsid w:val="3E9178E2"/>
    <w:rsid w:val="3E985F3F"/>
    <w:rsid w:val="3E9A0263"/>
    <w:rsid w:val="3E9C385C"/>
    <w:rsid w:val="3EAC23DB"/>
    <w:rsid w:val="3EC07A8D"/>
    <w:rsid w:val="3EC91F92"/>
    <w:rsid w:val="3EC9670E"/>
    <w:rsid w:val="3EDB08DC"/>
    <w:rsid w:val="3EE21837"/>
    <w:rsid w:val="3EF63D5B"/>
    <w:rsid w:val="3EFAA626"/>
    <w:rsid w:val="3EFC69CE"/>
    <w:rsid w:val="3F0D69A3"/>
    <w:rsid w:val="3F0E7AB0"/>
    <w:rsid w:val="3F1159C7"/>
    <w:rsid w:val="3F354F3E"/>
    <w:rsid w:val="3F3670F3"/>
    <w:rsid w:val="3F405545"/>
    <w:rsid w:val="3F453ADA"/>
    <w:rsid w:val="3F4806CA"/>
    <w:rsid w:val="3F4E36F9"/>
    <w:rsid w:val="3F50760E"/>
    <w:rsid w:val="3F525B8E"/>
    <w:rsid w:val="3F554E5A"/>
    <w:rsid w:val="3F590957"/>
    <w:rsid w:val="3F5B0157"/>
    <w:rsid w:val="3F5F1959"/>
    <w:rsid w:val="3F682D95"/>
    <w:rsid w:val="3F851852"/>
    <w:rsid w:val="3F923BD9"/>
    <w:rsid w:val="3F9A148C"/>
    <w:rsid w:val="3F9F0CF0"/>
    <w:rsid w:val="3FA43C9B"/>
    <w:rsid w:val="3FB2668C"/>
    <w:rsid w:val="3FC622A9"/>
    <w:rsid w:val="3FCD3C5F"/>
    <w:rsid w:val="3FDD4C0E"/>
    <w:rsid w:val="3FE8166D"/>
    <w:rsid w:val="3FEFA0F0"/>
    <w:rsid w:val="3FF93ACB"/>
    <w:rsid w:val="40095B1B"/>
    <w:rsid w:val="401C02BA"/>
    <w:rsid w:val="4026664B"/>
    <w:rsid w:val="402A21A7"/>
    <w:rsid w:val="402F29E9"/>
    <w:rsid w:val="40306144"/>
    <w:rsid w:val="4038677B"/>
    <w:rsid w:val="403C6F8F"/>
    <w:rsid w:val="404909B8"/>
    <w:rsid w:val="405F613D"/>
    <w:rsid w:val="40667434"/>
    <w:rsid w:val="40725A2B"/>
    <w:rsid w:val="4079014A"/>
    <w:rsid w:val="408112E3"/>
    <w:rsid w:val="40860FCF"/>
    <w:rsid w:val="40936CE9"/>
    <w:rsid w:val="409670AC"/>
    <w:rsid w:val="40A46CF5"/>
    <w:rsid w:val="40B13025"/>
    <w:rsid w:val="40B90F2F"/>
    <w:rsid w:val="40C508D9"/>
    <w:rsid w:val="40CB4BDA"/>
    <w:rsid w:val="40CD3961"/>
    <w:rsid w:val="40D248CF"/>
    <w:rsid w:val="40D91865"/>
    <w:rsid w:val="40E153CB"/>
    <w:rsid w:val="40E824C6"/>
    <w:rsid w:val="40EA4EAB"/>
    <w:rsid w:val="41040C86"/>
    <w:rsid w:val="41122DD0"/>
    <w:rsid w:val="41320DD0"/>
    <w:rsid w:val="413F2528"/>
    <w:rsid w:val="41425945"/>
    <w:rsid w:val="41451C25"/>
    <w:rsid w:val="415B6CDD"/>
    <w:rsid w:val="415D45C8"/>
    <w:rsid w:val="417D29E9"/>
    <w:rsid w:val="417E4C67"/>
    <w:rsid w:val="41852F36"/>
    <w:rsid w:val="419014A0"/>
    <w:rsid w:val="4191369F"/>
    <w:rsid w:val="419A4264"/>
    <w:rsid w:val="41A03729"/>
    <w:rsid w:val="41CD3503"/>
    <w:rsid w:val="41EC0D67"/>
    <w:rsid w:val="41EC2334"/>
    <w:rsid w:val="41EE3A38"/>
    <w:rsid w:val="42066AC6"/>
    <w:rsid w:val="420A3368"/>
    <w:rsid w:val="4213531D"/>
    <w:rsid w:val="421A7D7F"/>
    <w:rsid w:val="422C3B1C"/>
    <w:rsid w:val="42305010"/>
    <w:rsid w:val="423A28D5"/>
    <w:rsid w:val="423FC2F4"/>
    <w:rsid w:val="424356A4"/>
    <w:rsid w:val="4254425B"/>
    <w:rsid w:val="4265772B"/>
    <w:rsid w:val="42780119"/>
    <w:rsid w:val="428A3756"/>
    <w:rsid w:val="428D5E68"/>
    <w:rsid w:val="428E671D"/>
    <w:rsid w:val="42957651"/>
    <w:rsid w:val="429B03D3"/>
    <w:rsid w:val="429E5DDA"/>
    <w:rsid w:val="42BB2B79"/>
    <w:rsid w:val="42D97DE5"/>
    <w:rsid w:val="42F704B0"/>
    <w:rsid w:val="43006D78"/>
    <w:rsid w:val="431C531B"/>
    <w:rsid w:val="4326283B"/>
    <w:rsid w:val="43423065"/>
    <w:rsid w:val="435363AD"/>
    <w:rsid w:val="435A13B9"/>
    <w:rsid w:val="435F61CD"/>
    <w:rsid w:val="4362227A"/>
    <w:rsid w:val="43797205"/>
    <w:rsid w:val="437D5891"/>
    <w:rsid w:val="43927042"/>
    <w:rsid w:val="43970160"/>
    <w:rsid w:val="43972F43"/>
    <w:rsid w:val="439B6448"/>
    <w:rsid w:val="439E770F"/>
    <w:rsid w:val="43A34A1C"/>
    <w:rsid w:val="43B22172"/>
    <w:rsid w:val="43B45922"/>
    <w:rsid w:val="43C770CB"/>
    <w:rsid w:val="43D24ED2"/>
    <w:rsid w:val="43D5669B"/>
    <w:rsid w:val="43EC5A7C"/>
    <w:rsid w:val="43F41095"/>
    <w:rsid w:val="441D2DB5"/>
    <w:rsid w:val="44271D62"/>
    <w:rsid w:val="442A43F9"/>
    <w:rsid w:val="442C3166"/>
    <w:rsid w:val="44312FB0"/>
    <w:rsid w:val="44345E70"/>
    <w:rsid w:val="443D12C7"/>
    <w:rsid w:val="44442CC9"/>
    <w:rsid w:val="4449434E"/>
    <w:rsid w:val="446134BD"/>
    <w:rsid w:val="4465146E"/>
    <w:rsid w:val="448E384C"/>
    <w:rsid w:val="449214C5"/>
    <w:rsid w:val="44981229"/>
    <w:rsid w:val="449A1098"/>
    <w:rsid w:val="449A36E2"/>
    <w:rsid w:val="449D5AB7"/>
    <w:rsid w:val="44A70920"/>
    <w:rsid w:val="44CA673A"/>
    <w:rsid w:val="44E1728E"/>
    <w:rsid w:val="44EC333A"/>
    <w:rsid w:val="44EC561F"/>
    <w:rsid w:val="44ED30A1"/>
    <w:rsid w:val="44F17D7C"/>
    <w:rsid w:val="44F93EA2"/>
    <w:rsid w:val="44FA5C39"/>
    <w:rsid w:val="451A6DA2"/>
    <w:rsid w:val="45225AF9"/>
    <w:rsid w:val="452E6047"/>
    <w:rsid w:val="453B0017"/>
    <w:rsid w:val="45430561"/>
    <w:rsid w:val="45492B49"/>
    <w:rsid w:val="454A6CBD"/>
    <w:rsid w:val="454F3145"/>
    <w:rsid w:val="45582EB4"/>
    <w:rsid w:val="455A36D4"/>
    <w:rsid w:val="455C1D3F"/>
    <w:rsid w:val="45736E3C"/>
    <w:rsid w:val="45817197"/>
    <w:rsid w:val="458C031D"/>
    <w:rsid w:val="459D34A1"/>
    <w:rsid w:val="45A32C75"/>
    <w:rsid w:val="45AF74EC"/>
    <w:rsid w:val="45C60805"/>
    <w:rsid w:val="45C946F4"/>
    <w:rsid w:val="45CC270F"/>
    <w:rsid w:val="45D3591D"/>
    <w:rsid w:val="45EC6133"/>
    <w:rsid w:val="45F05E73"/>
    <w:rsid w:val="45F506D2"/>
    <w:rsid w:val="46051892"/>
    <w:rsid w:val="460A43EF"/>
    <w:rsid w:val="460F08E9"/>
    <w:rsid w:val="460F7D00"/>
    <w:rsid w:val="4610740B"/>
    <w:rsid w:val="46156A65"/>
    <w:rsid w:val="462D17C4"/>
    <w:rsid w:val="46302433"/>
    <w:rsid w:val="464C0669"/>
    <w:rsid w:val="464F0AEA"/>
    <w:rsid w:val="465264D7"/>
    <w:rsid w:val="46543C0A"/>
    <w:rsid w:val="4655752D"/>
    <w:rsid w:val="466A606E"/>
    <w:rsid w:val="467716EA"/>
    <w:rsid w:val="469B78E4"/>
    <w:rsid w:val="46C42CA7"/>
    <w:rsid w:val="46D2288A"/>
    <w:rsid w:val="46DC1D1C"/>
    <w:rsid w:val="46E025D7"/>
    <w:rsid w:val="46E55D03"/>
    <w:rsid w:val="46F915B9"/>
    <w:rsid w:val="46F91E7C"/>
    <w:rsid w:val="47112069"/>
    <w:rsid w:val="47197160"/>
    <w:rsid w:val="471D2EE3"/>
    <w:rsid w:val="472440B3"/>
    <w:rsid w:val="47291641"/>
    <w:rsid w:val="47546D12"/>
    <w:rsid w:val="47552596"/>
    <w:rsid w:val="475E0497"/>
    <w:rsid w:val="475E5912"/>
    <w:rsid w:val="47602B25"/>
    <w:rsid w:val="47764D9A"/>
    <w:rsid w:val="478E6966"/>
    <w:rsid w:val="478E7A69"/>
    <w:rsid w:val="479E6FA7"/>
    <w:rsid w:val="47B5127A"/>
    <w:rsid w:val="47BA4703"/>
    <w:rsid w:val="47BA7D3C"/>
    <w:rsid w:val="47C02951"/>
    <w:rsid w:val="47C43D19"/>
    <w:rsid w:val="47C77051"/>
    <w:rsid w:val="47CB21D4"/>
    <w:rsid w:val="47D420CF"/>
    <w:rsid w:val="47DD1D99"/>
    <w:rsid w:val="47DE5C63"/>
    <w:rsid w:val="47E51E85"/>
    <w:rsid w:val="47EA5CA7"/>
    <w:rsid w:val="47EB2EA8"/>
    <w:rsid w:val="47EB3D8E"/>
    <w:rsid w:val="47F4536A"/>
    <w:rsid w:val="480027D1"/>
    <w:rsid w:val="48025C96"/>
    <w:rsid w:val="48131775"/>
    <w:rsid w:val="481F1C5E"/>
    <w:rsid w:val="48212873"/>
    <w:rsid w:val="482F4D30"/>
    <w:rsid w:val="482F577C"/>
    <w:rsid w:val="48392E5E"/>
    <w:rsid w:val="483977D4"/>
    <w:rsid w:val="48475B82"/>
    <w:rsid w:val="48613C97"/>
    <w:rsid w:val="48823F01"/>
    <w:rsid w:val="48831983"/>
    <w:rsid w:val="4888388C"/>
    <w:rsid w:val="48934F3E"/>
    <w:rsid w:val="48962A8D"/>
    <w:rsid w:val="48A60C3E"/>
    <w:rsid w:val="48B7235E"/>
    <w:rsid w:val="48C43B53"/>
    <w:rsid w:val="48E8258F"/>
    <w:rsid w:val="48F04535"/>
    <w:rsid w:val="48FA6149"/>
    <w:rsid w:val="49061378"/>
    <w:rsid w:val="49076D17"/>
    <w:rsid w:val="491E642F"/>
    <w:rsid w:val="492542FE"/>
    <w:rsid w:val="493273D3"/>
    <w:rsid w:val="49330B09"/>
    <w:rsid w:val="4937272B"/>
    <w:rsid w:val="4942653E"/>
    <w:rsid w:val="494F6E1F"/>
    <w:rsid w:val="4950416C"/>
    <w:rsid w:val="49593C1B"/>
    <w:rsid w:val="495C0C54"/>
    <w:rsid w:val="496E4326"/>
    <w:rsid w:val="496E78D5"/>
    <w:rsid w:val="49734514"/>
    <w:rsid w:val="49933E48"/>
    <w:rsid w:val="49941ECF"/>
    <w:rsid w:val="499D2F0A"/>
    <w:rsid w:val="49F13D87"/>
    <w:rsid w:val="49F367CD"/>
    <w:rsid w:val="4A020EFA"/>
    <w:rsid w:val="4A121195"/>
    <w:rsid w:val="4A390573"/>
    <w:rsid w:val="4A48601B"/>
    <w:rsid w:val="4A4A134B"/>
    <w:rsid w:val="4A6C0C97"/>
    <w:rsid w:val="4A7A76B7"/>
    <w:rsid w:val="4AAA3B0C"/>
    <w:rsid w:val="4AB42F1C"/>
    <w:rsid w:val="4AB76757"/>
    <w:rsid w:val="4ACB63C5"/>
    <w:rsid w:val="4AD1525E"/>
    <w:rsid w:val="4AF45F04"/>
    <w:rsid w:val="4AF611BE"/>
    <w:rsid w:val="4AF87FFD"/>
    <w:rsid w:val="4AFB20A0"/>
    <w:rsid w:val="4B0137A3"/>
    <w:rsid w:val="4B174B35"/>
    <w:rsid w:val="4B183C5E"/>
    <w:rsid w:val="4B324793"/>
    <w:rsid w:val="4B4152F6"/>
    <w:rsid w:val="4B7644A8"/>
    <w:rsid w:val="4B7931DE"/>
    <w:rsid w:val="4B7F0B1A"/>
    <w:rsid w:val="4B861BF5"/>
    <w:rsid w:val="4B866AF8"/>
    <w:rsid w:val="4B8C2BFF"/>
    <w:rsid w:val="4B8E205E"/>
    <w:rsid w:val="4B9631DB"/>
    <w:rsid w:val="4BAA0E85"/>
    <w:rsid w:val="4BAB7403"/>
    <w:rsid w:val="4BB850AE"/>
    <w:rsid w:val="4BBE0E50"/>
    <w:rsid w:val="4BC02BE8"/>
    <w:rsid w:val="4BDC5E8E"/>
    <w:rsid w:val="4BE60E59"/>
    <w:rsid w:val="4BE90D9B"/>
    <w:rsid w:val="4C1705E5"/>
    <w:rsid w:val="4C1A7C8C"/>
    <w:rsid w:val="4C2E6ED7"/>
    <w:rsid w:val="4C351555"/>
    <w:rsid w:val="4C411E59"/>
    <w:rsid w:val="4C595B87"/>
    <w:rsid w:val="4C5A4CAA"/>
    <w:rsid w:val="4C5F09D9"/>
    <w:rsid w:val="4C6D3D94"/>
    <w:rsid w:val="4C7F348C"/>
    <w:rsid w:val="4C862E17"/>
    <w:rsid w:val="4C86669B"/>
    <w:rsid w:val="4C8A0111"/>
    <w:rsid w:val="4C8A7E4A"/>
    <w:rsid w:val="4C9A6225"/>
    <w:rsid w:val="4CAA2BD4"/>
    <w:rsid w:val="4CB95BF0"/>
    <w:rsid w:val="4CBA3672"/>
    <w:rsid w:val="4CC42800"/>
    <w:rsid w:val="4CC94B7D"/>
    <w:rsid w:val="4CDA5A82"/>
    <w:rsid w:val="4CE71BB7"/>
    <w:rsid w:val="4CF15DE2"/>
    <w:rsid w:val="4CF61AEF"/>
    <w:rsid w:val="4D073D0E"/>
    <w:rsid w:val="4D0F0D50"/>
    <w:rsid w:val="4D2E66D8"/>
    <w:rsid w:val="4D317C1C"/>
    <w:rsid w:val="4D3E2185"/>
    <w:rsid w:val="4D405AC9"/>
    <w:rsid w:val="4D524AEA"/>
    <w:rsid w:val="4D7439B5"/>
    <w:rsid w:val="4D765D77"/>
    <w:rsid w:val="4D7F287B"/>
    <w:rsid w:val="4D892D59"/>
    <w:rsid w:val="4D9D774C"/>
    <w:rsid w:val="4D9D7AFB"/>
    <w:rsid w:val="4DA264AF"/>
    <w:rsid w:val="4DA31193"/>
    <w:rsid w:val="4DA32BDF"/>
    <w:rsid w:val="4DB12E32"/>
    <w:rsid w:val="4DC83CFC"/>
    <w:rsid w:val="4DC83D33"/>
    <w:rsid w:val="4DD433B5"/>
    <w:rsid w:val="4DE7567F"/>
    <w:rsid w:val="4DEB7267"/>
    <w:rsid w:val="4DEF41A5"/>
    <w:rsid w:val="4DF16424"/>
    <w:rsid w:val="4DF26BF1"/>
    <w:rsid w:val="4DFA5A95"/>
    <w:rsid w:val="4DFF6368"/>
    <w:rsid w:val="4E036710"/>
    <w:rsid w:val="4E0B5936"/>
    <w:rsid w:val="4E113C23"/>
    <w:rsid w:val="4E265CE0"/>
    <w:rsid w:val="4E26732B"/>
    <w:rsid w:val="4E2B47CD"/>
    <w:rsid w:val="4E3166D6"/>
    <w:rsid w:val="4E4335C3"/>
    <w:rsid w:val="4E4D3421"/>
    <w:rsid w:val="4E4F657E"/>
    <w:rsid w:val="4E577798"/>
    <w:rsid w:val="4E6E0739"/>
    <w:rsid w:val="4E803ED7"/>
    <w:rsid w:val="4E8250A2"/>
    <w:rsid w:val="4E971674"/>
    <w:rsid w:val="4E9E1641"/>
    <w:rsid w:val="4EA4502F"/>
    <w:rsid w:val="4EAA2540"/>
    <w:rsid w:val="4EB11CF9"/>
    <w:rsid w:val="4EB149DC"/>
    <w:rsid w:val="4EBA2DB7"/>
    <w:rsid w:val="4EDA586A"/>
    <w:rsid w:val="4EDA6584"/>
    <w:rsid w:val="4EE53BFB"/>
    <w:rsid w:val="4EF76AB4"/>
    <w:rsid w:val="4EFC70A4"/>
    <w:rsid w:val="4F0C1EE3"/>
    <w:rsid w:val="4F1345D6"/>
    <w:rsid w:val="4F147739"/>
    <w:rsid w:val="4F1813ED"/>
    <w:rsid w:val="4F194FB8"/>
    <w:rsid w:val="4F1A0045"/>
    <w:rsid w:val="4F1E08DD"/>
    <w:rsid w:val="4F364AD6"/>
    <w:rsid w:val="4F3C1D68"/>
    <w:rsid w:val="4F447498"/>
    <w:rsid w:val="4F4E362B"/>
    <w:rsid w:val="4F4F10AC"/>
    <w:rsid w:val="4F61484A"/>
    <w:rsid w:val="4F6D6AEA"/>
    <w:rsid w:val="4F744C71"/>
    <w:rsid w:val="4F851586"/>
    <w:rsid w:val="4F89087E"/>
    <w:rsid w:val="4F890B0F"/>
    <w:rsid w:val="4F9B55C4"/>
    <w:rsid w:val="4FA470EF"/>
    <w:rsid w:val="4FB6598A"/>
    <w:rsid w:val="4FBB2D2A"/>
    <w:rsid w:val="4FBB5297"/>
    <w:rsid w:val="4FC123C9"/>
    <w:rsid w:val="4FC6376F"/>
    <w:rsid w:val="4FD310D8"/>
    <w:rsid w:val="4FD416FE"/>
    <w:rsid w:val="4FE023F1"/>
    <w:rsid w:val="4FF00335"/>
    <w:rsid w:val="4FF64D3D"/>
    <w:rsid w:val="4FFF2527"/>
    <w:rsid w:val="50022C13"/>
    <w:rsid w:val="50075397"/>
    <w:rsid w:val="500A7701"/>
    <w:rsid w:val="50165960"/>
    <w:rsid w:val="50397491"/>
    <w:rsid w:val="50435FC4"/>
    <w:rsid w:val="50467B7C"/>
    <w:rsid w:val="504D65C1"/>
    <w:rsid w:val="50514152"/>
    <w:rsid w:val="50535BCA"/>
    <w:rsid w:val="50557432"/>
    <w:rsid w:val="505605DA"/>
    <w:rsid w:val="50584C6B"/>
    <w:rsid w:val="506960C0"/>
    <w:rsid w:val="506C277D"/>
    <w:rsid w:val="506D01FF"/>
    <w:rsid w:val="50866BAB"/>
    <w:rsid w:val="508A07F1"/>
    <w:rsid w:val="5096236A"/>
    <w:rsid w:val="50B15735"/>
    <w:rsid w:val="50D06595"/>
    <w:rsid w:val="50DD75B9"/>
    <w:rsid w:val="50E12ECD"/>
    <w:rsid w:val="50F13377"/>
    <w:rsid w:val="50F43800"/>
    <w:rsid w:val="50F667D8"/>
    <w:rsid w:val="50F92CDA"/>
    <w:rsid w:val="512469DE"/>
    <w:rsid w:val="512B38A0"/>
    <w:rsid w:val="51326CC3"/>
    <w:rsid w:val="5140549F"/>
    <w:rsid w:val="514310A8"/>
    <w:rsid w:val="51436FB6"/>
    <w:rsid w:val="51485323"/>
    <w:rsid w:val="516F61E9"/>
    <w:rsid w:val="51713814"/>
    <w:rsid w:val="5172550C"/>
    <w:rsid w:val="517936F9"/>
    <w:rsid w:val="517A5C16"/>
    <w:rsid w:val="517B293B"/>
    <w:rsid w:val="51800DFD"/>
    <w:rsid w:val="51827D47"/>
    <w:rsid w:val="51966B10"/>
    <w:rsid w:val="519A0DFE"/>
    <w:rsid w:val="519E4905"/>
    <w:rsid w:val="51A002CB"/>
    <w:rsid w:val="51B36109"/>
    <w:rsid w:val="51C23A52"/>
    <w:rsid w:val="51C42B39"/>
    <w:rsid w:val="51C67537"/>
    <w:rsid w:val="51C867B5"/>
    <w:rsid w:val="51D63059"/>
    <w:rsid w:val="51E93DDF"/>
    <w:rsid w:val="51EB3674"/>
    <w:rsid w:val="51FD3E66"/>
    <w:rsid w:val="5208229C"/>
    <w:rsid w:val="521E77B3"/>
    <w:rsid w:val="52592D94"/>
    <w:rsid w:val="5285086E"/>
    <w:rsid w:val="5299003C"/>
    <w:rsid w:val="52A43285"/>
    <w:rsid w:val="52A66305"/>
    <w:rsid w:val="52B471BF"/>
    <w:rsid w:val="52BB6B4A"/>
    <w:rsid w:val="52C53598"/>
    <w:rsid w:val="52D917FA"/>
    <w:rsid w:val="52DD2582"/>
    <w:rsid w:val="52DE1EA4"/>
    <w:rsid w:val="52E23452"/>
    <w:rsid w:val="52E3271D"/>
    <w:rsid w:val="52EF20BB"/>
    <w:rsid w:val="530857BB"/>
    <w:rsid w:val="530C1F4C"/>
    <w:rsid w:val="53168351"/>
    <w:rsid w:val="531A773F"/>
    <w:rsid w:val="531D7AE8"/>
    <w:rsid w:val="531F3765"/>
    <w:rsid w:val="532028A6"/>
    <w:rsid w:val="532603F8"/>
    <w:rsid w:val="53294C00"/>
    <w:rsid w:val="532D20D5"/>
    <w:rsid w:val="53350A12"/>
    <w:rsid w:val="53390EFD"/>
    <w:rsid w:val="533A7BF4"/>
    <w:rsid w:val="53462EAB"/>
    <w:rsid w:val="53494C2B"/>
    <w:rsid w:val="534D658E"/>
    <w:rsid w:val="535F1857"/>
    <w:rsid w:val="5366583F"/>
    <w:rsid w:val="5382138E"/>
    <w:rsid w:val="538501A4"/>
    <w:rsid w:val="539E4AF8"/>
    <w:rsid w:val="53A61FCB"/>
    <w:rsid w:val="53A9514E"/>
    <w:rsid w:val="53BC05FD"/>
    <w:rsid w:val="53C502A5"/>
    <w:rsid w:val="53C53A91"/>
    <w:rsid w:val="53D26312"/>
    <w:rsid w:val="53F1305A"/>
    <w:rsid w:val="53FA3C53"/>
    <w:rsid w:val="53FB1E33"/>
    <w:rsid w:val="54017B52"/>
    <w:rsid w:val="54155E60"/>
    <w:rsid w:val="54195C61"/>
    <w:rsid w:val="541A1F8A"/>
    <w:rsid w:val="54236014"/>
    <w:rsid w:val="542900FC"/>
    <w:rsid w:val="542A2224"/>
    <w:rsid w:val="542F134D"/>
    <w:rsid w:val="54300382"/>
    <w:rsid w:val="5430412D"/>
    <w:rsid w:val="543F11CA"/>
    <w:rsid w:val="5453599A"/>
    <w:rsid w:val="54566F12"/>
    <w:rsid w:val="54615F96"/>
    <w:rsid w:val="546769A5"/>
    <w:rsid w:val="546D0CC7"/>
    <w:rsid w:val="546F3C12"/>
    <w:rsid w:val="54766E20"/>
    <w:rsid w:val="54834174"/>
    <w:rsid w:val="5489003F"/>
    <w:rsid w:val="548A7CBF"/>
    <w:rsid w:val="548D662B"/>
    <w:rsid w:val="54955D76"/>
    <w:rsid w:val="54A54F4D"/>
    <w:rsid w:val="54AB327D"/>
    <w:rsid w:val="54AE3F73"/>
    <w:rsid w:val="54B83735"/>
    <w:rsid w:val="54BE7B25"/>
    <w:rsid w:val="54CE3BAE"/>
    <w:rsid w:val="54D51955"/>
    <w:rsid w:val="54E37454"/>
    <w:rsid w:val="54E84FD4"/>
    <w:rsid w:val="54ED44E0"/>
    <w:rsid w:val="54F92AF1"/>
    <w:rsid w:val="550B424C"/>
    <w:rsid w:val="55114060"/>
    <w:rsid w:val="5511466B"/>
    <w:rsid w:val="55215437"/>
    <w:rsid w:val="5523634B"/>
    <w:rsid w:val="55310A9E"/>
    <w:rsid w:val="5545763E"/>
    <w:rsid w:val="55467702"/>
    <w:rsid w:val="554747DA"/>
    <w:rsid w:val="555255DA"/>
    <w:rsid w:val="555A0E2E"/>
    <w:rsid w:val="55674AF0"/>
    <w:rsid w:val="556C60B3"/>
    <w:rsid w:val="55714164"/>
    <w:rsid w:val="55730AC6"/>
    <w:rsid w:val="55785C90"/>
    <w:rsid w:val="557931CB"/>
    <w:rsid w:val="558459CE"/>
    <w:rsid w:val="558801D8"/>
    <w:rsid w:val="55883D82"/>
    <w:rsid w:val="55912164"/>
    <w:rsid w:val="5595073D"/>
    <w:rsid w:val="559D3806"/>
    <w:rsid w:val="559D43FA"/>
    <w:rsid w:val="55A04466"/>
    <w:rsid w:val="55A2255B"/>
    <w:rsid w:val="55A91556"/>
    <w:rsid w:val="55A95F18"/>
    <w:rsid w:val="55AF67D0"/>
    <w:rsid w:val="55C44544"/>
    <w:rsid w:val="55E03E74"/>
    <w:rsid w:val="55E14617"/>
    <w:rsid w:val="55E31575"/>
    <w:rsid w:val="55EA548B"/>
    <w:rsid w:val="55ED318A"/>
    <w:rsid w:val="55F56B2C"/>
    <w:rsid w:val="55FF72C8"/>
    <w:rsid w:val="56011339"/>
    <w:rsid w:val="560B6EB6"/>
    <w:rsid w:val="56183B10"/>
    <w:rsid w:val="561D5ED7"/>
    <w:rsid w:val="56331871"/>
    <w:rsid w:val="563E2964"/>
    <w:rsid w:val="563E6C41"/>
    <w:rsid w:val="56420695"/>
    <w:rsid w:val="56536732"/>
    <w:rsid w:val="56642F0D"/>
    <w:rsid w:val="56661B4F"/>
    <w:rsid w:val="566C1F01"/>
    <w:rsid w:val="566F66C9"/>
    <w:rsid w:val="5696457B"/>
    <w:rsid w:val="569A049E"/>
    <w:rsid w:val="569A1D27"/>
    <w:rsid w:val="569B7D8D"/>
    <w:rsid w:val="569E2E1E"/>
    <w:rsid w:val="56A21D8E"/>
    <w:rsid w:val="56BE4025"/>
    <w:rsid w:val="56CD6F74"/>
    <w:rsid w:val="56DB3D0C"/>
    <w:rsid w:val="56E90AA3"/>
    <w:rsid w:val="56F45553"/>
    <w:rsid w:val="56F9086D"/>
    <w:rsid w:val="570574FD"/>
    <w:rsid w:val="571118F2"/>
    <w:rsid w:val="57162417"/>
    <w:rsid w:val="57224254"/>
    <w:rsid w:val="573454FC"/>
    <w:rsid w:val="5735569F"/>
    <w:rsid w:val="57376624"/>
    <w:rsid w:val="57455939"/>
    <w:rsid w:val="57463D40"/>
    <w:rsid w:val="57536DED"/>
    <w:rsid w:val="57576ED8"/>
    <w:rsid w:val="5760035A"/>
    <w:rsid w:val="576077E8"/>
    <w:rsid w:val="57614753"/>
    <w:rsid w:val="57664BC2"/>
    <w:rsid w:val="576B494B"/>
    <w:rsid w:val="57701837"/>
    <w:rsid w:val="577035F8"/>
    <w:rsid w:val="57856723"/>
    <w:rsid w:val="578B5B8D"/>
    <w:rsid w:val="57900883"/>
    <w:rsid w:val="579E531F"/>
    <w:rsid w:val="57A7215B"/>
    <w:rsid w:val="57A87E9D"/>
    <w:rsid w:val="57B9556F"/>
    <w:rsid w:val="57C03C59"/>
    <w:rsid w:val="57D64FC7"/>
    <w:rsid w:val="57E478EF"/>
    <w:rsid w:val="57E57C72"/>
    <w:rsid w:val="57F364FD"/>
    <w:rsid w:val="57FD5517"/>
    <w:rsid w:val="580A4C1C"/>
    <w:rsid w:val="5815278F"/>
    <w:rsid w:val="58211C44"/>
    <w:rsid w:val="584D1023"/>
    <w:rsid w:val="584F5065"/>
    <w:rsid w:val="58500FC6"/>
    <w:rsid w:val="58530075"/>
    <w:rsid w:val="585722FF"/>
    <w:rsid w:val="58661530"/>
    <w:rsid w:val="586A2464"/>
    <w:rsid w:val="58786C76"/>
    <w:rsid w:val="587C3438"/>
    <w:rsid w:val="58835315"/>
    <w:rsid w:val="5892765F"/>
    <w:rsid w:val="589907E9"/>
    <w:rsid w:val="58997C2B"/>
    <w:rsid w:val="58A606E3"/>
    <w:rsid w:val="58BA6A0F"/>
    <w:rsid w:val="58C35012"/>
    <w:rsid w:val="58C840BD"/>
    <w:rsid w:val="58D10943"/>
    <w:rsid w:val="58D802CE"/>
    <w:rsid w:val="58E608E9"/>
    <w:rsid w:val="58E652F7"/>
    <w:rsid w:val="58ED41A5"/>
    <w:rsid w:val="58F02455"/>
    <w:rsid w:val="58F830AB"/>
    <w:rsid w:val="58FD0973"/>
    <w:rsid w:val="590E402B"/>
    <w:rsid w:val="591D44AA"/>
    <w:rsid w:val="592503CD"/>
    <w:rsid w:val="59376EDF"/>
    <w:rsid w:val="593A1458"/>
    <w:rsid w:val="593E6D79"/>
    <w:rsid w:val="595C55B1"/>
    <w:rsid w:val="5967194E"/>
    <w:rsid w:val="5969631D"/>
    <w:rsid w:val="59775B3F"/>
    <w:rsid w:val="597D20E1"/>
    <w:rsid w:val="59876B97"/>
    <w:rsid w:val="5988770A"/>
    <w:rsid w:val="598A0F87"/>
    <w:rsid w:val="598F39A7"/>
    <w:rsid w:val="59907A7D"/>
    <w:rsid w:val="59A776A2"/>
    <w:rsid w:val="59C60AC7"/>
    <w:rsid w:val="59DE0E81"/>
    <w:rsid w:val="59E328B4"/>
    <w:rsid w:val="59EC1C7E"/>
    <w:rsid w:val="59F55F3A"/>
    <w:rsid w:val="59FF3279"/>
    <w:rsid w:val="5A027E8B"/>
    <w:rsid w:val="5A055F1D"/>
    <w:rsid w:val="5A0C0177"/>
    <w:rsid w:val="5A1153B7"/>
    <w:rsid w:val="5A176A5C"/>
    <w:rsid w:val="5A226FEB"/>
    <w:rsid w:val="5A264814"/>
    <w:rsid w:val="5A2E6681"/>
    <w:rsid w:val="5A2F7B9F"/>
    <w:rsid w:val="5A310739"/>
    <w:rsid w:val="5A416A3F"/>
    <w:rsid w:val="5A4E6BB6"/>
    <w:rsid w:val="5A520B68"/>
    <w:rsid w:val="5A5974E1"/>
    <w:rsid w:val="5A5D4916"/>
    <w:rsid w:val="5A6460D7"/>
    <w:rsid w:val="5A650D5A"/>
    <w:rsid w:val="5A692FE3"/>
    <w:rsid w:val="5A6D039C"/>
    <w:rsid w:val="5A6E4EEC"/>
    <w:rsid w:val="5A7E7141"/>
    <w:rsid w:val="5A807748"/>
    <w:rsid w:val="5A812888"/>
    <w:rsid w:val="5A82030A"/>
    <w:rsid w:val="5A8D3BD3"/>
    <w:rsid w:val="5A9435DB"/>
    <w:rsid w:val="5A974263"/>
    <w:rsid w:val="5A9802AF"/>
    <w:rsid w:val="5A9F4D66"/>
    <w:rsid w:val="5AA553C6"/>
    <w:rsid w:val="5AB86B0D"/>
    <w:rsid w:val="5AC304A7"/>
    <w:rsid w:val="5AC52078"/>
    <w:rsid w:val="5AC57206"/>
    <w:rsid w:val="5AC828B1"/>
    <w:rsid w:val="5ACE2005"/>
    <w:rsid w:val="5AD03C8C"/>
    <w:rsid w:val="5AD05E8B"/>
    <w:rsid w:val="5AD826CF"/>
    <w:rsid w:val="5ADD2FA2"/>
    <w:rsid w:val="5AE470AA"/>
    <w:rsid w:val="5AEF673F"/>
    <w:rsid w:val="5B066265"/>
    <w:rsid w:val="5B0C5D86"/>
    <w:rsid w:val="5B1B0888"/>
    <w:rsid w:val="5B25751A"/>
    <w:rsid w:val="5B373F80"/>
    <w:rsid w:val="5B3A1A5D"/>
    <w:rsid w:val="5B3D3ED3"/>
    <w:rsid w:val="5B3F1CF9"/>
    <w:rsid w:val="5B63111D"/>
    <w:rsid w:val="5B682B4C"/>
    <w:rsid w:val="5B721297"/>
    <w:rsid w:val="5B7604D4"/>
    <w:rsid w:val="5B8B10A8"/>
    <w:rsid w:val="5B9062C9"/>
    <w:rsid w:val="5B984419"/>
    <w:rsid w:val="5B9B0DD6"/>
    <w:rsid w:val="5BA1011B"/>
    <w:rsid w:val="5BEA3702"/>
    <w:rsid w:val="5BF04EF2"/>
    <w:rsid w:val="5BF20158"/>
    <w:rsid w:val="5BF46DE5"/>
    <w:rsid w:val="5BFEE2C6"/>
    <w:rsid w:val="5BFF40A7"/>
    <w:rsid w:val="5C1E5B2C"/>
    <w:rsid w:val="5C401075"/>
    <w:rsid w:val="5C5E2199"/>
    <w:rsid w:val="5C681846"/>
    <w:rsid w:val="5C710221"/>
    <w:rsid w:val="5C751DA6"/>
    <w:rsid w:val="5C7A3CC8"/>
    <w:rsid w:val="5CB92018"/>
    <w:rsid w:val="5CC45222"/>
    <w:rsid w:val="5CC532CD"/>
    <w:rsid w:val="5CC62AC2"/>
    <w:rsid w:val="5CCB397C"/>
    <w:rsid w:val="5CD20825"/>
    <w:rsid w:val="5CD63E11"/>
    <w:rsid w:val="5CD9275C"/>
    <w:rsid w:val="5CE060F2"/>
    <w:rsid w:val="5CEC62BA"/>
    <w:rsid w:val="5CF40D75"/>
    <w:rsid w:val="5CFA1BB9"/>
    <w:rsid w:val="5CFE363F"/>
    <w:rsid w:val="5D031FF7"/>
    <w:rsid w:val="5D032927"/>
    <w:rsid w:val="5D403368"/>
    <w:rsid w:val="5D441192"/>
    <w:rsid w:val="5D4553D8"/>
    <w:rsid w:val="5D4B0B1D"/>
    <w:rsid w:val="5D5071A3"/>
    <w:rsid w:val="5D536001"/>
    <w:rsid w:val="5D6B1052"/>
    <w:rsid w:val="5D6F407F"/>
    <w:rsid w:val="5D771705"/>
    <w:rsid w:val="5D881D40"/>
    <w:rsid w:val="5D9C1821"/>
    <w:rsid w:val="5D9F27A5"/>
    <w:rsid w:val="5DA318E1"/>
    <w:rsid w:val="5DB97149"/>
    <w:rsid w:val="5DC47ABF"/>
    <w:rsid w:val="5DCB6E46"/>
    <w:rsid w:val="5DDA298A"/>
    <w:rsid w:val="5DDD390F"/>
    <w:rsid w:val="5DE6099B"/>
    <w:rsid w:val="5DE8426B"/>
    <w:rsid w:val="5DF9205E"/>
    <w:rsid w:val="5DFC7D19"/>
    <w:rsid w:val="5DFD6A81"/>
    <w:rsid w:val="5DFE6280"/>
    <w:rsid w:val="5DFF8E5B"/>
    <w:rsid w:val="5E020DC1"/>
    <w:rsid w:val="5E143650"/>
    <w:rsid w:val="5E145FE7"/>
    <w:rsid w:val="5E15137E"/>
    <w:rsid w:val="5E16138B"/>
    <w:rsid w:val="5E18345C"/>
    <w:rsid w:val="5E1A1BB4"/>
    <w:rsid w:val="5E2320EB"/>
    <w:rsid w:val="5E361A1F"/>
    <w:rsid w:val="5E394E46"/>
    <w:rsid w:val="5E512FB1"/>
    <w:rsid w:val="5E55204D"/>
    <w:rsid w:val="5E571F54"/>
    <w:rsid w:val="5E5879D5"/>
    <w:rsid w:val="5E850907"/>
    <w:rsid w:val="5E967FCE"/>
    <w:rsid w:val="5EA04E53"/>
    <w:rsid w:val="5EC04F4C"/>
    <w:rsid w:val="5ECE1DC4"/>
    <w:rsid w:val="5ED502E4"/>
    <w:rsid w:val="5ED58D1C"/>
    <w:rsid w:val="5ED8702A"/>
    <w:rsid w:val="5EDB21F9"/>
    <w:rsid w:val="5EEF9038"/>
    <w:rsid w:val="5F0458F0"/>
    <w:rsid w:val="5F056BF5"/>
    <w:rsid w:val="5F0E1A83"/>
    <w:rsid w:val="5F13398C"/>
    <w:rsid w:val="5F14329E"/>
    <w:rsid w:val="5F1C681A"/>
    <w:rsid w:val="5F2865C6"/>
    <w:rsid w:val="5F2B62D7"/>
    <w:rsid w:val="5F41719C"/>
    <w:rsid w:val="5F495969"/>
    <w:rsid w:val="5F4B4FCC"/>
    <w:rsid w:val="5F507F6E"/>
    <w:rsid w:val="5F5C4891"/>
    <w:rsid w:val="5F644A2B"/>
    <w:rsid w:val="5F791132"/>
    <w:rsid w:val="5F7F3BF1"/>
    <w:rsid w:val="5F8553EA"/>
    <w:rsid w:val="5F8758FC"/>
    <w:rsid w:val="5F8B6ACE"/>
    <w:rsid w:val="5F8C2351"/>
    <w:rsid w:val="5F9D7B89"/>
    <w:rsid w:val="5FA244F5"/>
    <w:rsid w:val="5FAB269C"/>
    <w:rsid w:val="5FB05FDB"/>
    <w:rsid w:val="5FBE1A13"/>
    <w:rsid w:val="5FBEF7CA"/>
    <w:rsid w:val="5FE926EA"/>
    <w:rsid w:val="5FEA371C"/>
    <w:rsid w:val="5FEF561F"/>
    <w:rsid w:val="5FF8BD0F"/>
    <w:rsid w:val="60033294"/>
    <w:rsid w:val="60093533"/>
    <w:rsid w:val="602D7738"/>
    <w:rsid w:val="603749E8"/>
    <w:rsid w:val="60397EEB"/>
    <w:rsid w:val="605B628E"/>
    <w:rsid w:val="605F2135"/>
    <w:rsid w:val="60661CB4"/>
    <w:rsid w:val="60680CFC"/>
    <w:rsid w:val="609B459D"/>
    <w:rsid w:val="60B50B3A"/>
    <w:rsid w:val="60BD26C3"/>
    <w:rsid w:val="60CB1201"/>
    <w:rsid w:val="60D57674"/>
    <w:rsid w:val="60FB2E14"/>
    <w:rsid w:val="610A46D2"/>
    <w:rsid w:val="610E11C8"/>
    <w:rsid w:val="613D59FB"/>
    <w:rsid w:val="61474825"/>
    <w:rsid w:val="614C6C39"/>
    <w:rsid w:val="614D672E"/>
    <w:rsid w:val="614F1C31"/>
    <w:rsid w:val="616344C8"/>
    <w:rsid w:val="61645DDA"/>
    <w:rsid w:val="617043CA"/>
    <w:rsid w:val="617B6360"/>
    <w:rsid w:val="617D4CFF"/>
    <w:rsid w:val="619736AB"/>
    <w:rsid w:val="619E45E8"/>
    <w:rsid w:val="61A00737"/>
    <w:rsid w:val="61A85DC7"/>
    <w:rsid w:val="61AE7A4D"/>
    <w:rsid w:val="61BE38B3"/>
    <w:rsid w:val="61C575C2"/>
    <w:rsid w:val="61C84D1C"/>
    <w:rsid w:val="61D37C8C"/>
    <w:rsid w:val="61D60EE1"/>
    <w:rsid w:val="61E26933"/>
    <w:rsid w:val="61F35F8E"/>
    <w:rsid w:val="61FA20CA"/>
    <w:rsid w:val="620F67EC"/>
    <w:rsid w:val="62123412"/>
    <w:rsid w:val="621F230A"/>
    <w:rsid w:val="621F7F2A"/>
    <w:rsid w:val="622125BB"/>
    <w:rsid w:val="62224E46"/>
    <w:rsid w:val="62342C01"/>
    <w:rsid w:val="62371E44"/>
    <w:rsid w:val="623B3B21"/>
    <w:rsid w:val="624006F4"/>
    <w:rsid w:val="62462C32"/>
    <w:rsid w:val="62490F50"/>
    <w:rsid w:val="627D641B"/>
    <w:rsid w:val="6282344D"/>
    <w:rsid w:val="62A600FE"/>
    <w:rsid w:val="62BE639E"/>
    <w:rsid w:val="62C14884"/>
    <w:rsid w:val="62D21DAE"/>
    <w:rsid w:val="62DC677B"/>
    <w:rsid w:val="62F12662"/>
    <w:rsid w:val="63143347"/>
    <w:rsid w:val="63231560"/>
    <w:rsid w:val="63283E2E"/>
    <w:rsid w:val="633B5253"/>
    <w:rsid w:val="633E6985"/>
    <w:rsid w:val="63462E11"/>
    <w:rsid w:val="63493EEF"/>
    <w:rsid w:val="63523981"/>
    <w:rsid w:val="63562387"/>
    <w:rsid w:val="63585E5B"/>
    <w:rsid w:val="63653EEF"/>
    <w:rsid w:val="63672760"/>
    <w:rsid w:val="63685B24"/>
    <w:rsid w:val="636F0D32"/>
    <w:rsid w:val="637606BD"/>
    <w:rsid w:val="63795A49"/>
    <w:rsid w:val="637C7EE7"/>
    <w:rsid w:val="638144D0"/>
    <w:rsid w:val="63854E93"/>
    <w:rsid w:val="63860958"/>
    <w:rsid w:val="638815B3"/>
    <w:rsid w:val="63963B87"/>
    <w:rsid w:val="639E4E11"/>
    <w:rsid w:val="63A87FCC"/>
    <w:rsid w:val="63AC2B70"/>
    <w:rsid w:val="63B178D8"/>
    <w:rsid w:val="63D755FD"/>
    <w:rsid w:val="63DE606F"/>
    <w:rsid w:val="63FC5660"/>
    <w:rsid w:val="64053E74"/>
    <w:rsid w:val="64083E82"/>
    <w:rsid w:val="640F2D52"/>
    <w:rsid w:val="64111F1C"/>
    <w:rsid w:val="6413620B"/>
    <w:rsid w:val="641B1E04"/>
    <w:rsid w:val="641D1A3E"/>
    <w:rsid w:val="64342E0C"/>
    <w:rsid w:val="64371DB5"/>
    <w:rsid w:val="64642B4F"/>
    <w:rsid w:val="64657FC6"/>
    <w:rsid w:val="64730788"/>
    <w:rsid w:val="64733E7D"/>
    <w:rsid w:val="647D1DE9"/>
    <w:rsid w:val="647E414F"/>
    <w:rsid w:val="64803649"/>
    <w:rsid w:val="649B5764"/>
    <w:rsid w:val="64B70E5B"/>
    <w:rsid w:val="64CF1BF3"/>
    <w:rsid w:val="64D00547"/>
    <w:rsid w:val="64D4607B"/>
    <w:rsid w:val="64D7377C"/>
    <w:rsid w:val="64E32E12"/>
    <w:rsid w:val="64E95451"/>
    <w:rsid w:val="64F36F9D"/>
    <w:rsid w:val="650156AA"/>
    <w:rsid w:val="65015C46"/>
    <w:rsid w:val="65126F50"/>
    <w:rsid w:val="652006F9"/>
    <w:rsid w:val="65351D4D"/>
    <w:rsid w:val="65374A9B"/>
    <w:rsid w:val="6541028B"/>
    <w:rsid w:val="6544001C"/>
    <w:rsid w:val="655119E4"/>
    <w:rsid w:val="659325BB"/>
    <w:rsid w:val="65A74CE3"/>
    <w:rsid w:val="65AC4A59"/>
    <w:rsid w:val="65BB2AF6"/>
    <w:rsid w:val="65C3703C"/>
    <w:rsid w:val="65CC158F"/>
    <w:rsid w:val="65CD0811"/>
    <w:rsid w:val="65CD1C2F"/>
    <w:rsid w:val="65CE3D15"/>
    <w:rsid w:val="65CF1F6D"/>
    <w:rsid w:val="65D66F23"/>
    <w:rsid w:val="65E03FA0"/>
    <w:rsid w:val="65EE45C9"/>
    <w:rsid w:val="660B3B79"/>
    <w:rsid w:val="661121FF"/>
    <w:rsid w:val="66161F0A"/>
    <w:rsid w:val="661C16CE"/>
    <w:rsid w:val="661E388F"/>
    <w:rsid w:val="6625055C"/>
    <w:rsid w:val="662759AF"/>
    <w:rsid w:val="6629329F"/>
    <w:rsid w:val="662967CB"/>
    <w:rsid w:val="662F62E2"/>
    <w:rsid w:val="66375CC2"/>
    <w:rsid w:val="664C23E4"/>
    <w:rsid w:val="66616B07"/>
    <w:rsid w:val="66645100"/>
    <w:rsid w:val="666D4B17"/>
    <w:rsid w:val="666D6658"/>
    <w:rsid w:val="667679A5"/>
    <w:rsid w:val="667F57F4"/>
    <w:rsid w:val="66803B38"/>
    <w:rsid w:val="668A714C"/>
    <w:rsid w:val="66A07CE1"/>
    <w:rsid w:val="66B41777"/>
    <w:rsid w:val="66B750F9"/>
    <w:rsid w:val="66C17E25"/>
    <w:rsid w:val="66DF657A"/>
    <w:rsid w:val="66E35DDB"/>
    <w:rsid w:val="66F50CE7"/>
    <w:rsid w:val="66FC73F1"/>
    <w:rsid w:val="67077294"/>
    <w:rsid w:val="670A5C9B"/>
    <w:rsid w:val="67113F6B"/>
    <w:rsid w:val="67122D16"/>
    <w:rsid w:val="6714684D"/>
    <w:rsid w:val="671C723A"/>
    <w:rsid w:val="6720772C"/>
    <w:rsid w:val="6733082F"/>
    <w:rsid w:val="674863A9"/>
    <w:rsid w:val="67545C2F"/>
    <w:rsid w:val="67576231"/>
    <w:rsid w:val="675B0931"/>
    <w:rsid w:val="67727122"/>
    <w:rsid w:val="67834660"/>
    <w:rsid w:val="678407D8"/>
    <w:rsid w:val="679131F5"/>
    <w:rsid w:val="679930A9"/>
    <w:rsid w:val="67AA2321"/>
    <w:rsid w:val="67AB1C24"/>
    <w:rsid w:val="67AD5E70"/>
    <w:rsid w:val="67AE1A89"/>
    <w:rsid w:val="67AF2A2D"/>
    <w:rsid w:val="67B7080D"/>
    <w:rsid w:val="67B87D01"/>
    <w:rsid w:val="67BB89E2"/>
    <w:rsid w:val="67D07FE2"/>
    <w:rsid w:val="67DC7568"/>
    <w:rsid w:val="67E027FB"/>
    <w:rsid w:val="67E74FA3"/>
    <w:rsid w:val="67EE08E0"/>
    <w:rsid w:val="67EF09C8"/>
    <w:rsid w:val="67F10303"/>
    <w:rsid w:val="67F13B6E"/>
    <w:rsid w:val="67F4369A"/>
    <w:rsid w:val="67FA4137"/>
    <w:rsid w:val="680F1CC5"/>
    <w:rsid w:val="682A7B15"/>
    <w:rsid w:val="682C1A38"/>
    <w:rsid w:val="682E1879"/>
    <w:rsid w:val="68434A9E"/>
    <w:rsid w:val="68465AD9"/>
    <w:rsid w:val="684B52E3"/>
    <w:rsid w:val="684C53AD"/>
    <w:rsid w:val="684E44D8"/>
    <w:rsid w:val="68592455"/>
    <w:rsid w:val="686A495D"/>
    <w:rsid w:val="686D22A4"/>
    <w:rsid w:val="687F24BE"/>
    <w:rsid w:val="68837930"/>
    <w:rsid w:val="68866E94"/>
    <w:rsid w:val="68956356"/>
    <w:rsid w:val="68967D88"/>
    <w:rsid w:val="689D062F"/>
    <w:rsid w:val="689D4855"/>
    <w:rsid w:val="68A75245"/>
    <w:rsid w:val="68AE6DA2"/>
    <w:rsid w:val="68B7623C"/>
    <w:rsid w:val="68BE4D9A"/>
    <w:rsid w:val="68C61492"/>
    <w:rsid w:val="690875D7"/>
    <w:rsid w:val="690957CE"/>
    <w:rsid w:val="69157C32"/>
    <w:rsid w:val="69224249"/>
    <w:rsid w:val="692A5C95"/>
    <w:rsid w:val="692F1E98"/>
    <w:rsid w:val="693E191B"/>
    <w:rsid w:val="694420C2"/>
    <w:rsid w:val="695210A4"/>
    <w:rsid w:val="695F1CF3"/>
    <w:rsid w:val="69681BF2"/>
    <w:rsid w:val="697C5A9F"/>
    <w:rsid w:val="697F39F5"/>
    <w:rsid w:val="698F6CBE"/>
    <w:rsid w:val="699F67E0"/>
    <w:rsid w:val="69BC1581"/>
    <w:rsid w:val="69CD2BC3"/>
    <w:rsid w:val="69E85161"/>
    <w:rsid w:val="69EA60D3"/>
    <w:rsid w:val="69F17C5C"/>
    <w:rsid w:val="69FA2AEA"/>
    <w:rsid w:val="69FC76B5"/>
    <w:rsid w:val="6A026726"/>
    <w:rsid w:val="6A0E36C1"/>
    <w:rsid w:val="6A133A87"/>
    <w:rsid w:val="6A1978E3"/>
    <w:rsid w:val="6A1E7827"/>
    <w:rsid w:val="6A2656ED"/>
    <w:rsid w:val="6A275408"/>
    <w:rsid w:val="6A336DDD"/>
    <w:rsid w:val="6A477628"/>
    <w:rsid w:val="6A5269FC"/>
    <w:rsid w:val="6A5741EF"/>
    <w:rsid w:val="6A7D5437"/>
    <w:rsid w:val="6A8F6033"/>
    <w:rsid w:val="6A941566"/>
    <w:rsid w:val="6A9F107A"/>
    <w:rsid w:val="6AAB3C17"/>
    <w:rsid w:val="6AC7223E"/>
    <w:rsid w:val="6AD351DF"/>
    <w:rsid w:val="6AD40FE2"/>
    <w:rsid w:val="6AEE2655"/>
    <w:rsid w:val="6AFD6E95"/>
    <w:rsid w:val="6B01589B"/>
    <w:rsid w:val="6B0C16AE"/>
    <w:rsid w:val="6B103335"/>
    <w:rsid w:val="6B126FFB"/>
    <w:rsid w:val="6B13589C"/>
    <w:rsid w:val="6B1B1053"/>
    <w:rsid w:val="6B2D753A"/>
    <w:rsid w:val="6B934A8C"/>
    <w:rsid w:val="6B9A0018"/>
    <w:rsid w:val="6BAD2E99"/>
    <w:rsid w:val="6BB273DD"/>
    <w:rsid w:val="6BB40BC2"/>
    <w:rsid w:val="6BC3019F"/>
    <w:rsid w:val="6BD858FE"/>
    <w:rsid w:val="6BDA643D"/>
    <w:rsid w:val="6BE47193"/>
    <w:rsid w:val="6BFB3534"/>
    <w:rsid w:val="6BFF78F4"/>
    <w:rsid w:val="6C0B15D1"/>
    <w:rsid w:val="6C147768"/>
    <w:rsid w:val="6C283323"/>
    <w:rsid w:val="6C2E088C"/>
    <w:rsid w:val="6C2F630D"/>
    <w:rsid w:val="6C311810"/>
    <w:rsid w:val="6C334D13"/>
    <w:rsid w:val="6C593079"/>
    <w:rsid w:val="6C5938CE"/>
    <w:rsid w:val="6C5E073E"/>
    <w:rsid w:val="6C5F3259"/>
    <w:rsid w:val="6C62765B"/>
    <w:rsid w:val="6C693B68"/>
    <w:rsid w:val="6C6D256F"/>
    <w:rsid w:val="6C7D608C"/>
    <w:rsid w:val="6C8525C9"/>
    <w:rsid w:val="6C8C56EC"/>
    <w:rsid w:val="6C91265D"/>
    <w:rsid w:val="6C9730A3"/>
    <w:rsid w:val="6C9E7630"/>
    <w:rsid w:val="6CB03ECB"/>
    <w:rsid w:val="6CBC13F4"/>
    <w:rsid w:val="6CF56477"/>
    <w:rsid w:val="6D0324A9"/>
    <w:rsid w:val="6D21354E"/>
    <w:rsid w:val="6D3135B1"/>
    <w:rsid w:val="6D32368B"/>
    <w:rsid w:val="6D326E35"/>
    <w:rsid w:val="6D393A02"/>
    <w:rsid w:val="6D3C3797"/>
    <w:rsid w:val="6D3C3DDA"/>
    <w:rsid w:val="6D403BCC"/>
    <w:rsid w:val="6D4E0963"/>
    <w:rsid w:val="6D60076F"/>
    <w:rsid w:val="6D814423"/>
    <w:rsid w:val="6D981DAA"/>
    <w:rsid w:val="6D9B2125"/>
    <w:rsid w:val="6DAB79F8"/>
    <w:rsid w:val="6DB335AD"/>
    <w:rsid w:val="6DBB7283"/>
    <w:rsid w:val="6DBF3DB3"/>
    <w:rsid w:val="6DC1522F"/>
    <w:rsid w:val="6DC367F1"/>
    <w:rsid w:val="6DCB6AC5"/>
    <w:rsid w:val="6DCD1231"/>
    <w:rsid w:val="6DCE0682"/>
    <w:rsid w:val="6DD079A1"/>
    <w:rsid w:val="6DD540BF"/>
    <w:rsid w:val="6DE45083"/>
    <w:rsid w:val="6DE61A00"/>
    <w:rsid w:val="6DE90B62"/>
    <w:rsid w:val="6DEC52E3"/>
    <w:rsid w:val="6DED7568"/>
    <w:rsid w:val="6DEE71E8"/>
    <w:rsid w:val="6DF56252"/>
    <w:rsid w:val="6DF95579"/>
    <w:rsid w:val="6DFF7482"/>
    <w:rsid w:val="6E125087"/>
    <w:rsid w:val="6E2B03EE"/>
    <w:rsid w:val="6E2C0351"/>
    <w:rsid w:val="6E535F76"/>
    <w:rsid w:val="6E5C309F"/>
    <w:rsid w:val="6E5F4023"/>
    <w:rsid w:val="6E6332C2"/>
    <w:rsid w:val="6E771241"/>
    <w:rsid w:val="6E7A00E5"/>
    <w:rsid w:val="6E916434"/>
    <w:rsid w:val="6E955586"/>
    <w:rsid w:val="6E9678DF"/>
    <w:rsid w:val="6E991E88"/>
    <w:rsid w:val="6E9B6407"/>
    <w:rsid w:val="6E9F4E0D"/>
    <w:rsid w:val="6EA56D16"/>
    <w:rsid w:val="6EAD1BA4"/>
    <w:rsid w:val="6EB34FFD"/>
    <w:rsid w:val="6EBA1C6E"/>
    <w:rsid w:val="6EBB41D5"/>
    <w:rsid w:val="6EBB7899"/>
    <w:rsid w:val="6EC247CF"/>
    <w:rsid w:val="6ECB3B59"/>
    <w:rsid w:val="6ED055DC"/>
    <w:rsid w:val="6ED3075F"/>
    <w:rsid w:val="6EDA00EA"/>
    <w:rsid w:val="6EDE7944"/>
    <w:rsid w:val="6EFD4D54"/>
    <w:rsid w:val="6F052629"/>
    <w:rsid w:val="6F0F078B"/>
    <w:rsid w:val="6F103E64"/>
    <w:rsid w:val="6F301D80"/>
    <w:rsid w:val="6F395DBE"/>
    <w:rsid w:val="6F4F1897"/>
    <w:rsid w:val="6F5C3423"/>
    <w:rsid w:val="6F6365B5"/>
    <w:rsid w:val="6F6405CC"/>
    <w:rsid w:val="6F6E56A9"/>
    <w:rsid w:val="6F80468A"/>
    <w:rsid w:val="6F8D7759"/>
    <w:rsid w:val="6FA8129B"/>
    <w:rsid w:val="6FB43F80"/>
    <w:rsid w:val="6FBC3353"/>
    <w:rsid w:val="6FC12966"/>
    <w:rsid w:val="6FC65C18"/>
    <w:rsid w:val="6FC771A9"/>
    <w:rsid w:val="6FCEDAC3"/>
    <w:rsid w:val="6FE74DA4"/>
    <w:rsid w:val="6FE87BD7"/>
    <w:rsid w:val="6FE9AA62"/>
    <w:rsid w:val="6FF54612"/>
    <w:rsid w:val="6FFC4D49"/>
    <w:rsid w:val="70061DD5"/>
    <w:rsid w:val="700A2EA4"/>
    <w:rsid w:val="700F0699"/>
    <w:rsid w:val="701143E5"/>
    <w:rsid w:val="70115BE8"/>
    <w:rsid w:val="701A42F9"/>
    <w:rsid w:val="701C3068"/>
    <w:rsid w:val="70263280"/>
    <w:rsid w:val="70296149"/>
    <w:rsid w:val="70371E59"/>
    <w:rsid w:val="703B2038"/>
    <w:rsid w:val="704A3F52"/>
    <w:rsid w:val="70670B75"/>
    <w:rsid w:val="70725518"/>
    <w:rsid w:val="70792114"/>
    <w:rsid w:val="707D0EA3"/>
    <w:rsid w:val="708169A5"/>
    <w:rsid w:val="7083460A"/>
    <w:rsid w:val="708375CB"/>
    <w:rsid w:val="7088492D"/>
    <w:rsid w:val="708900D5"/>
    <w:rsid w:val="708964CF"/>
    <w:rsid w:val="709031AF"/>
    <w:rsid w:val="709464B2"/>
    <w:rsid w:val="70964278"/>
    <w:rsid w:val="70970DF1"/>
    <w:rsid w:val="70987728"/>
    <w:rsid w:val="70A233F8"/>
    <w:rsid w:val="70A55756"/>
    <w:rsid w:val="70AC7F54"/>
    <w:rsid w:val="70B85801"/>
    <w:rsid w:val="70C66B9E"/>
    <w:rsid w:val="70CF0E95"/>
    <w:rsid w:val="70DD189A"/>
    <w:rsid w:val="70DE1C34"/>
    <w:rsid w:val="70F57B4D"/>
    <w:rsid w:val="710D3ED8"/>
    <w:rsid w:val="710E7DAB"/>
    <w:rsid w:val="711104D1"/>
    <w:rsid w:val="71131BDB"/>
    <w:rsid w:val="711517B6"/>
    <w:rsid w:val="7131433F"/>
    <w:rsid w:val="71374B1F"/>
    <w:rsid w:val="71456678"/>
    <w:rsid w:val="715C6396"/>
    <w:rsid w:val="7160626D"/>
    <w:rsid w:val="716B07A3"/>
    <w:rsid w:val="718627B2"/>
    <w:rsid w:val="71881A13"/>
    <w:rsid w:val="718A79D3"/>
    <w:rsid w:val="71982D1A"/>
    <w:rsid w:val="719A5A6F"/>
    <w:rsid w:val="719B26AB"/>
    <w:rsid w:val="71A053FA"/>
    <w:rsid w:val="71A86F83"/>
    <w:rsid w:val="71B95256"/>
    <w:rsid w:val="71C66478"/>
    <w:rsid w:val="71CD1741"/>
    <w:rsid w:val="71E15DA2"/>
    <w:rsid w:val="71E32E0E"/>
    <w:rsid w:val="71E8649F"/>
    <w:rsid w:val="71EE7630"/>
    <w:rsid w:val="72176A8A"/>
    <w:rsid w:val="722253BF"/>
    <w:rsid w:val="7228359B"/>
    <w:rsid w:val="722B63A9"/>
    <w:rsid w:val="722F5586"/>
    <w:rsid w:val="72583823"/>
    <w:rsid w:val="72641F16"/>
    <w:rsid w:val="726707D6"/>
    <w:rsid w:val="726915C0"/>
    <w:rsid w:val="726A024D"/>
    <w:rsid w:val="726A1C2B"/>
    <w:rsid w:val="72797D01"/>
    <w:rsid w:val="728D094F"/>
    <w:rsid w:val="72920205"/>
    <w:rsid w:val="7299177D"/>
    <w:rsid w:val="72A21D33"/>
    <w:rsid w:val="72A51424"/>
    <w:rsid w:val="72A85586"/>
    <w:rsid w:val="72B574C1"/>
    <w:rsid w:val="72BE0CF1"/>
    <w:rsid w:val="72CD62BE"/>
    <w:rsid w:val="72CF1270"/>
    <w:rsid w:val="72CF187A"/>
    <w:rsid w:val="72DA40B4"/>
    <w:rsid w:val="72DE3D67"/>
    <w:rsid w:val="72ED0FEB"/>
    <w:rsid w:val="72EF2AAE"/>
    <w:rsid w:val="72F0545A"/>
    <w:rsid w:val="72FB186C"/>
    <w:rsid w:val="730317BE"/>
    <w:rsid w:val="73035F99"/>
    <w:rsid w:val="73054F4E"/>
    <w:rsid w:val="730F68B5"/>
    <w:rsid w:val="731352DC"/>
    <w:rsid w:val="731F3094"/>
    <w:rsid w:val="73252FF8"/>
    <w:rsid w:val="732706F9"/>
    <w:rsid w:val="73283F7C"/>
    <w:rsid w:val="7341740A"/>
    <w:rsid w:val="73445AAB"/>
    <w:rsid w:val="7345347A"/>
    <w:rsid w:val="734B53CF"/>
    <w:rsid w:val="73571248"/>
    <w:rsid w:val="735D40A0"/>
    <w:rsid w:val="73604448"/>
    <w:rsid w:val="737E1F6C"/>
    <w:rsid w:val="73912327"/>
    <w:rsid w:val="739473AD"/>
    <w:rsid w:val="739FAE0E"/>
    <w:rsid w:val="73A103C3"/>
    <w:rsid w:val="73BCF4EB"/>
    <w:rsid w:val="73C4187C"/>
    <w:rsid w:val="73EB002E"/>
    <w:rsid w:val="73FC43F9"/>
    <w:rsid w:val="740A0CEC"/>
    <w:rsid w:val="742A28A5"/>
    <w:rsid w:val="744743D4"/>
    <w:rsid w:val="744F5B4E"/>
    <w:rsid w:val="7461285B"/>
    <w:rsid w:val="74634844"/>
    <w:rsid w:val="74753C1E"/>
    <w:rsid w:val="74831A59"/>
    <w:rsid w:val="74892CE1"/>
    <w:rsid w:val="74AC1B7A"/>
    <w:rsid w:val="74BF0304"/>
    <w:rsid w:val="74C644FB"/>
    <w:rsid w:val="74CD42AD"/>
    <w:rsid w:val="74E34A0B"/>
    <w:rsid w:val="74E50B2D"/>
    <w:rsid w:val="74E56506"/>
    <w:rsid w:val="74E60481"/>
    <w:rsid w:val="74F86579"/>
    <w:rsid w:val="75041831"/>
    <w:rsid w:val="750B6D52"/>
    <w:rsid w:val="75117320"/>
    <w:rsid w:val="75171229"/>
    <w:rsid w:val="7529240C"/>
    <w:rsid w:val="75435E03"/>
    <w:rsid w:val="754805E1"/>
    <w:rsid w:val="755A19BF"/>
    <w:rsid w:val="755B2C17"/>
    <w:rsid w:val="756722AD"/>
    <w:rsid w:val="75676A2A"/>
    <w:rsid w:val="7593416B"/>
    <w:rsid w:val="759D6F04"/>
    <w:rsid w:val="75BF0691"/>
    <w:rsid w:val="75C003BD"/>
    <w:rsid w:val="75D0152E"/>
    <w:rsid w:val="75D24F76"/>
    <w:rsid w:val="75D271B4"/>
    <w:rsid w:val="75D373DE"/>
    <w:rsid w:val="75DA74A8"/>
    <w:rsid w:val="75DC1169"/>
    <w:rsid w:val="75DD4043"/>
    <w:rsid w:val="75DE31F0"/>
    <w:rsid w:val="75E30267"/>
    <w:rsid w:val="75E450FA"/>
    <w:rsid w:val="75E85BBF"/>
    <w:rsid w:val="75F16F54"/>
    <w:rsid w:val="75FB2FEB"/>
    <w:rsid w:val="760C26C4"/>
    <w:rsid w:val="762D68CD"/>
    <w:rsid w:val="76473B19"/>
    <w:rsid w:val="764B3915"/>
    <w:rsid w:val="764B5E65"/>
    <w:rsid w:val="765A0489"/>
    <w:rsid w:val="76660B4B"/>
    <w:rsid w:val="7666310A"/>
    <w:rsid w:val="76706EDC"/>
    <w:rsid w:val="7671495D"/>
    <w:rsid w:val="76767CB6"/>
    <w:rsid w:val="767E338E"/>
    <w:rsid w:val="768D5151"/>
    <w:rsid w:val="769A5B22"/>
    <w:rsid w:val="76A70971"/>
    <w:rsid w:val="76AA78EF"/>
    <w:rsid w:val="76AD4B67"/>
    <w:rsid w:val="76BD6FDB"/>
    <w:rsid w:val="76C851CB"/>
    <w:rsid w:val="76CC12F2"/>
    <w:rsid w:val="76CD2884"/>
    <w:rsid w:val="76CD7B51"/>
    <w:rsid w:val="76E14A9D"/>
    <w:rsid w:val="76F0486F"/>
    <w:rsid w:val="76F75EBB"/>
    <w:rsid w:val="77086156"/>
    <w:rsid w:val="770C0231"/>
    <w:rsid w:val="77110A98"/>
    <w:rsid w:val="772B7660"/>
    <w:rsid w:val="77380EA3"/>
    <w:rsid w:val="773E6630"/>
    <w:rsid w:val="774002E8"/>
    <w:rsid w:val="774A3D73"/>
    <w:rsid w:val="774C6DBE"/>
    <w:rsid w:val="77531076"/>
    <w:rsid w:val="77640A6E"/>
    <w:rsid w:val="776D52BC"/>
    <w:rsid w:val="777210A1"/>
    <w:rsid w:val="7776200D"/>
    <w:rsid w:val="777A0A13"/>
    <w:rsid w:val="777FEBD1"/>
    <w:rsid w:val="77812384"/>
    <w:rsid w:val="778A542A"/>
    <w:rsid w:val="77997FAE"/>
    <w:rsid w:val="779B5F85"/>
    <w:rsid w:val="779F1B4C"/>
    <w:rsid w:val="77B265EF"/>
    <w:rsid w:val="77B53533"/>
    <w:rsid w:val="77C501D3"/>
    <w:rsid w:val="77D0347D"/>
    <w:rsid w:val="77EE474B"/>
    <w:rsid w:val="77FD5BC2"/>
    <w:rsid w:val="78031B76"/>
    <w:rsid w:val="781D4E67"/>
    <w:rsid w:val="78203257"/>
    <w:rsid w:val="7824290B"/>
    <w:rsid w:val="78257986"/>
    <w:rsid w:val="78267588"/>
    <w:rsid w:val="782C2358"/>
    <w:rsid w:val="782C366B"/>
    <w:rsid w:val="782F5A58"/>
    <w:rsid w:val="78376848"/>
    <w:rsid w:val="783C3342"/>
    <w:rsid w:val="784421C5"/>
    <w:rsid w:val="784A68F0"/>
    <w:rsid w:val="784C0BA1"/>
    <w:rsid w:val="78520B3C"/>
    <w:rsid w:val="785712FB"/>
    <w:rsid w:val="78586D7C"/>
    <w:rsid w:val="78745397"/>
    <w:rsid w:val="7889663B"/>
    <w:rsid w:val="788F3E02"/>
    <w:rsid w:val="7891058B"/>
    <w:rsid w:val="789449E3"/>
    <w:rsid w:val="78952465"/>
    <w:rsid w:val="7896737C"/>
    <w:rsid w:val="789D2761"/>
    <w:rsid w:val="78AB6A45"/>
    <w:rsid w:val="78AC0DD1"/>
    <w:rsid w:val="78AC12FD"/>
    <w:rsid w:val="78BD168A"/>
    <w:rsid w:val="78BF0522"/>
    <w:rsid w:val="78C1191B"/>
    <w:rsid w:val="78D34FF0"/>
    <w:rsid w:val="78E04550"/>
    <w:rsid w:val="78F140C6"/>
    <w:rsid w:val="79047BAF"/>
    <w:rsid w:val="791D4788"/>
    <w:rsid w:val="792E031F"/>
    <w:rsid w:val="7931468D"/>
    <w:rsid w:val="797030CC"/>
    <w:rsid w:val="7982266B"/>
    <w:rsid w:val="79837372"/>
    <w:rsid w:val="798529CF"/>
    <w:rsid w:val="798F487B"/>
    <w:rsid w:val="79A409BC"/>
    <w:rsid w:val="79A72EC3"/>
    <w:rsid w:val="79AD6B15"/>
    <w:rsid w:val="79AF0EA1"/>
    <w:rsid w:val="79BB1485"/>
    <w:rsid w:val="79C83ABA"/>
    <w:rsid w:val="79CC7F63"/>
    <w:rsid w:val="79DD23FB"/>
    <w:rsid w:val="79E03380"/>
    <w:rsid w:val="79EC45E4"/>
    <w:rsid w:val="7A1C4566"/>
    <w:rsid w:val="7A1E0C67"/>
    <w:rsid w:val="7A2E4784"/>
    <w:rsid w:val="7A392B15"/>
    <w:rsid w:val="7A3D3AE6"/>
    <w:rsid w:val="7A432B05"/>
    <w:rsid w:val="7A4E5416"/>
    <w:rsid w:val="7A59383E"/>
    <w:rsid w:val="7A6029D5"/>
    <w:rsid w:val="7A6A54E3"/>
    <w:rsid w:val="7A7A22D9"/>
    <w:rsid w:val="7A805F15"/>
    <w:rsid w:val="7A8B73C8"/>
    <w:rsid w:val="7A9ECA73"/>
    <w:rsid w:val="7AAB1446"/>
    <w:rsid w:val="7AB00D41"/>
    <w:rsid w:val="7AB025B1"/>
    <w:rsid w:val="7AB15E5B"/>
    <w:rsid w:val="7ABB607F"/>
    <w:rsid w:val="7AC0177D"/>
    <w:rsid w:val="7AC41100"/>
    <w:rsid w:val="7AC742C0"/>
    <w:rsid w:val="7AC8587C"/>
    <w:rsid w:val="7AD54B92"/>
    <w:rsid w:val="7AD54D9B"/>
    <w:rsid w:val="7ADD540F"/>
    <w:rsid w:val="7AE023E7"/>
    <w:rsid w:val="7AE05F13"/>
    <w:rsid w:val="7AEB0948"/>
    <w:rsid w:val="7B082BF2"/>
    <w:rsid w:val="7B0A0D1D"/>
    <w:rsid w:val="7B17215D"/>
    <w:rsid w:val="7B1C7766"/>
    <w:rsid w:val="7B406D51"/>
    <w:rsid w:val="7B417AC4"/>
    <w:rsid w:val="7B4247BE"/>
    <w:rsid w:val="7B563363"/>
    <w:rsid w:val="7B5E270C"/>
    <w:rsid w:val="7B617FF9"/>
    <w:rsid w:val="7B6312FE"/>
    <w:rsid w:val="7B68606B"/>
    <w:rsid w:val="7B7D00BB"/>
    <w:rsid w:val="7B7EEA73"/>
    <w:rsid w:val="7B8E1B14"/>
    <w:rsid w:val="7B954FD0"/>
    <w:rsid w:val="7BA943AA"/>
    <w:rsid w:val="7BAC200F"/>
    <w:rsid w:val="7BAF1ED2"/>
    <w:rsid w:val="7BB07624"/>
    <w:rsid w:val="7BB4043B"/>
    <w:rsid w:val="7BB459DB"/>
    <w:rsid w:val="7BBC2C91"/>
    <w:rsid w:val="7BBE598F"/>
    <w:rsid w:val="7BC02CAC"/>
    <w:rsid w:val="7BC4481A"/>
    <w:rsid w:val="7BD86D3E"/>
    <w:rsid w:val="7BE35B48"/>
    <w:rsid w:val="7BEC215B"/>
    <w:rsid w:val="7BF27659"/>
    <w:rsid w:val="7C062D05"/>
    <w:rsid w:val="7C09020B"/>
    <w:rsid w:val="7C091EA2"/>
    <w:rsid w:val="7C0A598A"/>
    <w:rsid w:val="7C1068C7"/>
    <w:rsid w:val="7C1B715E"/>
    <w:rsid w:val="7C2808E1"/>
    <w:rsid w:val="7C3035D9"/>
    <w:rsid w:val="7C3B6E2A"/>
    <w:rsid w:val="7C4902F7"/>
    <w:rsid w:val="7C503815"/>
    <w:rsid w:val="7C5947BE"/>
    <w:rsid w:val="7C5A6013"/>
    <w:rsid w:val="7C7B5572"/>
    <w:rsid w:val="7C7F7EC7"/>
    <w:rsid w:val="7C8932DF"/>
    <w:rsid w:val="7C8B2065"/>
    <w:rsid w:val="7C8C3AD0"/>
    <w:rsid w:val="7CA21C8A"/>
    <w:rsid w:val="7CA52C0F"/>
    <w:rsid w:val="7CAA6D71"/>
    <w:rsid w:val="7CB650A7"/>
    <w:rsid w:val="7CD5375A"/>
    <w:rsid w:val="7CE224A0"/>
    <w:rsid w:val="7CEE0A85"/>
    <w:rsid w:val="7CF6735A"/>
    <w:rsid w:val="7CFA13FD"/>
    <w:rsid w:val="7D0C3B89"/>
    <w:rsid w:val="7D1D3B52"/>
    <w:rsid w:val="7D2522BB"/>
    <w:rsid w:val="7D2A2E68"/>
    <w:rsid w:val="7D2D661D"/>
    <w:rsid w:val="7D3013A9"/>
    <w:rsid w:val="7D337EF4"/>
    <w:rsid w:val="7D352B6E"/>
    <w:rsid w:val="7D473D3A"/>
    <w:rsid w:val="7D507824"/>
    <w:rsid w:val="7D572DEF"/>
    <w:rsid w:val="7D574C31"/>
    <w:rsid w:val="7D622FC2"/>
    <w:rsid w:val="7D623C10"/>
    <w:rsid w:val="7D6264DA"/>
    <w:rsid w:val="7D861C5F"/>
    <w:rsid w:val="7D972197"/>
    <w:rsid w:val="7D99311C"/>
    <w:rsid w:val="7D9C1EA2"/>
    <w:rsid w:val="7DA40693"/>
    <w:rsid w:val="7DAB754D"/>
    <w:rsid w:val="7DAC213C"/>
    <w:rsid w:val="7DBA63B2"/>
    <w:rsid w:val="7DBB4B94"/>
    <w:rsid w:val="7DBF9E4D"/>
    <w:rsid w:val="7DC078F2"/>
    <w:rsid w:val="7DE11855"/>
    <w:rsid w:val="7DE24131"/>
    <w:rsid w:val="7DF7E294"/>
    <w:rsid w:val="7DFCAB55"/>
    <w:rsid w:val="7DFE1D30"/>
    <w:rsid w:val="7E086FD3"/>
    <w:rsid w:val="7E22038B"/>
    <w:rsid w:val="7E27166B"/>
    <w:rsid w:val="7E2F32BC"/>
    <w:rsid w:val="7E3157F2"/>
    <w:rsid w:val="7E3361BC"/>
    <w:rsid w:val="7E464279"/>
    <w:rsid w:val="7E54384F"/>
    <w:rsid w:val="7E5E415E"/>
    <w:rsid w:val="7E5E5081"/>
    <w:rsid w:val="7E605FBB"/>
    <w:rsid w:val="7E68313E"/>
    <w:rsid w:val="7E694877"/>
    <w:rsid w:val="7E734458"/>
    <w:rsid w:val="7E757607"/>
    <w:rsid w:val="7E7A63D5"/>
    <w:rsid w:val="7EA3256F"/>
    <w:rsid w:val="7EA35355"/>
    <w:rsid w:val="7EA972BD"/>
    <w:rsid w:val="7EC628EC"/>
    <w:rsid w:val="7EC82BEF"/>
    <w:rsid w:val="7EC9380E"/>
    <w:rsid w:val="7ECD2214"/>
    <w:rsid w:val="7ED16168"/>
    <w:rsid w:val="7ED30312"/>
    <w:rsid w:val="7ED45361"/>
    <w:rsid w:val="7ED86E26"/>
    <w:rsid w:val="7EDA239B"/>
    <w:rsid w:val="7EEA29C5"/>
    <w:rsid w:val="7EFB0BFD"/>
    <w:rsid w:val="7F0439F3"/>
    <w:rsid w:val="7F0B754E"/>
    <w:rsid w:val="7F235A83"/>
    <w:rsid w:val="7F263BA7"/>
    <w:rsid w:val="7F271629"/>
    <w:rsid w:val="7F2B002F"/>
    <w:rsid w:val="7F3157BC"/>
    <w:rsid w:val="7F392E88"/>
    <w:rsid w:val="7F3975B8"/>
    <w:rsid w:val="7F3F4874"/>
    <w:rsid w:val="7F4A6BF5"/>
    <w:rsid w:val="7F4B5FC3"/>
    <w:rsid w:val="7F54171E"/>
    <w:rsid w:val="7F5D0052"/>
    <w:rsid w:val="7F5D7905"/>
    <w:rsid w:val="7F625F8B"/>
    <w:rsid w:val="7F68375D"/>
    <w:rsid w:val="7F6D30BF"/>
    <w:rsid w:val="7F736A10"/>
    <w:rsid w:val="7F8F2FAD"/>
    <w:rsid w:val="7F97731F"/>
    <w:rsid w:val="7F9F0427"/>
    <w:rsid w:val="7FA30646"/>
    <w:rsid w:val="7FA66236"/>
    <w:rsid w:val="7FBF09FB"/>
    <w:rsid w:val="7FCBBB38"/>
    <w:rsid w:val="7FE77749"/>
    <w:rsid w:val="7FEC731A"/>
    <w:rsid w:val="7FFD6901"/>
    <w:rsid w:val="82FF179A"/>
    <w:rsid w:val="89DBA2F9"/>
    <w:rsid w:val="9BC9A1F0"/>
    <w:rsid w:val="9BCAA64F"/>
    <w:rsid w:val="9EF70413"/>
    <w:rsid w:val="AABD986B"/>
    <w:rsid w:val="ABFBD795"/>
    <w:rsid w:val="ABFF53B9"/>
    <w:rsid w:val="ADFFE26A"/>
    <w:rsid w:val="B2FF91A0"/>
    <w:rsid w:val="BBFB15AF"/>
    <w:rsid w:val="BF5E73FF"/>
    <w:rsid w:val="BF7F8721"/>
    <w:rsid w:val="BFF5AC6B"/>
    <w:rsid w:val="CF9D471D"/>
    <w:rsid w:val="D3FB5505"/>
    <w:rsid w:val="D76F0641"/>
    <w:rsid w:val="D7F9600C"/>
    <w:rsid w:val="DFBB8D2E"/>
    <w:rsid w:val="EABBCCBD"/>
    <w:rsid w:val="EB5EF3A5"/>
    <w:rsid w:val="ED7BADDE"/>
    <w:rsid w:val="EDEFD6AF"/>
    <w:rsid w:val="EE2F9F62"/>
    <w:rsid w:val="EEAD22DB"/>
    <w:rsid w:val="F27E1FC1"/>
    <w:rsid w:val="F3EF2B1E"/>
    <w:rsid w:val="F4B7CCED"/>
    <w:rsid w:val="F75FB18C"/>
    <w:rsid w:val="F76F6148"/>
    <w:rsid w:val="F7FCC54A"/>
    <w:rsid w:val="F8F961AC"/>
    <w:rsid w:val="FAFDB5E0"/>
    <w:rsid w:val="FAFF4811"/>
    <w:rsid w:val="FBEF6153"/>
    <w:rsid w:val="FBFDD69D"/>
    <w:rsid w:val="FBFECD59"/>
    <w:rsid w:val="FD7EC82C"/>
    <w:rsid w:val="FDF7AC67"/>
    <w:rsid w:val="FE6E91F1"/>
    <w:rsid w:val="FF5FD8C6"/>
    <w:rsid w:val="FF9FB471"/>
    <w:rsid w:val="FFBFD777"/>
    <w:rsid w:val="FFDCD7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iPriority="99" w:semiHidden="0" w:name="annotation text"/>
    <w:lsdException w:qFormat="1" w:uiPriority="0" w:semiHidden="0" w:name="header"/>
    <w:lsdException w:qFormat="1"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2"/>
    <w:qFormat/>
    <w:uiPriority w:val="0"/>
    <w:pPr>
      <w:ind w:left="432" w:firstLine="0" w:firstLineChars="0"/>
      <w:outlineLvl w:val="0"/>
    </w:pPr>
    <w:rPr>
      <w:rFonts w:ascii="Times New Roman" w:hAnsi="Times New Roman" w:eastAsia="宋体"/>
      <w:bCs/>
      <w:kern w:val="24"/>
      <w:sz w:val="32"/>
    </w:rPr>
  </w:style>
  <w:style w:type="paragraph" w:styleId="4">
    <w:name w:val="heading 2"/>
    <w:basedOn w:val="3"/>
    <w:next w:val="1"/>
    <w:link w:val="43"/>
    <w:qFormat/>
    <w:uiPriority w:val="9"/>
    <w:pPr>
      <w:numPr>
        <w:ilvl w:val="1"/>
        <w:numId w:val="1"/>
      </w:numPr>
      <w:spacing w:before="156" w:beforeAutospacing="1" w:after="156" w:afterAutospacing="1"/>
      <w:outlineLvl w:val="1"/>
    </w:pPr>
    <w:rPr>
      <w:rFonts w:ascii="宋体" w:hAnsi="宋体"/>
      <w:b/>
      <w:sz w:val="28"/>
      <w:szCs w:val="28"/>
    </w:rPr>
  </w:style>
  <w:style w:type="paragraph" w:styleId="5">
    <w:name w:val="heading 3"/>
    <w:basedOn w:val="1"/>
    <w:next w:val="1"/>
    <w:link w:val="44"/>
    <w:qFormat/>
    <w:uiPriority w:val="9"/>
    <w:pPr>
      <w:numPr>
        <w:ilvl w:val="0"/>
        <w:numId w:val="1"/>
      </w:numPr>
      <w:ind w:firstLine="0" w:firstLineChars="0"/>
      <w:outlineLvl w:val="2"/>
    </w:pPr>
    <w:rPr>
      <w:b/>
      <w:bCs/>
      <w:szCs w:val="32"/>
    </w:rPr>
  </w:style>
  <w:style w:type="paragraph" w:styleId="6">
    <w:name w:val="heading 4"/>
    <w:basedOn w:val="1"/>
    <w:next w:val="1"/>
    <w:link w:val="45"/>
    <w:qFormat/>
    <w:uiPriority w:val="9"/>
    <w:pPr>
      <w:numPr>
        <w:ilvl w:val="3"/>
        <w:numId w:val="1"/>
      </w:numPr>
      <w:ind w:firstLine="0" w:firstLineChars="0"/>
      <w:outlineLvl w:val="3"/>
    </w:pPr>
    <w:rPr>
      <w:bCs/>
    </w:rPr>
  </w:style>
  <w:style w:type="paragraph" w:styleId="7">
    <w:name w:val="heading 5"/>
    <w:basedOn w:val="1"/>
    <w:next w:val="1"/>
    <w:link w:val="46"/>
    <w:qFormat/>
    <w:uiPriority w:val="9"/>
    <w:pPr>
      <w:numPr>
        <w:ilvl w:val="4"/>
        <w:numId w:val="1"/>
      </w:numPr>
      <w:ind w:firstLine="0" w:firstLineChars="0"/>
      <w:outlineLvl w:val="4"/>
    </w:pPr>
    <w:rPr>
      <w:bCs/>
      <w:szCs w:val="28"/>
    </w:rPr>
  </w:style>
  <w:style w:type="paragraph" w:styleId="8">
    <w:name w:val="heading 6"/>
    <w:basedOn w:val="1"/>
    <w:next w:val="1"/>
    <w:link w:val="47"/>
    <w:qFormat/>
    <w:uiPriority w:val="9"/>
    <w:pPr>
      <w:numPr>
        <w:ilvl w:val="5"/>
        <w:numId w:val="1"/>
      </w:numPr>
      <w:ind w:firstLine="0" w:firstLineChars="0"/>
      <w:outlineLvl w:val="5"/>
    </w:pPr>
    <w:rPr>
      <w:bCs/>
    </w:rPr>
  </w:style>
  <w:style w:type="paragraph" w:styleId="9">
    <w:name w:val="heading 7"/>
    <w:basedOn w:val="1"/>
    <w:next w:val="1"/>
    <w:link w:val="48"/>
    <w:qFormat/>
    <w:uiPriority w:val="9"/>
    <w:pPr>
      <w:numPr>
        <w:ilvl w:val="6"/>
        <w:numId w:val="1"/>
      </w:numPr>
      <w:ind w:firstLine="0" w:firstLineChars="0"/>
      <w:outlineLvl w:val="6"/>
    </w:pPr>
    <w:rPr>
      <w:bCs/>
    </w:rPr>
  </w:style>
  <w:style w:type="paragraph" w:styleId="10">
    <w:name w:val="heading 8"/>
    <w:basedOn w:val="1"/>
    <w:next w:val="1"/>
    <w:link w:val="49"/>
    <w:qFormat/>
    <w:uiPriority w:val="9"/>
    <w:pPr>
      <w:numPr>
        <w:ilvl w:val="7"/>
        <w:numId w:val="1"/>
      </w:numPr>
      <w:ind w:firstLine="0" w:firstLineChars="0"/>
      <w:outlineLvl w:val="7"/>
    </w:pPr>
  </w:style>
  <w:style w:type="paragraph" w:styleId="11">
    <w:name w:val="heading 9"/>
    <w:basedOn w:val="1"/>
    <w:next w:val="1"/>
    <w:link w:val="50"/>
    <w:qFormat/>
    <w:uiPriority w:val="9"/>
    <w:pPr>
      <w:numPr>
        <w:ilvl w:val="8"/>
        <w:numId w:val="1"/>
      </w:numPr>
      <w:ind w:firstLine="0" w:firstLineChars="0"/>
      <w:outlineLvl w:val="8"/>
    </w:p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12">
    <w:name w:val="Normal Indent"/>
    <w:basedOn w:val="1"/>
    <w:link w:val="51"/>
    <w:qFormat/>
    <w:uiPriority w:val="0"/>
    <w:rPr>
      <w:szCs w:val="20"/>
    </w:rPr>
  </w:style>
  <w:style w:type="paragraph" w:styleId="13">
    <w:name w:val="caption"/>
    <w:basedOn w:val="1"/>
    <w:next w:val="1"/>
    <w:qFormat/>
    <w:uiPriority w:val="0"/>
    <w:pPr>
      <w:spacing w:before="120" w:after="120"/>
      <w:ind w:firstLine="0" w:firstLineChars="0"/>
      <w:jc w:val="center"/>
    </w:pPr>
    <w:rPr>
      <w:szCs w:val="21"/>
    </w:rPr>
  </w:style>
  <w:style w:type="paragraph" w:styleId="14">
    <w:name w:val="Document Map"/>
    <w:basedOn w:val="1"/>
    <w:link w:val="57"/>
    <w:unhideWhenUsed/>
    <w:qFormat/>
    <w:uiPriority w:val="99"/>
    <w:rPr>
      <w:rFonts w:ascii="宋体"/>
      <w:sz w:val="18"/>
      <w:szCs w:val="18"/>
    </w:rPr>
  </w:style>
  <w:style w:type="paragraph" w:styleId="15">
    <w:name w:val="annotation text"/>
    <w:basedOn w:val="1"/>
    <w:link w:val="53"/>
    <w:unhideWhenUsed/>
    <w:qFormat/>
    <w:uiPriority w:val="99"/>
    <w:pPr>
      <w:jc w:val="left"/>
    </w:pPr>
  </w:style>
  <w:style w:type="paragraph" w:styleId="16">
    <w:name w:val="Body Text Indent"/>
    <w:basedOn w:val="1"/>
    <w:link w:val="52"/>
    <w:qFormat/>
    <w:uiPriority w:val="0"/>
    <w:pPr>
      <w:spacing w:after="120"/>
      <w:ind w:left="420" w:leftChars="200"/>
    </w:pPr>
  </w:style>
  <w:style w:type="paragraph" w:styleId="17">
    <w:name w:val="toc 3"/>
    <w:basedOn w:val="1"/>
    <w:next w:val="1"/>
    <w:unhideWhenUsed/>
    <w:qFormat/>
    <w:uiPriority w:val="39"/>
    <w:pPr>
      <w:tabs>
        <w:tab w:val="right" w:leader="dot" w:pos="8296"/>
      </w:tabs>
      <w:ind w:firstLine="0" w:firstLineChars="0"/>
    </w:pPr>
  </w:style>
  <w:style w:type="paragraph" w:styleId="18">
    <w:name w:val="Balloon Text"/>
    <w:basedOn w:val="1"/>
    <w:link w:val="55"/>
    <w:unhideWhenUsed/>
    <w:qFormat/>
    <w:uiPriority w:val="99"/>
    <w:pPr>
      <w:spacing w:line="240" w:lineRule="auto"/>
    </w:pPr>
    <w:rPr>
      <w:sz w:val="18"/>
      <w:szCs w:val="18"/>
    </w:rPr>
  </w:style>
  <w:style w:type="paragraph" w:styleId="19">
    <w:name w:val="footer"/>
    <w:basedOn w:val="1"/>
    <w:link w:val="41"/>
    <w:unhideWhenUsed/>
    <w:qFormat/>
    <w:uiPriority w:val="99"/>
    <w:pPr>
      <w:tabs>
        <w:tab w:val="center" w:pos="4153"/>
        <w:tab w:val="right" w:pos="8306"/>
      </w:tabs>
      <w:snapToGrid w:val="0"/>
      <w:jc w:val="left"/>
    </w:pPr>
    <w:rPr>
      <w:sz w:val="18"/>
      <w:szCs w:val="18"/>
    </w:rPr>
  </w:style>
  <w:style w:type="paragraph" w:styleId="20">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8296"/>
      </w:tabs>
      <w:ind w:firstLine="0" w:firstLineChars="0"/>
    </w:pPr>
  </w:style>
  <w:style w:type="paragraph" w:styleId="22">
    <w:name w:val="Subtitle"/>
    <w:basedOn w:val="1"/>
    <w:next w:val="1"/>
    <w:qFormat/>
    <w:uiPriority w:val="0"/>
    <w:pPr>
      <w:widowControl/>
      <w:topLinePunct/>
      <w:adjustRightInd w:val="0"/>
      <w:snapToGrid w:val="0"/>
      <w:spacing w:before="240" w:after="60" w:line="312" w:lineRule="atLeast"/>
      <w:ind w:left="1701" w:firstLine="0" w:firstLineChars="0"/>
      <w:jc w:val="center"/>
      <w:outlineLvl w:val="1"/>
    </w:pPr>
    <w:rPr>
      <w:rFonts w:ascii="Arial" w:hAnsi="Arial"/>
      <w:b/>
      <w:bCs/>
      <w:kern w:val="28"/>
      <w:sz w:val="32"/>
      <w:szCs w:val="32"/>
      <w:lang w:val="zh-CN"/>
    </w:rPr>
  </w:style>
  <w:style w:type="paragraph" w:styleId="23">
    <w:name w:val="toc 2"/>
    <w:basedOn w:val="1"/>
    <w:next w:val="1"/>
    <w:qFormat/>
    <w:uiPriority w:val="39"/>
    <w:pPr>
      <w:tabs>
        <w:tab w:val="right" w:leader="dot" w:pos="8296"/>
      </w:tabs>
      <w:ind w:left="425" w:hanging="425" w:firstLineChars="0"/>
    </w:pPr>
  </w:style>
  <w:style w:type="paragraph" w:styleId="24">
    <w:name w:val="Normal (Web)"/>
    <w:basedOn w:val="1"/>
    <w:semiHidden/>
    <w:unhideWhenUsed/>
    <w:qFormat/>
    <w:uiPriority w:val="0"/>
    <w:pPr>
      <w:spacing w:before="0" w:beforeAutospacing="1" w:after="0" w:afterAutospacing="1"/>
      <w:ind w:left="0" w:right="0"/>
      <w:jc w:val="left"/>
    </w:pPr>
    <w:rPr>
      <w:kern w:val="0"/>
      <w:sz w:val="24"/>
      <w:lang w:val="en-US" w:eastAsia="zh-CN" w:bidi="ar"/>
    </w:rPr>
  </w:style>
  <w:style w:type="paragraph" w:styleId="25">
    <w:name w:val="Title"/>
    <w:basedOn w:val="1"/>
    <w:next w:val="1"/>
    <w:qFormat/>
    <w:uiPriority w:val="10"/>
    <w:pPr>
      <w:pBdr>
        <w:bottom w:val="single" w:color="4F81BD" w:sz="8" w:space="4"/>
      </w:pBdr>
      <w:spacing w:after="300"/>
      <w:contextualSpacing/>
    </w:pPr>
    <w:rPr>
      <w:rFonts w:ascii="Cambria" w:hAnsi="Cambria"/>
      <w:color w:val="17365D"/>
      <w:spacing w:val="5"/>
      <w:kern w:val="28"/>
      <w:sz w:val="52"/>
      <w:szCs w:val="52"/>
    </w:rPr>
  </w:style>
  <w:style w:type="paragraph" w:styleId="26">
    <w:name w:val="annotation subject"/>
    <w:basedOn w:val="15"/>
    <w:next w:val="15"/>
    <w:link w:val="54"/>
    <w:unhideWhenUsed/>
    <w:qFormat/>
    <w:uiPriority w:val="99"/>
    <w:rPr>
      <w:b/>
      <w:bCs/>
    </w:rPr>
  </w:style>
  <w:style w:type="table" w:styleId="28">
    <w:name w:val="Table Grid"/>
    <w:basedOn w:val="2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sz w:val="21"/>
    </w:rPr>
  </w:style>
  <w:style w:type="character" w:styleId="31">
    <w:name w:val="Hyperlink"/>
    <w:unhideWhenUsed/>
    <w:qFormat/>
    <w:uiPriority w:val="99"/>
    <w:rPr>
      <w:color w:val="0000FF"/>
      <w:u w:val="single"/>
    </w:rPr>
  </w:style>
  <w:style w:type="character" w:styleId="32">
    <w:name w:val="annotation reference"/>
    <w:basedOn w:val="29"/>
    <w:unhideWhenUsed/>
    <w:qFormat/>
    <w:uiPriority w:val="99"/>
    <w:rPr>
      <w:sz w:val="21"/>
      <w:szCs w:val="21"/>
    </w:rPr>
  </w:style>
  <w:style w:type="paragraph" w:customStyle="1" w:styleId="33">
    <w:name w:val="列出段落1"/>
    <w:basedOn w:val="1"/>
    <w:qFormat/>
    <w:uiPriority w:val="34"/>
    <w:pPr>
      <w:ind w:firstLine="420"/>
    </w:pPr>
  </w:style>
  <w:style w:type="paragraph" w:customStyle="1" w:styleId="34">
    <w:name w:val="样式1"/>
    <w:basedOn w:val="1"/>
    <w:qFormat/>
    <w:uiPriority w:val="0"/>
    <w:pPr>
      <w:numPr>
        <w:ilvl w:val="2"/>
        <w:numId w:val="2"/>
      </w:numPr>
    </w:pPr>
  </w:style>
  <w:style w:type="paragraph" w:customStyle="1" w:styleId="35">
    <w:name w:val="封面落款"/>
    <w:basedOn w:val="1"/>
    <w:qFormat/>
    <w:uiPriority w:val="0"/>
    <w:pPr>
      <w:ind w:firstLine="0" w:firstLineChars="0"/>
      <w:jc w:val="center"/>
    </w:pPr>
    <w:rPr>
      <w:rFonts w:eastAsia="黑体"/>
      <w:sz w:val="36"/>
      <w:szCs w:val="20"/>
    </w:rPr>
  </w:style>
  <w:style w:type="paragraph" w:customStyle="1" w:styleId="36">
    <w:name w:val="表格正文 居左"/>
    <w:basedOn w:val="1"/>
    <w:qFormat/>
    <w:uiPriority w:val="4"/>
    <w:pPr>
      <w:spacing w:line="240" w:lineRule="auto"/>
      <w:ind w:firstLine="0" w:firstLineChars="0"/>
      <w:jc w:val="left"/>
    </w:pPr>
    <w:rPr>
      <w:rFonts w:ascii="宋体" w:hAnsi="Calibri"/>
      <w:sz w:val="21"/>
      <w:szCs w:val="21"/>
    </w:rPr>
  </w:style>
  <w:style w:type="paragraph" w:customStyle="1" w:styleId="37">
    <w:name w:val="用例"/>
    <w:basedOn w:val="1"/>
    <w:link w:val="56"/>
    <w:qFormat/>
    <w:uiPriority w:val="0"/>
    <w:pPr>
      <w:spacing w:line="300" w:lineRule="auto"/>
      <w:ind w:firstLine="0" w:firstLineChars="0"/>
      <w:jc w:val="left"/>
    </w:pPr>
    <w:rPr>
      <w:rFonts w:ascii="Calibri" w:hAnsi="Calibri"/>
      <w:color w:val="000000"/>
      <w:sz w:val="21"/>
      <w:szCs w:val="21"/>
    </w:rPr>
  </w:style>
  <w:style w:type="paragraph" w:customStyle="1" w:styleId="38">
    <w:name w:val="表格正文 居中"/>
    <w:basedOn w:val="1"/>
    <w:qFormat/>
    <w:uiPriority w:val="4"/>
    <w:pPr>
      <w:spacing w:line="240" w:lineRule="auto"/>
      <w:ind w:firstLine="0" w:firstLineChars="0"/>
      <w:jc w:val="center"/>
    </w:pPr>
    <w:rPr>
      <w:rFonts w:ascii="宋体" w:hAnsi="Calibri"/>
      <w:sz w:val="21"/>
      <w:szCs w:val="21"/>
    </w:rPr>
  </w:style>
  <w:style w:type="paragraph" w:customStyle="1" w:styleId="39">
    <w:name w:val="规范正文"/>
    <w:basedOn w:val="12"/>
    <w:qFormat/>
    <w:uiPriority w:val="0"/>
  </w:style>
  <w:style w:type="character" w:customStyle="1" w:styleId="40">
    <w:name w:val="页眉 字符"/>
    <w:basedOn w:val="29"/>
    <w:link w:val="20"/>
    <w:qFormat/>
    <w:uiPriority w:val="0"/>
    <w:rPr>
      <w:sz w:val="18"/>
      <w:szCs w:val="18"/>
    </w:rPr>
  </w:style>
  <w:style w:type="character" w:customStyle="1" w:styleId="41">
    <w:name w:val="页脚 字符"/>
    <w:basedOn w:val="29"/>
    <w:link w:val="19"/>
    <w:qFormat/>
    <w:uiPriority w:val="99"/>
    <w:rPr>
      <w:sz w:val="18"/>
      <w:szCs w:val="18"/>
    </w:rPr>
  </w:style>
  <w:style w:type="character" w:customStyle="1" w:styleId="42">
    <w:name w:val="标题 1 字符"/>
    <w:basedOn w:val="29"/>
    <w:link w:val="3"/>
    <w:qFormat/>
    <w:uiPriority w:val="0"/>
    <w:rPr>
      <w:rFonts w:ascii="Times New Roman" w:hAnsi="Times New Roman" w:eastAsia="宋体"/>
      <w:bCs/>
      <w:kern w:val="24"/>
      <w:sz w:val="32"/>
      <w:szCs w:val="24"/>
    </w:rPr>
  </w:style>
  <w:style w:type="character" w:customStyle="1" w:styleId="43">
    <w:name w:val="标题 2 字符"/>
    <w:basedOn w:val="29"/>
    <w:link w:val="4"/>
    <w:qFormat/>
    <w:uiPriority w:val="9"/>
    <w:rPr>
      <w:rFonts w:ascii="宋体" w:hAnsi="宋体"/>
      <w:b/>
      <w:bCs/>
      <w:kern w:val="24"/>
      <w:sz w:val="28"/>
      <w:szCs w:val="28"/>
    </w:rPr>
  </w:style>
  <w:style w:type="character" w:customStyle="1" w:styleId="44">
    <w:name w:val="标题 3 字符"/>
    <w:basedOn w:val="29"/>
    <w:link w:val="5"/>
    <w:qFormat/>
    <w:uiPriority w:val="9"/>
    <w:rPr>
      <w:b/>
      <w:bCs/>
      <w:kern w:val="2"/>
      <w:sz w:val="24"/>
      <w:szCs w:val="32"/>
    </w:rPr>
  </w:style>
  <w:style w:type="character" w:customStyle="1" w:styleId="45">
    <w:name w:val="标题 4 字符"/>
    <w:basedOn w:val="29"/>
    <w:link w:val="6"/>
    <w:qFormat/>
    <w:uiPriority w:val="9"/>
    <w:rPr>
      <w:bCs/>
      <w:kern w:val="2"/>
      <w:sz w:val="24"/>
      <w:szCs w:val="24"/>
    </w:rPr>
  </w:style>
  <w:style w:type="character" w:customStyle="1" w:styleId="46">
    <w:name w:val="标题 5 字符"/>
    <w:basedOn w:val="29"/>
    <w:link w:val="7"/>
    <w:qFormat/>
    <w:uiPriority w:val="9"/>
    <w:rPr>
      <w:bCs/>
      <w:kern w:val="2"/>
      <w:sz w:val="24"/>
      <w:szCs w:val="28"/>
    </w:rPr>
  </w:style>
  <w:style w:type="character" w:customStyle="1" w:styleId="47">
    <w:name w:val="标题 6 字符"/>
    <w:basedOn w:val="29"/>
    <w:link w:val="8"/>
    <w:qFormat/>
    <w:uiPriority w:val="9"/>
    <w:rPr>
      <w:bCs/>
      <w:kern w:val="2"/>
      <w:sz w:val="24"/>
      <w:szCs w:val="24"/>
    </w:rPr>
  </w:style>
  <w:style w:type="character" w:customStyle="1" w:styleId="48">
    <w:name w:val="标题 7 字符"/>
    <w:basedOn w:val="29"/>
    <w:link w:val="9"/>
    <w:qFormat/>
    <w:uiPriority w:val="9"/>
    <w:rPr>
      <w:bCs/>
      <w:kern w:val="2"/>
      <w:sz w:val="24"/>
      <w:szCs w:val="24"/>
    </w:rPr>
  </w:style>
  <w:style w:type="character" w:customStyle="1" w:styleId="49">
    <w:name w:val="标题 8 字符"/>
    <w:basedOn w:val="29"/>
    <w:link w:val="10"/>
    <w:qFormat/>
    <w:uiPriority w:val="9"/>
    <w:rPr>
      <w:kern w:val="2"/>
      <w:sz w:val="24"/>
      <w:szCs w:val="24"/>
    </w:rPr>
  </w:style>
  <w:style w:type="character" w:customStyle="1" w:styleId="50">
    <w:name w:val="标题 9 字符"/>
    <w:basedOn w:val="29"/>
    <w:link w:val="11"/>
    <w:qFormat/>
    <w:uiPriority w:val="9"/>
    <w:rPr>
      <w:kern w:val="2"/>
      <w:sz w:val="24"/>
      <w:szCs w:val="24"/>
    </w:rPr>
  </w:style>
  <w:style w:type="character" w:customStyle="1" w:styleId="51">
    <w:name w:val="正文缩进 字符"/>
    <w:link w:val="12"/>
    <w:qFormat/>
    <w:uiPriority w:val="0"/>
    <w:rPr>
      <w:rFonts w:ascii="Times New Roman" w:hAnsi="Times New Roman" w:eastAsia="宋体" w:cs="Times New Roman"/>
      <w:sz w:val="24"/>
      <w:szCs w:val="20"/>
    </w:rPr>
  </w:style>
  <w:style w:type="character" w:customStyle="1" w:styleId="52">
    <w:name w:val="正文文本缩进 字符"/>
    <w:basedOn w:val="29"/>
    <w:link w:val="16"/>
    <w:qFormat/>
    <w:uiPriority w:val="0"/>
    <w:rPr>
      <w:rFonts w:ascii="Times New Roman" w:hAnsi="Times New Roman" w:eastAsia="宋体" w:cs="Times New Roman"/>
      <w:sz w:val="24"/>
      <w:szCs w:val="24"/>
    </w:rPr>
  </w:style>
  <w:style w:type="character" w:customStyle="1" w:styleId="53">
    <w:name w:val="批注文字 字符"/>
    <w:basedOn w:val="29"/>
    <w:link w:val="15"/>
    <w:semiHidden/>
    <w:qFormat/>
    <w:uiPriority w:val="99"/>
    <w:rPr>
      <w:rFonts w:ascii="Times New Roman" w:hAnsi="Times New Roman" w:eastAsia="宋体" w:cs="Times New Roman"/>
      <w:sz w:val="24"/>
      <w:szCs w:val="24"/>
    </w:rPr>
  </w:style>
  <w:style w:type="character" w:customStyle="1" w:styleId="54">
    <w:name w:val="批注主题 字符"/>
    <w:basedOn w:val="53"/>
    <w:link w:val="26"/>
    <w:semiHidden/>
    <w:qFormat/>
    <w:uiPriority w:val="99"/>
    <w:rPr>
      <w:rFonts w:ascii="Times New Roman" w:hAnsi="Times New Roman" w:eastAsia="宋体" w:cs="Times New Roman"/>
      <w:b/>
      <w:bCs/>
      <w:sz w:val="24"/>
      <w:szCs w:val="24"/>
    </w:rPr>
  </w:style>
  <w:style w:type="character" w:customStyle="1" w:styleId="55">
    <w:name w:val="批注框文本 字符"/>
    <w:basedOn w:val="29"/>
    <w:link w:val="18"/>
    <w:semiHidden/>
    <w:qFormat/>
    <w:uiPriority w:val="99"/>
    <w:rPr>
      <w:rFonts w:ascii="Times New Roman" w:hAnsi="Times New Roman" w:eastAsia="宋体" w:cs="Times New Roman"/>
      <w:sz w:val="18"/>
      <w:szCs w:val="18"/>
    </w:rPr>
  </w:style>
  <w:style w:type="character" w:customStyle="1" w:styleId="56">
    <w:name w:val="用例 Char"/>
    <w:link w:val="37"/>
    <w:qFormat/>
    <w:uiPriority w:val="0"/>
    <w:rPr>
      <w:rFonts w:ascii="Calibri" w:hAnsi="Calibri" w:eastAsia="宋体" w:cs="Times New Roman"/>
      <w:color w:val="000000"/>
      <w:szCs w:val="21"/>
    </w:rPr>
  </w:style>
  <w:style w:type="character" w:customStyle="1" w:styleId="57">
    <w:name w:val="文档结构图 字符"/>
    <w:basedOn w:val="29"/>
    <w:link w:val="14"/>
    <w:semiHidden/>
    <w:qFormat/>
    <w:uiPriority w:val="99"/>
    <w:rPr>
      <w:rFonts w:ascii="宋体" w:hAnsi="Times New Roman" w:eastAsia="宋体" w:cs="Times New Roman"/>
      <w:sz w:val="18"/>
      <w:szCs w:val="18"/>
    </w:rPr>
  </w:style>
  <w:style w:type="paragraph" w:customStyle="1" w:styleId="58">
    <w:name w:val="列出段落2"/>
    <w:basedOn w:val="1"/>
    <w:link w:val="59"/>
    <w:qFormat/>
    <w:uiPriority w:val="34"/>
    <w:pPr>
      <w:spacing w:line="240" w:lineRule="auto"/>
      <w:ind w:firstLine="420"/>
    </w:pPr>
    <w:rPr>
      <w:rFonts w:ascii="Calibri" w:hAnsi="Calibri"/>
      <w:sz w:val="21"/>
      <w:szCs w:val="22"/>
    </w:rPr>
  </w:style>
  <w:style w:type="character" w:customStyle="1" w:styleId="59">
    <w:name w:val="列出段落 Char"/>
    <w:link w:val="58"/>
    <w:qFormat/>
    <w:uiPriority w:val="34"/>
    <w:rPr>
      <w:rFonts w:ascii="Calibri" w:hAnsi="Calibri"/>
      <w:kern w:val="2"/>
      <w:sz w:val="21"/>
      <w:szCs w:val="22"/>
    </w:rPr>
  </w:style>
  <w:style w:type="character" w:customStyle="1" w:styleId="60">
    <w:name w:val="font41"/>
    <w:basedOn w:val="29"/>
    <w:qFormat/>
    <w:uiPriority w:val="0"/>
    <w:rPr>
      <w:rFonts w:hint="eastAsia" w:ascii="宋体" w:hAnsi="宋体" w:eastAsia="宋体" w:cs="宋体"/>
      <w:color w:val="000000"/>
      <w:sz w:val="22"/>
      <w:szCs w:val="22"/>
      <w:u w:val="none"/>
    </w:rPr>
  </w:style>
  <w:style w:type="paragraph" w:customStyle="1" w:styleId="61">
    <w:name w:val="Q2"/>
    <w:basedOn w:val="1"/>
    <w:qFormat/>
    <w:uiPriority w:val="0"/>
    <w:pPr>
      <w:keepNext/>
      <w:keepLines/>
      <w:numPr>
        <w:ilvl w:val="1"/>
        <w:numId w:val="3"/>
      </w:numPr>
      <w:spacing w:beforeLines="50" w:afterLines="50"/>
      <w:outlineLvl w:val="1"/>
    </w:pPr>
    <w:rPr>
      <w:rFonts w:ascii="宋体" w:hAnsi="宋体"/>
      <w:b/>
      <w:sz w:val="32"/>
    </w:rPr>
  </w:style>
  <w:style w:type="paragraph" w:customStyle="1" w:styleId="62">
    <w:name w:val="Q3"/>
    <w:basedOn w:val="1"/>
    <w:qFormat/>
    <w:uiPriority w:val="0"/>
    <w:pPr>
      <w:keepNext/>
      <w:keepLines/>
      <w:numPr>
        <w:ilvl w:val="2"/>
        <w:numId w:val="3"/>
      </w:numPr>
      <w:spacing w:beforeLines="50" w:afterLines="50"/>
      <w:outlineLvl w:val="2"/>
    </w:pPr>
    <w:rPr>
      <w:rFonts w:ascii="宋体" w:hAnsi="宋体"/>
      <w:b/>
      <w:sz w:val="28"/>
    </w:rPr>
  </w:style>
  <w:style w:type="paragraph" w:customStyle="1" w:styleId="63">
    <w:name w:val="Q4"/>
    <w:basedOn w:val="1"/>
    <w:qFormat/>
    <w:uiPriority w:val="0"/>
    <w:pPr>
      <w:keepNext/>
      <w:keepLines/>
      <w:numPr>
        <w:ilvl w:val="3"/>
        <w:numId w:val="3"/>
      </w:numPr>
      <w:spacing w:beforeLines="50" w:afterLines="50"/>
      <w:outlineLvl w:val="3"/>
    </w:pPr>
    <w:rPr>
      <w:rFonts w:ascii="宋体" w:hAnsi="宋体"/>
      <w:b/>
      <w:sz w:val="28"/>
      <w:szCs w:val="28"/>
    </w:rPr>
  </w:style>
  <w:style w:type="paragraph" w:customStyle="1" w:styleId="64">
    <w:name w:val="Q5"/>
    <w:basedOn w:val="1"/>
    <w:qFormat/>
    <w:uiPriority w:val="0"/>
    <w:pPr>
      <w:keepNext/>
      <w:keepLines/>
      <w:numPr>
        <w:ilvl w:val="4"/>
        <w:numId w:val="3"/>
      </w:numPr>
      <w:spacing w:beforeLines="50" w:afterLines="50"/>
      <w:outlineLvl w:val="4"/>
    </w:pPr>
    <w:rPr>
      <w:rFonts w:ascii="宋体" w:hAnsi="宋体"/>
      <w:b/>
    </w:rPr>
  </w:style>
  <w:style w:type="paragraph" w:customStyle="1" w:styleId="65">
    <w:name w:val="6级正文"/>
    <w:basedOn w:val="1"/>
    <w:qFormat/>
    <w:uiPriority w:val="0"/>
    <w:pPr>
      <w:ind w:firstLine="444"/>
    </w:pPr>
    <w:rPr>
      <w:rFonts w:ascii="宋体" w:hAnsi="宋体"/>
      <w:spacing w:val="6"/>
      <w:kern w:val="0"/>
      <w:sz w:val="20"/>
      <w:szCs w:val="21"/>
    </w:rPr>
  </w:style>
  <w:style w:type="paragraph" w:customStyle="1" w:styleId="66">
    <w:name w:val="Q1"/>
    <w:basedOn w:val="1"/>
    <w:qFormat/>
    <w:uiPriority w:val="0"/>
    <w:pPr>
      <w:pageBreakBefore/>
      <w:numPr>
        <w:ilvl w:val="0"/>
        <w:numId w:val="3"/>
      </w:numPr>
      <w:spacing w:beforeLines="50" w:afterLines="50"/>
      <w:ind w:left="730" w:hanging="730" w:hangingChars="202"/>
      <w:jc w:val="left"/>
      <w:outlineLvl w:val="0"/>
    </w:pPr>
    <w:rPr>
      <w:rFonts w:ascii="宋体" w:hAnsi="宋体"/>
      <w:b/>
      <w:sz w:val="36"/>
    </w:rPr>
  </w:style>
  <w:style w:type="paragraph" w:customStyle="1" w:styleId="67">
    <w:name w:val="列表段落1"/>
    <w:basedOn w:val="1"/>
    <w:unhideWhenUsed/>
    <w:qFormat/>
    <w:uiPriority w:val="99"/>
    <w:pPr>
      <w:ind w:firstLine="420"/>
    </w:pPr>
  </w:style>
  <w:style w:type="character" w:customStyle="1" w:styleId="68">
    <w:name w:val="sms-content1"/>
    <w:basedOn w:val="29"/>
    <w:qFormat/>
    <w:uiPriority w:val="0"/>
    <w:rPr>
      <w:rFonts w:ascii="微软雅黑" w:hAnsi="微软雅黑" w:eastAsia="微软雅黑" w:cs="微软雅黑"/>
      <w:sz w:val="22"/>
      <w:szCs w:val="22"/>
    </w:rPr>
  </w:style>
  <w:style w:type="paragraph" w:customStyle="1" w:styleId="69">
    <w:name w:val="Style1"/>
    <w:basedOn w:val="22"/>
    <w:next w:val="1"/>
    <w:qFormat/>
    <w:uiPriority w:val="0"/>
    <w:pPr>
      <w:numPr>
        <w:ilvl w:val="0"/>
        <w:numId w:val="4"/>
      </w:numPr>
      <w:jc w:val="left"/>
    </w:pPr>
    <w:rPr>
      <w:b w:val="0"/>
      <w:sz w:val="28"/>
    </w:rPr>
  </w:style>
  <w:style w:type="paragraph" w:customStyle="1" w:styleId="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列表段落2"/>
    <w:basedOn w:val="1"/>
    <w:qFormat/>
    <w:uiPriority w:val="34"/>
    <w:pPr>
      <w:spacing w:line="240" w:lineRule="auto"/>
      <w:ind w:firstLine="420"/>
    </w:pPr>
    <w:rPr>
      <w:sz w:val="21"/>
      <w:szCs w:val="22"/>
    </w:rPr>
  </w:style>
  <w:style w:type="paragraph" w:customStyle="1" w:styleId="72">
    <w:name w:val="目录格式-3"/>
    <w:basedOn w:val="5"/>
    <w:qFormat/>
    <w:uiPriority w:val="0"/>
    <w:pPr>
      <w:widowControl/>
      <w:spacing w:before="312" w:beforeLines="100" w:after="312" w:afterLines="100"/>
      <w:jc w:val="left"/>
    </w:pPr>
    <w:rPr>
      <w:rFonts w:ascii="宋体" w:hAnsi="宋体"/>
      <w:sz w:val="28"/>
      <w:szCs w:val="28"/>
    </w:rPr>
  </w:style>
  <w:style w:type="paragraph" w:customStyle="1" w:styleId="73">
    <w:name w:val="样式 正文首行缩进 + 段前: 0.5 行 段后: 0.5 行"/>
    <w:basedOn w:val="74"/>
    <w:qFormat/>
    <w:uiPriority w:val="0"/>
    <w:pPr>
      <w:spacing w:before="156" w:after="156"/>
      <w:ind w:firstLine="0" w:firstLineChars="0"/>
    </w:pPr>
    <w:rPr>
      <w:rFonts w:cs="宋体"/>
      <w:szCs w:val="20"/>
    </w:rPr>
  </w:style>
  <w:style w:type="paragraph" w:customStyle="1" w:styleId="74">
    <w:name w:val="正文文本首行缩进1"/>
    <w:basedOn w:val="2"/>
    <w:qFormat/>
    <w:uiPriority w:val="0"/>
    <w:pPr>
      <w:ind w:firstLine="420" w:firstLineChars="100"/>
    </w:pPr>
  </w:style>
  <w:style w:type="paragraph" w:customStyle="1" w:styleId="75">
    <w:name w:val="正文缩进1"/>
    <w:basedOn w:val="1"/>
    <w:qFormat/>
    <w:uiPriority w:val="0"/>
    <w:pPr>
      <w:ind w:firstLine="420" w:firstLineChars="0"/>
    </w:pPr>
    <w:rPr>
      <w:szCs w:val="20"/>
    </w:rPr>
  </w:style>
  <w:style w:type="paragraph" w:customStyle="1" w:styleId="76">
    <w:name w:val="正文（段落）"/>
    <w:basedOn w:val="1"/>
    <w:qFormat/>
    <w:uiPriority w:val="0"/>
    <w:pPr>
      <w:jc w:val="left"/>
    </w:pPr>
    <w:rPr>
      <w:color w:val="000000"/>
      <w:kern w:val="0"/>
    </w:rPr>
  </w:style>
  <w:style w:type="paragraph" w:customStyle="1" w:styleId="77">
    <w:name w:val="正文-一体化"/>
    <w:basedOn w:val="1"/>
    <w:qFormat/>
    <w:uiPriority w:val="0"/>
    <w:pPr>
      <w:adjustRightInd w:val="0"/>
      <w:snapToGrid w:val="0"/>
      <w:ind w:firstLine="480"/>
    </w:pPr>
    <w:rPr>
      <w:kern w:val="0"/>
    </w:rPr>
  </w:style>
  <w:style w:type="paragraph" w:customStyle="1" w:styleId="78">
    <w:name w:val="样式 正文缩进正文（首行缩进两字）四号特点标题4表正文正文非缩进缩进ALT+Z段1正文不缩进特点 Char..."/>
    <w:basedOn w:val="75"/>
    <w:qFormat/>
    <w:uiPriority w:val="0"/>
    <w:pPr>
      <w:ind w:firstLine="480" w:firstLineChars="200"/>
    </w:pPr>
    <w:rPr>
      <w:rFonts w:ascii="宋体" w:hAnsi="宋体" w:cs="宋体"/>
    </w:rPr>
  </w:style>
  <w:style w:type="paragraph" w:customStyle="1" w:styleId="79">
    <w:name w:val="目录格式-4"/>
    <w:basedOn w:val="72"/>
    <w:qFormat/>
    <w:uiPriority w:val="0"/>
    <w:pPr>
      <w:outlineLvl w:val="3"/>
    </w:pPr>
  </w:style>
  <w:style w:type="character" w:customStyle="1" w:styleId="80">
    <w:name w:val="font01"/>
    <w:basedOn w:val="29"/>
    <w:qFormat/>
    <w:uiPriority w:val="0"/>
    <w:rPr>
      <w:rFonts w:hint="eastAsia" w:ascii="宋体" w:hAnsi="宋体" w:eastAsia="宋体" w:cs="宋体"/>
      <w:color w:val="000000"/>
      <w:sz w:val="20"/>
      <w:szCs w:val="20"/>
      <w:u w:val="none"/>
    </w:rPr>
  </w:style>
  <w:style w:type="character" w:customStyle="1" w:styleId="81">
    <w:name w:val="font11"/>
    <w:basedOn w:val="29"/>
    <w:qFormat/>
    <w:uiPriority w:val="0"/>
    <w:rPr>
      <w:rFonts w:hint="default" w:ascii="Times New Roman" w:hAnsi="Times New Roman" w:cs="Times New Roman"/>
      <w:color w:val="000000"/>
      <w:sz w:val="20"/>
      <w:szCs w:val="20"/>
      <w:u w:val="none"/>
    </w:rPr>
  </w:style>
  <w:style w:type="character" w:customStyle="1" w:styleId="82">
    <w:name w:val="font21"/>
    <w:basedOn w:val="29"/>
    <w:qFormat/>
    <w:uiPriority w:val="0"/>
    <w:rPr>
      <w:rFonts w:hint="eastAsia" w:ascii="宋体" w:hAnsi="宋体" w:eastAsia="宋体" w:cs="宋体"/>
      <w:color w:val="000000"/>
      <w:sz w:val="20"/>
      <w:szCs w:val="20"/>
      <w:u w:val="none"/>
    </w:rPr>
  </w:style>
  <w:style w:type="character" w:customStyle="1" w:styleId="83">
    <w:name w:val="font31"/>
    <w:basedOn w:val="29"/>
    <w:qFormat/>
    <w:uiPriority w:val="0"/>
    <w:rPr>
      <w:rFonts w:hint="default" w:ascii="Times New Roman" w:hAnsi="Times New Roman" w:cs="Times New Roman"/>
      <w:color w:val="000000"/>
      <w:sz w:val="20"/>
      <w:szCs w:val="20"/>
      <w:u w:val="none"/>
    </w:rPr>
  </w:style>
  <w:style w:type="character" w:customStyle="1" w:styleId="84">
    <w:name w:val="font51"/>
    <w:basedOn w:val="29"/>
    <w:qFormat/>
    <w:uiPriority w:val="0"/>
    <w:rPr>
      <w:rFonts w:hint="eastAsia" w:ascii="宋体" w:hAnsi="宋体" w:eastAsia="宋体" w:cs="宋体"/>
      <w:color w:val="000000"/>
      <w:sz w:val="20"/>
      <w:szCs w:val="20"/>
      <w:u w:val="none"/>
    </w:rPr>
  </w:style>
  <w:style w:type="paragraph" w:customStyle="1" w:styleId="85">
    <w:name w:val="列表段落211"/>
    <w:basedOn w:val="1"/>
    <w:qFormat/>
    <w:uiPriority w:val="1"/>
    <w:pPr>
      <w:ind w:firstLine="420"/>
    </w:pPr>
  </w:style>
  <w:style w:type="paragraph" w:customStyle="1" w:styleId="86">
    <w:name w:val="列表段落21"/>
    <w:basedOn w:val="1"/>
    <w:qFormat/>
    <w:uiPriority w:val="1"/>
    <w:pPr>
      <w:ind w:firstLine="420"/>
    </w:pPr>
  </w:style>
  <w:style w:type="paragraph" w:customStyle="1" w:styleId="87">
    <w:name w:val="一级正文"/>
    <w:basedOn w:val="1"/>
    <w:qFormat/>
    <w:uiPriority w:val="0"/>
    <w:pPr>
      <w:ind w:firstLine="0" w:firstLineChars="0"/>
      <w:jc w:val="center"/>
    </w:pPr>
    <w:rPr>
      <w:rFonts w:ascii="黑体" w:hAnsi="黑体" w:eastAsia="黑体"/>
      <w:b/>
      <w:sz w:val="48"/>
      <w:szCs w:val="48"/>
    </w:rPr>
  </w:style>
  <w:style w:type="paragraph" w:customStyle="1" w:styleId="88">
    <w:name w:val="一级条标题"/>
    <w:next w:val="89"/>
    <w:qFormat/>
    <w:uiPriority w:val="0"/>
    <w:pPr>
      <w:numPr>
        <w:ilvl w:val="2"/>
        <w:numId w:val="5"/>
      </w:numPr>
      <w:snapToGrid w:val="0"/>
      <w:spacing w:line="360" w:lineRule="auto"/>
      <w:ind w:left="2"/>
      <w:outlineLvl w:val="2"/>
    </w:pPr>
    <w:rPr>
      <w:rFonts w:ascii="宋体" w:hAnsi="宋体" w:eastAsia="宋体" w:cs="Times New Roman"/>
      <w:sz w:val="24"/>
      <w:szCs w:val="24"/>
      <w:lang w:val="en-US" w:eastAsia="zh-CN" w:bidi="ar-SA"/>
    </w:rPr>
  </w:style>
  <w:style w:type="paragraph" w:customStyle="1" w:styleId="8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0">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91">
    <w:name w:val="彩色列表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13189</Words>
  <Characters>13809</Characters>
  <Lines>96</Lines>
  <Paragraphs>27</Paragraphs>
  <TotalTime>9</TotalTime>
  <ScaleCrop>false</ScaleCrop>
  <LinksUpToDate>false</LinksUpToDate>
  <CharactersWithSpaces>13935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2024-03-07T03:10:00Z</dcterms:created>
  <dc:creator>szsyy</dc:creator>
  <cp:lastModifiedBy>chaizh</cp:lastModifiedBy>
  <cp:lastPrinted>2021-06-18T14:47:00Z</cp:lastPrinted>
  <dcterms:modified xsi:type="dcterms:W3CDTF">2026-07-23T09:03:16Z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D75E3898AC1846B0A787B0D0AA8751C7_13</vt:lpwstr>
  </property>
  <property fmtid="{D5CDD505-2E9C-101B-9397-08002B2CF9AE}" pid="4" name="KSOSaveFontToCloudKey">
    <vt:lpwstr>400966130_btnclosed</vt:lpwstr>
  </property>
  <property fmtid="{D5CDD505-2E9C-101B-9397-08002B2CF9AE}" pid="5" name="KSOTemplateDocerSaveRecord">
    <vt:lpwstr>eyJoZGlkIjoiOWQxNTg5OWJhODYzZWQ3N2Q1OTBiYjFlNzUwM2UzM2UiLCJ1c2VySWQiOiI0MjI4MDE0NTIifQ==</vt:lpwstr>
  </property>
</Properties>
</file>