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425"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14"/>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cs="仿宋"/>
                <w:snapToGrid w:val="0"/>
                <w:color w:val="000000"/>
                <w:kern w:val="24"/>
                <w:sz w:val="24"/>
                <w:szCs w:val="24"/>
                <w:highlight w:val="none"/>
                <w:lang w:val="en-US" w:eastAsia="zh-CN" w:bidi="ar-SA"/>
              </w:rPr>
              <w:t>企业</w:t>
            </w:r>
            <w:r>
              <w:rPr>
                <w:rFonts w:hint="eastAsia" w:ascii="仿宋" w:hAnsi="仿宋" w:eastAsia="仿宋" w:cs="仿宋"/>
                <w:snapToGrid w:val="0"/>
                <w:color w:val="000000"/>
                <w:kern w:val="24"/>
                <w:sz w:val="24"/>
                <w:szCs w:val="24"/>
                <w:highlight w:val="none"/>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2026年南网数字运营软件科技（广东）有限公司第一批应用服务器中间件投标框架寻源项目</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color w:val="0000FF"/>
          <w:sz w:val="24"/>
          <w:szCs w:val="24"/>
          <w:highlight w:val="none"/>
          <w:lang w:val="en-US" w:eastAsia="zh-CN"/>
        </w:rPr>
        <w:t>拟投标项目名称（报名后获悉）</w:t>
      </w:r>
      <w:r>
        <w:rPr>
          <w:rFonts w:hint="eastAsia" w:ascii="仿宋" w:hAnsi="仿宋" w:eastAsia="仿宋" w:cs="仿宋"/>
          <w:sz w:val="24"/>
          <w:szCs w:val="24"/>
          <w:highlight w:val="none"/>
          <w:lang w:val="en-US" w:eastAsia="zh-CN"/>
        </w:rPr>
        <w:t>”项目要求的设备制造商授权函和质保期内原厂售后服务承诺函。</w:t>
      </w:r>
    </w:p>
    <w:p>
      <w:pPr>
        <w:pStyle w:val="8"/>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8"/>
        <w:spacing w:line="360" w:lineRule="auto"/>
        <w:outlineLvl w:val="9"/>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8"/>
        <w:spacing w:line="360" w:lineRule="auto"/>
        <w:outlineLvl w:val="9"/>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南网数字运营软件科技（广东）有限公司</w:t>
      </w:r>
    </w:p>
    <w:p>
      <w:pPr>
        <w:pStyle w:val="8"/>
        <w:spacing w:line="360" w:lineRule="auto"/>
        <w:outlineLvl w:val="9"/>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color w:val="0000EE"/>
          <w:kern w:val="2"/>
          <w:sz w:val="24"/>
          <w:szCs w:val="24"/>
          <w:highlight w:val="none"/>
          <w:u w:val="single"/>
          <w:lang w:val="en-US" w:eastAsia="zh-CN" w:bidi="ar-SA"/>
        </w:rPr>
        <w:t>2026年南网数字运营软件科技（广东）有限公司第一批应用服务器中间件投标框架寻源项目</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13"/>
        <w:spacing w:line="360" w:lineRule="auto"/>
        <w:rPr>
          <w:rFonts w:hint="eastAsia" w:ascii="仿宋" w:hAnsi="仿宋" w:eastAsia="仿宋" w:cs="仿宋"/>
          <w:sz w:val="24"/>
          <w:szCs w:val="24"/>
          <w:highlight w:val="none"/>
          <w:lang w:val="en-US" w:eastAsia="zh-CN"/>
        </w:rPr>
      </w:pPr>
    </w:p>
    <w:p>
      <w:pPr>
        <w:pStyle w:val="11"/>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南网数字运营软件科技（广东）有限公司</w:t>
      </w:r>
    </w:p>
    <w:p>
      <w:pPr>
        <w:pStyle w:val="11"/>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1"/>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b w:val="0"/>
          <w:bCs w:val="0"/>
          <w:color w:val="000000"/>
          <w:sz w:val="24"/>
          <w:szCs w:val="24"/>
          <w:highlight w:val="none"/>
          <w:lang w:val="en-US" w:eastAsia="zh-CN"/>
        </w:rPr>
      </w:pPr>
    </w:p>
    <w:p>
      <w:pPr>
        <w:pStyle w:val="8"/>
        <w:spacing w:line="360" w:lineRule="auto"/>
        <w:outlineLvl w:val="9"/>
        <w:rPr>
          <w:rFonts w:hint="eastAsia"/>
          <w:highlight w:val="none"/>
          <w:lang w:val="en-US" w:eastAsia="zh-CN"/>
        </w:rPr>
      </w:pPr>
    </w:p>
    <w:p>
      <w:pPr>
        <w:rPr>
          <w:rFonts w:hint="eastAsia"/>
          <w:highlight w:val="none"/>
          <w:lang w:val="en-US" w:eastAsia="zh-CN"/>
        </w:rPr>
      </w:pPr>
    </w:p>
    <w:p>
      <w:pPr>
        <w:pStyle w:val="8"/>
        <w:outlineLvl w:val="9"/>
        <w:rPr>
          <w:rFonts w:hint="eastAsia"/>
          <w:highlight w:val="none"/>
          <w:lang w:val="en-US" w:eastAsia="zh-CN"/>
        </w:rPr>
      </w:pPr>
    </w:p>
    <w:p>
      <w:pPr>
        <w:spacing w:line="360" w:lineRule="auto"/>
        <w:rPr>
          <w:rFonts w:hint="eastAsia"/>
          <w:highlight w:val="none"/>
          <w:lang w:val="en-US"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8"/>
        <w:spacing w:before="91" w:line="360" w:lineRule="auto"/>
        <w:ind w:left="25"/>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南网数字运营软件科技（广东）有限公司  </w:t>
      </w:r>
    </w:p>
    <w:p>
      <w:pPr>
        <w:pStyle w:val="8"/>
        <w:spacing w:before="91" w:line="360" w:lineRule="auto"/>
        <w:ind w:left="25" w:firstLine="420"/>
        <w:outlineLvl w:val="9"/>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 xml:space="preserve">2026年南网数字运营软件科技（广东）有限公司第一批应用服务器中间件投标框架寻源项目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pStyle w:val="7"/>
        <w:rPr>
          <w:rFonts w:hint="eastAsia"/>
          <w:highlight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8"/>
        <w:ind w:firstLine="482" w:firstLineChars="200"/>
        <w:outlineLvl w:val="9"/>
        <w:rPr>
          <w:rFonts w:hint="default"/>
          <w:b/>
          <w:bCs/>
          <w:highlight w:val="none"/>
          <w:lang w:val="en-US" w:eastAsia="zh-CN"/>
        </w:rPr>
      </w:pPr>
      <w:r>
        <w:rPr>
          <w:rFonts w:hint="eastAsia" w:ascii="仿宋" w:hAnsi="仿宋" w:eastAsia="仿宋" w:cs="仿宋"/>
          <w:b/>
          <w:bCs/>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1.1.8.1</w:t>
      </w:r>
      <w:r>
        <w:rPr>
          <w:rFonts w:hint="eastAsia" w:ascii="仿宋" w:hAnsi="仿宋" w:eastAsia="仿宋" w:cs="仿宋"/>
          <w:b/>
          <w:bCs/>
          <w:kern w:val="2"/>
          <w:sz w:val="24"/>
          <w:szCs w:val="24"/>
          <w:highlight w:val="none"/>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8"/>
        <w:outlineLvl w:val="9"/>
        <w:rPr>
          <w:rFonts w:hint="default"/>
          <w:highlight w:val="none"/>
          <w:lang w:val="en-US" w:eastAsia="zh-CN"/>
        </w:rPr>
      </w:pPr>
    </w:p>
    <w:p>
      <w:pPr>
        <w:pStyle w:val="8"/>
        <w:spacing w:line="360" w:lineRule="auto"/>
        <w:outlineLvl w:val="9"/>
        <w:rPr>
          <w:rFonts w:hint="eastAsia"/>
          <w:highlight w:val="none"/>
          <w:lang w:eastAsia="zh-CN"/>
        </w:rPr>
      </w:pPr>
    </w:p>
    <w:p>
      <w:pPr>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2026年南网数字运营软件科技（广东）有限公司第一批应用服务器中间件投标框架寻源项目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1.1.10被授权人身份证明（格式七）</w:t>
      </w:r>
    </w:p>
    <w:p>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说明：若是被授权的经销商作为本次寻源的响应方的，则被授权经销商填写被授权人身份证明。若是制造商作为本次寻源的响应方的，则制造商填写法定代表人授权书、被授权人身份证明。</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南网数字运营软件科技（广东）有限公司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b/>
          <w:bCs/>
          <w:color w:val="0000EE"/>
          <w:sz w:val="24"/>
          <w:szCs w:val="24"/>
          <w:highlight w:val="none"/>
          <w:u w:val="single"/>
          <w:lang w:val="en-US" w:eastAsia="zh-CN"/>
        </w:rPr>
        <w:t>2026年南网数字运营软件科技（广东）有限公司第一批应用服务器中间件投标框架寻源项目</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14"/>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1.1.11法定代表人身份证明（格式八）</w:t>
      </w:r>
    </w:p>
    <w:p>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13"/>
        <w:spacing w:line="360" w:lineRule="auto"/>
        <w:rPr>
          <w:rFonts w:hint="eastAsia" w:ascii="仿宋" w:hAnsi="仿宋" w:eastAsia="仿宋" w:cs="仿宋"/>
          <w:sz w:val="24"/>
          <w:szCs w:val="24"/>
          <w:highlight w:val="none"/>
          <w:lang w:val="en-US" w:eastAsia="en-US"/>
        </w:rPr>
      </w:pPr>
    </w:p>
    <w:p>
      <w:pPr>
        <w:pStyle w:val="16"/>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16"/>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16"/>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16"/>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16"/>
        <w:spacing w:line="360" w:lineRule="auto"/>
        <w:rPr>
          <w:rFonts w:hint="eastAsia" w:ascii="仿宋" w:hAnsi="仿宋" w:eastAsia="仿宋" w:cs="仿宋"/>
          <w:snapToGrid w:val="0"/>
          <w:kern w:val="24"/>
          <w:sz w:val="24"/>
          <w:szCs w:val="24"/>
          <w:highlight w:val="none"/>
        </w:rPr>
      </w:pPr>
    </w:p>
    <w:p>
      <w:pPr>
        <w:pStyle w:val="16"/>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14"/>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16"/>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pStyle w:val="8"/>
        <w:spacing w:line="360" w:lineRule="auto"/>
        <w:outlineLvl w:val="9"/>
        <w:rPr>
          <w:rFonts w:hint="eastAsia"/>
          <w:highlight w:val="none"/>
          <w:lang w:eastAsia="zh-CN"/>
        </w:rPr>
      </w:pPr>
    </w:p>
    <w:p>
      <w:pPr>
        <w:rPr>
          <w:rFonts w:hint="eastAsia"/>
          <w:highlight w:val="none"/>
          <w:lang w:eastAsia="zh-CN"/>
        </w:rPr>
      </w:pPr>
    </w:p>
    <w:p>
      <w:pPr>
        <w:pStyle w:val="8"/>
        <w:outlineLvl w:val="9"/>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7"/>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8"/>
        <w:spacing w:line="360" w:lineRule="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2026年南网数字运营软件科技（广东）有限公司第一批应用服务器中间件投标框架寻源项目</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8"/>
        <w:spacing w:line="360" w:lineRule="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企业简介。若是制造商作为本次寻源的响应方的，则无需填写。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8"/>
        <w:spacing w:line="360" w:lineRule="auto"/>
        <w:outlineLvl w:val="9"/>
        <w:rPr>
          <w:rFonts w:hint="eastAsia"/>
          <w:highlight w:val="none"/>
          <w:lang w:eastAsia="zh-CN"/>
        </w:rPr>
      </w:pPr>
    </w:p>
    <w:p>
      <w:pPr>
        <w:spacing w:line="360" w:lineRule="auto"/>
        <w:rPr>
          <w:rFonts w:hint="eastAsia"/>
          <w:highlight w:val="none"/>
          <w:lang w:eastAsia="zh-CN"/>
        </w:rPr>
      </w:pPr>
    </w:p>
    <w:p>
      <w:pPr>
        <w:pStyle w:val="8"/>
        <w:spacing w:line="360" w:lineRule="auto"/>
        <w:outlineLvl w:val="9"/>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（说明：提供被授权经销商的营业执照及其他资料。若是制造商作为本次寻源的响应方的，则无需填写。）</w:t>
      </w:r>
    </w:p>
    <w:p>
      <w:pPr>
        <w:spacing w:line="360" w:lineRule="auto"/>
        <w:rPr>
          <w:rFonts w:hint="eastAsia"/>
          <w:highlight w:val="none"/>
          <w:lang w:eastAsia="zh-CN"/>
        </w:rPr>
      </w:pPr>
    </w:p>
    <w:p>
      <w:pPr>
        <w:pStyle w:val="8"/>
        <w:spacing w:line="360" w:lineRule="auto"/>
        <w:outlineLvl w:val="9"/>
        <w:rPr>
          <w:rFonts w:hint="eastAsia"/>
          <w:highlight w:val="none"/>
          <w:lang w:eastAsia="zh-CN"/>
        </w:rPr>
      </w:pPr>
    </w:p>
    <w:p>
      <w:pPr>
        <w:pStyle w:val="8"/>
        <w:spacing w:line="360" w:lineRule="auto"/>
        <w:outlineLvl w:val="9"/>
        <w:rPr>
          <w:rFonts w:hint="eastAsia"/>
          <w:highlight w:val="none"/>
          <w:lang w:eastAsia="zh-CN"/>
        </w:rPr>
      </w:pPr>
    </w:p>
    <w:p>
      <w:pPr>
        <w:pStyle w:val="8"/>
        <w:spacing w:line="360" w:lineRule="auto"/>
        <w:outlineLvl w:val="9"/>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8"/>
        <w:spacing w:line="360" w:lineRule="auto"/>
        <w:outlineLvl w:val="9"/>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pStyle w:val="8"/>
        <w:spacing w:line="360" w:lineRule="auto"/>
        <w:outlineLvl w:val="9"/>
        <w:rPr>
          <w:rFonts w:hint="eastAsia"/>
          <w:highlight w:val="none"/>
          <w:lang w:eastAsia="zh-CN"/>
        </w:rPr>
      </w:pPr>
    </w:p>
    <w:p>
      <w:pPr>
        <w:spacing w:line="360" w:lineRule="auto"/>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近三年经第三方审计的财务报告</w:t>
      </w:r>
    </w:p>
    <w:p>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highlight w:val="none"/>
          <w:u w:val="single"/>
          <w:lang w:val="en-US" w:eastAsia="zh-CN"/>
        </w:rPr>
        <w:t>近三年经</w:t>
      </w:r>
      <w:r>
        <w:rPr>
          <w:rFonts w:hint="eastAsia" w:ascii="仿宋" w:hAnsi="仿宋" w:eastAsia="仿宋" w:cs="仿宋"/>
          <w:b/>
          <w:bCs/>
          <w:i/>
          <w:iCs/>
          <w:color w:val="0000FF"/>
          <w:sz w:val="24"/>
          <w:szCs w:val="24"/>
          <w:highlight w:val="none"/>
          <w:u w:val="single"/>
          <w:lang w:val="en-US" w:eastAsia="zh-CN"/>
        </w:rPr>
        <w:t>第三方审计</w:t>
      </w:r>
      <w:r>
        <w:rPr>
          <w:rFonts w:hint="eastAsia" w:ascii="仿宋" w:hAnsi="仿宋" w:eastAsia="仿宋" w:cs="仿宋"/>
          <w:b w:val="0"/>
          <w:bCs w:val="0"/>
          <w:i/>
          <w:iCs/>
          <w:color w:val="0000FF"/>
          <w:sz w:val="24"/>
          <w:szCs w:val="24"/>
          <w:highlight w:val="none"/>
          <w:u w:val="single"/>
          <w:lang w:val="en-US" w:eastAsia="zh-CN"/>
        </w:rPr>
        <w:t>的财务报告</w:t>
      </w:r>
      <w:r>
        <w:rPr>
          <w:rFonts w:hint="eastAsia" w:ascii="仿宋" w:hAnsi="仿宋" w:eastAsia="仿宋" w:cs="仿宋"/>
          <w:i/>
          <w:iCs/>
          <w:color w:val="0000FF"/>
          <w:sz w:val="24"/>
          <w:szCs w:val="24"/>
          <w:highlight w:val="none"/>
          <w:u w:val="single"/>
          <w:lang w:val="en-US" w:eastAsia="zh-CN"/>
        </w:rPr>
        <w:t>。若是制造商作为本次寻源的响应方的，则提供制造商</w:t>
      </w:r>
      <w:r>
        <w:rPr>
          <w:rFonts w:hint="eastAsia" w:ascii="仿宋" w:hAnsi="仿宋" w:eastAsia="仿宋" w:cs="仿宋"/>
          <w:b w:val="0"/>
          <w:bCs w:val="0"/>
          <w:i/>
          <w:iCs/>
          <w:color w:val="0000FF"/>
          <w:sz w:val="24"/>
          <w:szCs w:val="24"/>
          <w:highlight w:val="none"/>
          <w:u w:val="single"/>
          <w:lang w:val="en-US" w:eastAsia="zh-CN"/>
        </w:rPr>
        <w:t>近三年经</w:t>
      </w:r>
      <w:r>
        <w:rPr>
          <w:rFonts w:hint="eastAsia" w:ascii="仿宋" w:hAnsi="仿宋" w:eastAsia="仿宋" w:cs="仿宋"/>
          <w:b/>
          <w:bCs/>
          <w:i/>
          <w:iCs/>
          <w:color w:val="0000FF"/>
          <w:sz w:val="24"/>
          <w:szCs w:val="24"/>
          <w:highlight w:val="none"/>
          <w:u w:val="single"/>
          <w:lang w:val="en-US" w:eastAsia="zh-CN"/>
        </w:rPr>
        <w:t>第三方审计</w:t>
      </w:r>
      <w:r>
        <w:rPr>
          <w:rFonts w:hint="eastAsia" w:ascii="仿宋" w:hAnsi="仿宋" w:eastAsia="仿宋" w:cs="仿宋"/>
          <w:b w:val="0"/>
          <w:bCs w:val="0"/>
          <w:i/>
          <w:iCs/>
          <w:color w:val="0000FF"/>
          <w:sz w:val="24"/>
          <w:szCs w:val="24"/>
          <w:highlight w:val="none"/>
          <w:u w:val="single"/>
          <w:lang w:val="en-US" w:eastAsia="zh-CN"/>
        </w:rPr>
        <w:t>的财务报告。</w:t>
      </w:r>
      <w:r>
        <w:rPr>
          <w:rFonts w:hint="eastAsia" w:ascii="仿宋" w:hAnsi="仿宋" w:eastAsia="仿宋" w:cs="仿宋"/>
          <w:i/>
          <w:iCs/>
          <w:color w:val="0000FF"/>
          <w:sz w:val="24"/>
          <w:szCs w:val="24"/>
          <w:highlight w:val="none"/>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14"/>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16"/>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8"/>
        <w:spacing w:line="360" w:lineRule="auto"/>
        <w:outlineLvl w:val="9"/>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8"/>
        <w:keepNext w:val="0"/>
        <w:keepLines w:val="0"/>
        <w:pageBreakBefore/>
        <w:widowControl w:val="0"/>
        <w:kinsoku/>
        <w:wordWrap/>
        <w:overflowPunct/>
        <w:topLinePunct w:val="0"/>
        <w:autoSpaceDE/>
        <w:autoSpaceDN/>
        <w:bidi w:val="0"/>
        <w:adjustRightInd/>
        <w:snapToGrid/>
        <w:textAlignment w:val="auto"/>
        <w:outlineLvl w:val="9"/>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pStyle w:val="8"/>
        <w:spacing w:line="360" w:lineRule="auto"/>
        <w:outlineLvl w:val="9"/>
        <w:rPr>
          <w:rFonts w:hint="eastAsia"/>
          <w:highlight w:val="none"/>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14"/>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highlight w:val="none"/>
              </w:rPr>
            </w:pPr>
            <w:r>
              <w:rPr>
                <w:rFonts w:hint="eastAsia" w:ascii="等线" w:hAnsi="等线" w:eastAsia="等线" w:cs="宋体"/>
                <w:b/>
                <w:bCs/>
                <w:color w:val="000000"/>
                <w:kern w:val="0"/>
                <w:sz w:val="24"/>
                <w:highlight w:val="none"/>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品牌/厂商</w:t>
            </w:r>
          </w:p>
        </w:tc>
      </w:tr>
      <w:tr>
        <w:tblPrEx>
          <w:tblCellMar>
            <w:top w:w="0" w:type="dxa"/>
            <w:left w:w="108" w:type="dxa"/>
            <w:bottom w:w="0" w:type="dxa"/>
            <w:right w:w="108" w:type="dxa"/>
          </w:tblCellMar>
        </w:tblPrEx>
        <w:trPr>
          <w:trHeight w:val="24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highlight w:val="none"/>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highlight w:val="none"/>
              </w:rPr>
            </w:pPr>
            <w:r>
              <w:rPr>
                <w:rFonts w:hint="eastAsia" w:ascii="等线" w:hAnsi="等线" w:eastAsia="等线" w:cs="宋体"/>
                <w:b/>
                <w:bCs/>
                <w:color w:val="000000"/>
                <w:kern w:val="0"/>
                <w:sz w:val="24"/>
                <w:highlight w:val="none"/>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r>
              <w:rPr>
                <w:rFonts w:hint="eastAsia" w:ascii="等线" w:hAnsi="等线" w:eastAsia="等线" w:cs="宋体"/>
                <w:color w:val="000000"/>
                <w:kern w:val="0"/>
                <w:sz w:val="22"/>
                <w:szCs w:val="22"/>
                <w:highlight w:val="none"/>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highlight w:val="none"/>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highlight w:val="none"/>
              </w:rPr>
            </w:pPr>
          </w:p>
        </w:tc>
      </w:tr>
    </w:tbl>
    <w:p>
      <w:pPr>
        <w:bidi w:val="0"/>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highlight w:val="none"/>
          <w:lang w:val="en-US" w:eastAsia="zh-CN"/>
        </w:rPr>
      </w:pPr>
    </w:p>
    <w:p>
      <w:pPr>
        <w:pStyle w:val="17"/>
        <w:bidi w:val="0"/>
        <w:rPr>
          <w:rFonts w:hint="eastAsia"/>
          <w:lang w:val="en-US" w:eastAsia="zh-CN"/>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7"/>
        <w:bidi w:val="0"/>
        <w:rPr>
          <w:rFonts w:hint="eastAsia"/>
        </w:rPr>
      </w:pPr>
    </w:p>
    <w:p>
      <w:pPr>
        <w:pStyle w:val="8"/>
        <w:spacing w:line="360" w:lineRule="auto"/>
        <w:outlineLvl w:val="9"/>
        <w:rPr>
          <w:rFonts w:hint="eastAsia"/>
          <w:highlight w:val="none"/>
        </w:rPr>
      </w:pPr>
    </w:p>
    <w:p>
      <w:pPr>
        <w:pStyle w:val="17"/>
        <w:bidi w:val="0"/>
        <w:rPr>
          <w:rFonts w:hint="eastAsia"/>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4"/>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技术参数偏离表标★项证需提供证明材料（如产品功能截图、第三方测评报告等），未提供视为无效投标。</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numPr>
          <w:ilvl w:val="0"/>
          <w:numId w:val="0"/>
        </w:numPr>
        <w:spacing w:line="360" w:lineRule="auto"/>
        <w:outlineLvl w:val="3"/>
        <w:rPr>
          <w:rFonts w:hint="eastAsia" w:ascii="仿宋" w:hAnsi="仿宋" w:eastAsia="仿宋" w:cs="仿宋"/>
          <w:b/>
          <w:bCs/>
          <w:sz w:val="24"/>
          <w:szCs w:val="24"/>
          <w:lang w:val="en-US" w:eastAsia="zh-CN"/>
        </w:rPr>
      </w:pPr>
      <w:bookmarkStart w:id="1" w:name="_Toc15749"/>
      <w:bookmarkStart w:id="2" w:name="_Toc23099"/>
      <w:bookmarkStart w:id="3" w:name="_Toc35246432"/>
      <w:bookmarkStart w:id="4" w:name="_Toc7435"/>
      <w:bookmarkStart w:id="5" w:name="_Toc22481"/>
      <w:bookmarkStart w:id="6" w:name="_Toc23314"/>
      <w:bookmarkStart w:id="7" w:name="_Toc17986"/>
      <w:bookmarkStart w:id="8" w:name="_Toc185315136"/>
      <w:bookmarkStart w:id="9" w:name="_Toc9411"/>
      <w:bookmarkStart w:id="10" w:name="_Toc8073"/>
      <w:bookmarkStart w:id="11" w:name="_Toc18036"/>
      <w:bookmarkStart w:id="12" w:name="_Toc20399"/>
      <w:r>
        <w:rPr>
          <w:rFonts w:hint="eastAsia" w:ascii="仿宋" w:hAnsi="仿宋" w:eastAsia="仿宋" w:cs="仿宋"/>
          <w:b/>
          <w:bCs/>
          <w:sz w:val="24"/>
          <w:szCs w:val="24"/>
          <w:lang w:val="en-US" w:eastAsia="zh-CN"/>
        </w:rPr>
        <w:t>4.2.1基本技术要求</w:t>
      </w:r>
      <w:bookmarkEnd w:id="1"/>
      <w:bookmarkEnd w:id="2"/>
      <w:bookmarkEnd w:id="3"/>
      <w:bookmarkEnd w:id="4"/>
      <w:bookmarkEnd w:id="5"/>
      <w:bookmarkEnd w:id="6"/>
      <w:bookmarkEnd w:id="7"/>
      <w:bookmarkEnd w:id="8"/>
      <w:bookmarkEnd w:id="9"/>
      <w:bookmarkEnd w:id="10"/>
      <w:bookmarkEnd w:id="11"/>
      <w:bookmarkEnd w:id="12"/>
    </w:p>
    <w:tbl>
      <w:tblPr>
        <w:tblStyle w:val="14"/>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★硬件支持，支持主流厂商硬件，兼容通过国家安全可靠测评的 CPU（ARM、X86、MIPS）架构，需满足对信创自主可控基础设施适配。供应商需提供相应硬件兼容列表(HCL)，</w:t>
            </w:r>
            <w:r>
              <w:rPr>
                <w:rStyle w:val="19"/>
                <w:rFonts w:hint="eastAsia" w:ascii="仿宋" w:hAnsi="仿宋" w:eastAsia="仿宋" w:cs="仿宋"/>
                <w:sz w:val="24"/>
                <w:szCs w:val="24"/>
                <w:lang w:val="en-US" w:eastAsia="zh-CN" w:bidi="ar"/>
              </w:rPr>
              <w:t>提供支持信创自主可控ARM及X86指令集架构芯片厂商互认证证书</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★操作系统支持，支持Windows、Linux、Unix以及 UOS、麒麟等通过国家安全可靠测评的自主可控操作系统。供应商需</w:t>
            </w:r>
            <w:r>
              <w:rPr>
                <w:rFonts w:hint="eastAsia" w:ascii="仿宋" w:hAnsi="仿宋" w:eastAsia="仿宋" w:cs="仿宋"/>
                <w:b/>
                <w:bCs/>
                <w:i w:val="0"/>
                <w:iCs w:val="0"/>
                <w:color w:val="000000"/>
                <w:kern w:val="0"/>
                <w:sz w:val="24"/>
                <w:szCs w:val="24"/>
                <w:u w:val="none"/>
                <w:lang w:val="en-US" w:eastAsia="zh-CN" w:bidi="ar"/>
              </w:rPr>
              <w:t>提供相应操作系统兼容列表，提供支持信创自主可控操作系统厂商的互认证证书</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★数据库支持，支持国际主流数据库及国产主流自主可控数据库，兼容达梦等通过国家安全可靠测评的关系数据库，</w:t>
            </w:r>
            <w:r>
              <w:rPr>
                <w:rStyle w:val="19"/>
                <w:rFonts w:hint="eastAsia" w:ascii="仿宋" w:hAnsi="仿宋" w:eastAsia="仿宋" w:cs="仿宋"/>
                <w:sz w:val="24"/>
                <w:szCs w:val="24"/>
                <w:lang w:val="en-US" w:eastAsia="zh-CN" w:bidi="ar"/>
              </w:rPr>
              <w:t>提供证明材料（如产品功能截图或第三方测评报告、兼容互认证证书等）</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★应用兼容性，可以与南方电网的SOA、微服务、OSGi等架构兼容适配，</w:t>
            </w:r>
            <w:r>
              <w:rPr>
                <w:rStyle w:val="19"/>
                <w:rFonts w:hint="eastAsia" w:ascii="仿宋" w:hAnsi="仿宋" w:eastAsia="仿宋" w:cs="仿宋"/>
                <w:sz w:val="24"/>
                <w:szCs w:val="24"/>
                <w:lang w:val="en-US" w:eastAsia="zh-CN" w:bidi="ar"/>
              </w:rPr>
              <w:t>提供产品兼容互认证明或部署手册等证明材料</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多语言支持，包括中文和英文等，能够支持简体中文、繁体中文、英文等多种字符集，能够使用这些字符集存储数据，且供应商需提供相应列表。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管理控制台支持多语言，用户通过管理界面可以灵活地选择使用的语言。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能够提供中文版、英文版等不同版本的安装介质，以适应不同的语言环境。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★核心代码自主率达到100%，通过第三方测试机构代码自主率测试，</w:t>
            </w:r>
            <w:r>
              <w:rPr>
                <w:rStyle w:val="19"/>
                <w:rFonts w:hint="eastAsia" w:ascii="仿宋" w:hAnsi="仿宋" w:eastAsia="仿宋" w:cs="仿宋"/>
                <w:sz w:val="24"/>
                <w:szCs w:val="24"/>
                <w:lang w:val="en-US" w:eastAsia="zh-CN" w:bidi="ar"/>
              </w:rPr>
              <w:t>提供第三方测试报告，第三方机构需要具备CNAS、CMA认证资质，厂商需对核心代码范围进行声明并加盖公司公章</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提供补丁管理功能，支持管理控制台和命令两种补丁管理模式，可对本地及远程实例进行补丁包的统一安装、卸载、回滚及查询升级日志等操作。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支持用户通过浏览器访问管理工具，支持微软Edge、搜狗浏览器、谷歌Chrome等常用浏览器。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监控指标异常预警，可通过定义各类关键指标的阀值，在异常发生时触发指定事件，并通过多种方式通知用户，实现系统异常预警能力。提供有效的故障检测及诊断工具，支持监控指标数据历史回放，具备完整的操作错误提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支持高可用，支持热备、互备、负载均衡等多种集群模式。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提供界面友好、操作简单易用、有联机帮助及操作提示的B/S架构的管理工具。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0" w:type="dxa"/>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支持云原生架构应用，满足应用微服务化、容器化部署要求；支持基于Kubernetes的容器集群管理、业务监控、弹性伸缩、资源调度等功能。</w:t>
            </w:r>
          </w:p>
        </w:tc>
      </w:tr>
    </w:tbl>
    <w:p>
      <w:pPr>
        <w:numPr>
          <w:ilvl w:val="0"/>
          <w:numId w:val="0"/>
        </w:numPr>
        <w:spacing w:line="360" w:lineRule="auto"/>
        <w:outlineLvl w:val="3"/>
        <w:rPr>
          <w:rFonts w:hint="eastAsia" w:ascii="仿宋" w:hAnsi="仿宋" w:eastAsia="仿宋" w:cs="仿宋"/>
          <w:b/>
          <w:bCs/>
          <w:sz w:val="24"/>
          <w:szCs w:val="24"/>
          <w:lang w:val="en-US" w:eastAsia="zh-CN"/>
        </w:rPr>
      </w:pPr>
      <w:bookmarkStart w:id="13" w:name="_Toc22100"/>
      <w:bookmarkStart w:id="14" w:name="_Toc30317"/>
      <w:bookmarkStart w:id="15" w:name="_Toc358"/>
      <w:bookmarkStart w:id="16" w:name="_Toc12457"/>
      <w:bookmarkStart w:id="17" w:name="_Toc1475"/>
      <w:bookmarkStart w:id="18" w:name="_Toc35246433"/>
      <w:bookmarkStart w:id="19" w:name="_Toc29304"/>
      <w:bookmarkStart w:id="20" w:name="_Toc22014"/>
      <w:bookmarkStart w:id="21" w:name="_Toc4151"/>
      <w:bookmarkStart w:id="22" w:name="_Toc3175"/>
      <w:bookmarkStart w:id="23" w:name="_Toc30450"/>
      <w:r>
        <w:rPr>
          <w:rFonts w:hint="eastAsia" w:ascii="仿宋" w:hAnsi="仿宋" w:eastAsia="仿宋" w:cs="仿宋"/>
          <w:b/>
          <w:bCs/>
          <w:sz w:val="24"/>
          <w:szCs w:val="24"/>
          <w:lang w:val="en-US" w:eastAsia="zh-CN"/>
        </w:rPr>
        <w:t>4.2.2产品要求</w:t>
      </w:r>
      <w:bookmarkEnd w:id="13"/>
      <w:bookmarkEnd w:id="14"/>
      <w:bookmarkEnd w:id="15"/>
      <w:bookmarkEnd w:id="16"/>
      <w:bookmarkEnd w:id="17"/>
      <w:bookmarkEnd w:id="18"/>
      <w:bookmarkEnd w:id="19"/>
      <w:bookmarkEnd w:id="20"/>
      <w:bookmarkEnd w:id="21"/>
      <w:bookmarkEnd w:id="22"/>
      <w:bookmarkEnd w:id="23"/>
    </w:p>
    <w:p>
      <w:pPr>
        <w:pStyle w:val="6"/>
        <w:numPr>
          <w:ilvl w:val="-1"/>
          <w:numId w:val="0"/>
        </w:numPr>
        <w:ind w:left="0" w:firstLine="0"/>
        <w:rPr>
          <w:rFonts w:hint="eastAsia"/>
          <w:b/>
          <w:bCs/>
        </w:rPr>
      </w:pPr>
      <w:bookmarkStart w:id="24" w:name="_Toc27169"/>
      <w:bookmarkStart w:id="25" w:name="_Toc22739"/>
      <w:bookmarkStart w:id="26" w:name="_Toc35246434"/>
      <w:bookmarkStart w:id="27" w:name="_Toc11195"/>
      <w:bookmarkStart w:id="28" w:name="_Toc1429"/>
      <w:bookmarkStart w:id="29" w:name="_Toc2481"/>
      <w:r>
        <w:rPr>
          <w:rFonts w:hint="eastAsia" w:ascii="仿宋" w:hAnsi="仿宋"/>
          <w:b/>
          <w:bCs/>
          <w:lang w:val="en-US" w:eastAsia="zh-CN"/>
        </w:rPr>
        <w:t>4.2.2.1</w:t>
      </w:r>
      <w:r>
        <w:rPr>
          <w:rFonts w:hint="default"/>
          <w:b/>
          <w:bCs/>
        </w:rPr>
        <w:t>功能要求</w:t>
      </w:r>
      <w:bookmarkEnd w:id="24"/>
      <w:bookmarkEnd w:id="25"/>
      <w:bookmarkEnd w:id="26"/>
      <w:bookmarkEnd w:id="27"/>
      <w:bookmarkEnd w:id="28"/>
      <w:bookmarkEnd w:id="29"/>
    </w:p>
    <w:p>
      <w:pPr>
        <w:numPr>
          <w:ilvl w:val="-1"/>
          <w:numId w:val="0"/>
        </w:numPr>
        <w:ind w:left="0" w:firstLine="0"/>
        <w:rPr>
          <w:rFonts w:hint="default" w:ascii="Arial" w:hAnsi="Arial" w:eastAsia="仿宋" w:cs="仿宋"/>
          <w:b w:val="0"/>
          <w:bCs w:val="0"/>
          <w:sz w:val="24"/>
          <w:lang w:val="en-US"/>
        </w:rPr>
      </w:pPr>
      <w:r>
        <w:rPr>
          <w:rFonts w:hint="eastAsia"/>
          <w:lang w:val="en-US" w:eastAsia="zh-CN"/>
        </w:rPr>
        <w:t>4.2.2.1.1</w:t>
      </w:r>
      <w:r>
        <w:rPr>
          <w:rFonts w:hint="default" w:ascii="Arial" w:hAnsi="Arial" w:eastAsia="仿宋" w:cs="仿宋"/>
          <w:b/>
          <w:bCs/>
          <w:sz w:val="24"/>
          <w:lang w:val="en-US"/>
        </w:rPr>
        <w:t>技术规范性要求</w:t>
      </w:r>
    </w:p>
    <w:tbl>
      <w:tblPr>
        <w:tblStyle w:val="14"/>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★产品符合 GB 18030-2022《信息技术中文编码字符集》最高实现级别（3级）要求，</w:t>
            </w:r>
            <w:r>
              <w:rPr>
                <w:rStyle w:val="20"/>
                <w:rFonts w:hint="eastAsia" w:ascii="仿宋" w:hAnsi="仿宋" w:eastAsia="仿宋" w:cs="仿宋"/>
                <w:sz w:val="24"/>
                <w:szCs w:val="24"/>
                <w:lang w:val="en-US" w:eastAsia="zh-CN" w:bidi="ar"/>
              </w:rPr>
              <w:t>提供第三方测评机构标准符合性检测报告</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★符合Q/CEPREI-D001-2023《信息技术应用创新Web应用中间件测试规范》，</w:t>
            </w:r>
            <w:r>
              <w:rPr>
                <w:rStyle w:val="20"/>
                <w:rFonts w:hint="eastAsia" w:ascii="仿宋" w:hAnsi="仿宋" w:eastAsia="仿宋" w:cs="仿宋"/>
                <w:sz w:val="24"/>
                <w:szCs w:val="24"/>
                <w:lang w:val="en-US" w:eastAsia="zh-CN" w:bidi="ar"/>
              </w:rPr>
              <w:t>提供第三方测评机构标准符合性检测报告</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支持JDK8、9、11、17、21等版本。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★支持Java EE规范，通过Java EE 7、Java EE 8规范认证，同时兼容低版本规范，</w:t>
            </w:r>
            <w:r>
              <w:rPr>
                <w:rFonts w:hint="eastAsia" w:ascii="仿宋" w:hAnsi="仿宋" w:eastAsia="仿宋" w:cs="仿宋"/>
                <w:b/>
                <w:bCs/>
                <w:i w:val="0"/>
                <w:iCs w:val="0"/>
                <w:color w:val="000000"/>
                <w:kern w:val="0"/>
                <w:sz w:val="24"/>
                <w:szCs w:val="24"/>
                <w:u w:val="none"/>
                <w:lang w:val="en-US" w:eastAsia="zh-CN" w:bidi="ar"/>
              </w:rPr>
              <w:t>分别提供JavaEE7、JavaEE8两个标准规范版本的官方兼容认证证明材料</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★支持Jakarta EE规范，通过Jakarta EE 8、Jakarta EE 9、Jakarta EE 9.1、Jakarta EE 10规范认证，</w:t>
            </w:r>
            <w:r>
              <w:rPr>
                <w:rStyle w:val="20"/>
                <w:rFonts w:hint="eastAsia" w:ascii="仿宋" w:hAnsi="仿宋" w:eastAsia="仿宋" w:cs="仿宋"/>
                <w:sz w:val="24"/>
                <w:szCs w:val="24"/>
                <w:lang w:val="en-US" w:eastAsia="zh-CN" w:bidi="ar"/>
              </w:rPr>
              <w:t>提供官网兼容适配证明截图</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Enterprise Web Services 1.4及以上版本。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Enterprise Beans 3.2及以上版本。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Messaging 2.0及以上版本。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Transactions 1.3 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Servlet 4.0及以上版本。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RESTful Web Services 2.1及以上版本。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XML Web Services 2.0及以上版本。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Server Pages 2.3及以上版本。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支持RMI/IIOP 1及以上版本。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支持JMX 2.0，兼容1.2及以上版本。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Mail 1.6及以上版本。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Security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Connectors 1.7及以上版本。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Authentication  1.1及以上版本，支持Jakarta Authorization 1.5及以上版本。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支持JCE 1.4及以上版本。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支持Java RMI 1及以上版本。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支持SOAP Attachments for Java (SAAJ) 1.3，兼容1.2版本。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Server Faces 2.3及以上版本。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Style w:val="18"/>
                <w:rFonts w:hint="eastAsia" w:ascii="仿宋" w:hAnsi="仿宋" w:eastAsia="仿宋" w:cs="仿宋"/>
                <w:color w:val="auto"/>
                <w:sz w:val="24"/>
                <w:szCs w:val="24"/>
                <w:lang w:bidi="ar"/>
              </w:rPr>
            </w:pPr>
            <w:r>
              <w:rPr>
                <w:rFonts w:hint="eastAsia" w:ascii="仿宋" w:hAnsi="仿宋" w:eastAsia="仿宋" w:cs="仿宋"/>
                <w:i w:val="0"/>
                <w:iCs w:val="0"/>
                <w:color w:val="000000"/>
                <w:kern w:val="0"/>
                <w:sz w:val="24"/>
                <w:szCs w:val="24"/>
                <w:u w:val="none"/>
                <w:lang w:val="en-US" w:eastAsia="zh-CN" w:bidi="ar"/>
              </w:rPr>
              <w:t>支持Jakarta Annotations 1.3及以上版本。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支持Jakarta Batch 1.0及以上版本。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Debugging Support for Other Languages 1.0及以上版本。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Dependency Injection 1.0及以上版本。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Deployment 1.7版本。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Expression Language 3.0及以上版本。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Interceptors 1.2及以上版本。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JSON Binding 1.0及以上版本。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JSON Processing 1.1及以上版本。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Managed Beans 1.0及以上版本。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Management 1.1版本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RESTful Web Services 2.1及以上版本。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95" w:type="dxa"/>
            <w:vAlign w:val="center"/>
          </w:tcPr>
          <w:p>
            <w:pPr>
              <w:keepNext w:val="0"/>
              <w:keepLines w:val="0"/>
              <w:widowControl/>
              <w:suppressLineNumbers w:val="0"/>
              <w:jc w:val="both"/>
              <w:textAlignment w:val="center"/>
              <w:rPr>
                <w:rFonts w:hint="eastAsia" w:ascii="仿宋" w:hAnsi="仿宋" w:eastAsia="仿宋" w:cs="仿宋"/>
                <w:sz w:val="24"/>
                <w:szCs w:val="24"/>
                <w:lang w:bidi="ar"/>
              </w:rPr>
            </w:pPr>
            <w:r>
              <w:rPr>
                <w:rFonts w:hint="eastAsia" w:ascii="仿宋" w:hAnsi="仿宋" w:eastAsia="仿宋" w:cs="仿宋"/>
                <w:i w:val="0"/>
                <w:iCs w:val="0"/>
                <w:color w:val="000000"/>
                <w:kern w:val="0"/>
                <w:sz w:val="24"/>
                <w:szCs w:val="24"/>
                <w:u w:val="none"/>
                <w:lang w:val="en-US" w:eastAsia="zh-CN" w:bidi="ar"/>
              </w:rPr>
              <w:t>支持Jakarta Standard Tag Library 1.2及以上版本。</w:t>
            </w:r>
          </w:p>
        </w:tc>
      </w:tr>
    </w:tbl>
    <w:p>
      <w:pPr>
        <w:numPr>
          <w:ilvl w:val="-1"/>
          <w:numId w:val="0"/>
        </w:numPr>
        <w:ind w:left="0" w:firstLine="0"/>
        <w:rPr>
          <w:rFonts w:hint="default" w:ascii="Arial" w:hAnsi="Arial" w:cs="仿宋"/>
          <w:bCs/>
        </w:rPr>
      </w:pPr>
      <w:bookmarkStart w:id="30" w:name="_Toc4604"/>
      <w:bookmarkStart w:id="31" w:name="_Toc24919"/>
      <w:bookmarkStart w:id="32" w:name="_Toc35246437"/>
      <w:bookmarkStart w:id="33" w:name="_Toc25366"/>
      <w:bookmarkStart w:id="34" w:name="_Toc1133"/>
      <w:bookmarkStart w:id="35" w:name="_Toc5248"/>
      <w:r>
        <w:rPr>
          <w:rFonts w:hint="eastAsia" w:ascii="Arial" w:hAnsi="Arial" w:cs="仿宋"/>
          <w:b/>
          <w:bCs/>
          <w:sz w:val="24"/>
          <w:lang w:val="en-US" w:eastAsia="zh-CN"/>
        </w:rPr>
        <w:t>4.</w:t>
      </w:r>
      <w:r>
        <w:rPr>
          <w:rFonts w:hint="default" w:ascii="Arial" w:hAnsi="Arial" w:eastAsia="仿宋" w:cs="仿宋"/>
          <w:b/>
          <w:bCs/>
          <w:sz w:val="24"/>
          <w:lang w:val="en-US" w:eastAsia="zh-CN"/>
        </w:rPr>
        <w:t>2.2.1.2</w:t>
      </w:r>
      <w:r>
        <w:rPr>
          <w:rFonts w:hint="default" w:ascii="Arial" w:hAnsi="Arial" w:cs="仿宋"/>
          <w:bCs/>
        </w:rPr>
        <w:t>其他协议支持</w:t>
      </w:r>
      <w:bookmarkEnd w:id="30"/>
      <w:bookmarkEnd w:id="31"/>
      <w:bookmarkEnd w:id="32"/>
      <w:bookmarkEnd w:id="33"/>
      <w:bookmarkEnd w:id="34"/>
      <w:bookmarkEnd w:id="35"/>
    </w:p>
    <w:tbl>
      <w:tblPr>
        <w:tblStyle w:val="14"/>
        <w:tblW w:w="9055" w:type="dxa"/>
        <w:jc w:val="center"/>
        <w:tblLayout w:type="autofit"/>
        <w:tblCellMar>
          <w:top w:w="0" w:type="dxa"/>
          <w:left w:w="108" w:type="dxa"/>
          <w:bottom w:w="0" w:type="dxa"/>
          <w:right w:w="108" w:type="dxa"/>
        </w:tblCellMar>
      </w:tblPr>
      <w:tblGrid>
        <w:gridCol w:w="9055"/>
      </w:tblGrid>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支持SSL v3及TLS 1.0、1.1、1.2、1.3。</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支持X.509 v3及以上版本协议。</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支持LDAP v3及以上版本协议。</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支持SNMPv1,  SNMPv2及以上版本协议。</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支持HTTP 1.1及以上版本协议（包括HTTP/2协议）。</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内置对WebSocket标准的支持以提供移动应用的服务支撑。</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内置对HTML5和JSONREST服务的技术实现。</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内置提供WebSocket 模拟器。</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支持Jakarta Contexts and Dependency Injection 2.0及以上版本。</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内置提供JSON Programming API。</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支持以 REST 方式通过 JSON 和 XML 访问企业数据源。</w:t>
            </w:r>
          </w:p>
        </w:tc>
      </w:tr>
      <w:tr>
        <w:tblPrEx>
          <w:tblCellMar>
            <w:top w:w="0" w:type="dxa"/>
            <w:left w:w="108" w:type="dxa"/>
            <w:bottom w:w="0" w:type="dxa"/>
            <w:right w:w="108" w:type="dxa"/>
          </w:tblCellMar>
        </w:tblPrEx>
        <w:trPr>
          <w:trHeight w:val="0" w:hRule="atLeast"/>
          <w:jc w:val="center"/>
        </w:trPr>
        <w:tc>
          <w:tcPr>
            <w:tcW w:w="9055"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18"/>
                <w:szCs w:val="18"/>
              </w:rPr>
            </w:pPr>
            <w:r>
              <w:rPr>
                <w:rFonts w:hint="eastAsia" w:ascii="仿宋" w:hAnsi="仿宋" w:eastAsia="仿宋" w:cs="仿宋"/>
                <w:i w:val="0"/>
                <w:iCs w:val="0"/>
                <w:color w:val="000000"/>
                <w:kern w:val="0"/>
                <w:sz w:val="18"/>
                <w:szCs w:val="18"/>
                <w:u w:val="none"/>
                <w:lang w:val="en-US" w:eastAsia="zh-CN" w:bidi="ar"/>
              </w:rPr>
              <w:t>支持IPv6方式的应用调用，可满足IPv6/IPv4双栈同时访问。</w:t>
            </w:r>
          </w:p>
        </w:tc>
      </w:tr>
    </w:tbl>
    <w:p>
      <w:pPr>
        <w:pStyle w:val="6"/>
        <w:numPr>
          <w:ilvl w:val="-1"/>
          <w:numId w:val="0"/>
        </w:numPr>
        <w:rPr>
          <w:rFonts w:hint="eastAsia" w:ascii="Arial" w:hAnsi="Arial"/>
        </w:rPr>
      </w:pPr>
      <w:bookmarkStart w:id="36" w:name="_Toc25594"/>
      <w:bookmarkStart w:id="37" w:name="_Toc11099"/>
      <w:bookmarkStart w:id="38" w:name="_Toc30205"/>
      <w:bookmarkStart w:id="39" w:name="_Toc35246438"/>
      <w:bookmarkStart w:id="40" w:name="_Toc1174"/>
      <w:bookmarkStart w:id="41" w:name="_Toc7207"/>
      <w:r>
        <w:rPr>
          <w:rFonts w:hint="eastAsia" w:ascii="Arial" w:hAnsi="Arial" w:eastAsia="仿宋" w:cs="仿宋"/>
          <w:b w:val="0"/>
          <w:bCs w:val="0"/>
          <w:sz w:val="24"/>
          <w:lang w:val="en-US" w:eastAsia="zh-CN"/>
        </w:rPr>
        <w:t>4.2.2.2</w:t>
      </w:r>
      <w:r>
        <w:rPr>
          <w:rFonts w:hint="eastAsia" w:ascii="Arial" w:hAnsi="Arial"/>
          <w:lang w:val="en-US"/>
        </w:rPr>
        <w:t>技术</w:t>
      </w:r>
      <w:r>
        <w:rPr>
          <w:rFonts w:hint="eastAsia" w:ascii="Arial" w:hAnsi="Arial"/>
        </w:rPr>
        <w:t>要求</w:t>
      </w:r>
      <w:bookmarkEnd w:id="36"/>
      <w:bookmarkEnd w:id="37"/>
      <w:bookmarkEnd w:id="38"/>
      <w:bookmarkEnd w:id="39"/>
      <w:bookmarkEnd w:id="40"/>
      <w:bookmarkEnd w:id="41"/>
    </w:p>
    <w:tbl>
      <w:tblPr>
        <w:tblStyle w:val="14"/>
        <w:tblW w:w="9000" w:type="dxa"/>
        <w:jc w:val="center"/>
        <w:tblLayout w:type="fixed"/>
        <w:tblCellMar>
          <w:top w:w="0" w:type="dxa"/>
          <w:left w:w="108" w:type="dxa"/>
          <w:bottom w:w="0" w:type="dxa"/>
          <w:right w:w="108" w:type="dxa"/>
        </w:tblCellMar>
      </w:tblPr>
      <w:tblGrid>
        <w:gridCol w:w="9000"/>
      </w:tblGrid>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支持集群部署模式，支持应用系统的横向扩展。</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支持异构系统之间的多机集群实现。</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具备动态集群功能，支持集群部署动态增加服务器，在原业务系统不停机的情况下，扩展系统性能。</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集群情况下支持Session级故障恢复。</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支持集群管理功能，能够通过管理工具增加、删除、修改、配置集群。</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支持B/S模式集群监控能力，通过直观的监控界面实时获得集群各节点的健康状态。</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提供节点管理功能，包含应用服务器本地节点及远程节点的配置及管理。无需登录远程服务器即可管理远程机器上的节点。</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支持多数据源负载功能，通过同一JNDI资源名可关联多个数据库连接池，当某个数据库故障时可切换到正常的数据库。支持轮询、主备等负载模式。</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支持连接请求共享，用户在同一个请求事务中多次进行数据库操作时会获取相同的数据库连接，实现连接的请求级复用。</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支持数据库连接泄露检测功能，通过时间阈值定时检测和请求返回时触发检测两种方式，检测未正常关闭的数据库连接。支持通过命令行等方式对检测出的有泄露风险的连接进行手动回收。</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支持数据库连接泄露自动关闭，当用户业务请求结束时，自动将该请求过程中获取的未关闭的数据库连接关闭，归还到连接池中。</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多机集群提供内存复制(In-Memory Replication)，提供无单点故障的EJB失效恢复功能。</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支持业务的动态加载。在原业务系统不停机的情况下，扩展系统功能，或更新业务。</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支持应用统一部署，可通过管理控制台界面将应用同时部署到多个目标，包括多个集群、多个独立实例等，提升部署效率。</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支持应用部署的增量更新、回收与备份恢复操作，并提供部署模板功能，实现部署参数的标准化与复用。</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支持可配置的类加载策略，通过类加载委托关系反转、应用JAR包加载优先级配置及外部类库配置等策略，解决应用类冲突及共享问题；同时提供类加载白名单与忽略加载机制，实现灵活的运行时隔离。</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提供脚本录制与回放功能，可将通过管理工具或命令行工具执行的用户操作记录为脚本文件，该文件可在其他部署环境中加载并自动回放执行。</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支持OSGi规范，支持OSGi类型应用，保证应用模块灵活启停和剪裁。</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具备管理JDBC连接池功能，针对主流的国产自主可控数据库具有针对性的优化技术，实现更好性能，动态负载感知以及交易感知，提供更高的可靠性。</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内置分布式缓存机制，支持将session信息基于配置写入分布式缓存。</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提供多种数据库隔离级别，提供数据库连接池机制，具备连接配置向导；能够对连接进行健康性检查。</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支持Container-Managed事务提供重试功能。</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支持hazelcast内存数据网格。</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支持Jakarta Concurrency 1.1及以上版本，标准化地为应用提供并发资源。</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支持PaaS层功能要求，对多层的企业应用程序进行优化配置并实现到虚拟环境和云环境中部署与运行支撑。</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支持云化的服务支持，实现动态服务器构建的云化管理。</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支持REST的服务框架。</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支持远程部署，具备将本地应用程序包部署在远程服务器环境的能力，支持ear、war、jar等多种部署文件，支持ear目录部署。</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★支持部署探针机制，可根据应用部署描述符中指定的探针策略，自动识别并加载目标组件；未配置探针时，应用服务器不介入该组件生命周期管理。</w:t>
            </w:r>
            <w:r>
              <w:rPr>
                <w:rFonts w:hint="eastAsia" w:ascii="仿宋" w:hAnsi="仿宋" w:eastAsia="仿宋" w:cs="仿宋"/>
                <w:b/>
                <w:bCs/>
                <w:i w:val="0"/>
                <w:iCs w:val="0"/>
                <w:color w:val="000000"/>
                <w:kern w:val="0"/>
                <w:sz w:val="24"/>
                <w:szCs w:val="24"/>
                <w:u w:val="none"/>
                <w:lang w:val="en-US" w:eastAsia="zh-CN" w:bidi="ar"/>
              </w:rPr>
              <w:t>提供加盖CNAS或CMA公章的第三方测试报告证明</w:t>
            </w:r>
            <w:r>
              <w:rPr>
                <w:rFonts w:hint="eastAsia" w:ascii="仿宋" w:hAnsi="仿宋" w:eastAsia="仿宋" w:cs="仿宋"/>
                <w:i w:val="0"/>
                <w:iCs w:val="0"/>
                <w:color w:val="000000"/>
                <w:kern w:val="0"/>
                <w:sz w:val="24"/>
                <w:szCs w:val="24"/>
                <w:u w:val="none"/>
                <w:lang w:val="en-US" w:eastAsia="zh-CN" w:bidi="ar"/>
              </w:rPr>
              <w:t>。</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★支持指定应用外部类库路径，应用部署时可以配置多个外部类库路径，支持配置jar名称或目录，使得应用部署时可以加载到应用外部的类库。</w:t>
            </w:r>
            <w:r>
              <w:rPr>
                <w:rFonts w:hint="eastAsia" w:ascii="仿宋" w:hAnsi="仿宋" w:eastAsia="仿宋" w:cs="仿宋"/>
                <w:b/>
                <w:bCs/>
                <w:i w:val="0"/>
                <w:iCs w:val="0"/>
                <w:color w:val="000000"/>
                <w:kern w:val="0"/>
                <w:sz w:val="24"/>
                <w:szCs w:val="24"/>
                <w:u w:val="none"/>
                <w:lang w:val="en-US" w:eastAsia="zh-CN" w:bidi="ar"/>
              </w:rPr>
              <w:t>提供加盖CNAS或CMA公章的第三方测试报告证明</w:t>
            </w:r>
            <w:r>
              <w:rPr>
                <w:rFonts w:hint="eastAsia" w:ascii="仿宋" w:hAnsi="仿宋" w:eastAsia="仿宋" w:cs="仿宋"/>
                <w:i w:val="0"/>
                <w:iCs w:val="0"/>
                <w:color w:val="000000"/>
                <w:kern w:val="0"/>
                <w:sz w:val="24"/>
                <w:szCs w:val="24"/>
                <w:u w:val="none"/>
                <w:lang w:val="en-US" w:eastAsia="zh-CN" w:bidi="ar"/>
              </w:rPr>
              <w:t>。</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★支持类加载配置，在应用本身jar包存在冲突时，支持设置优先加载的jar包列表，防止应用类冲突。</w:t>
            </w:r>
            <w:r>
              <w:rPr>
                <w:rFonts w:hint="eastAsia" w:ascii="仿宋" w:hAnsi="仿宋" w:eastAsia="仿宋" w:cs="仿宋"/>
                <w:b/>
                <w:bCs/>
                <w:i w:val="0"/>
                <w:iCs w:val="0"/>
                <w:color w:val="000000"/>
                <w:kern w:val="0"/>
                <w:sz w:val="24"/>
                <w:szCs w:val="24"/>
                <w:u w:val="none"/>
                <w:lang w:val="en-US" w:eastAsia="zh-CN" w:bidi="ar"/>
              </w:rPr>
              <w:t>提供加盖CNAS或CMA公章的第三方测试报告证明</w:t>
            </w:r>
            <w:r>
              <w:rPr>
                <w:rFonts w:hint="eastAsia" w:ascii="仿宋" w:hAnsi="仿宋" w:eastAsia="仿宋" w:cs="仿宋"/>
                <w:i w:val="0"/>
                <w:iCs w:val="0"/>
                <w:color w:val="000000"/>
                <w:kern w:val="0"/>
                <w:sz w:val="24"/>
                <w:szCs w:val="24"/>
                <w:u w:val="none"/>
                <w:lang w:val="en-US" w:eastAsia="zh-CN" w:bidi="ar"/>
              </w:rPr>
              <w:t>。</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支持JTA事务恢复功能，即使在执行事务的过程中出现停电等导致服务器不正常关闭的情况，在服务器重启后，会自动恢复事务的执行，保证业务数据的完整性和一致性。</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支持异步消息I/O，以满足对消息持久的高性能需求。</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u w:val="none"/>
                <w:lang w:val="en-US" w:eastAsia="zh-CN" w:bidi="ar"/>
              </w:rPr>
              <w:t>提供请求跟踪功能及接口，可满足《中国南方电网有限责任公司运行监测规范》，可同总部/各单位现行运行主流监测系统相集成，以便外部监控应用可实时记录的运行情况，便于快速定位应用运行故障或性能问题。</w:t>
            </w:r>
          </w:p>
        </w:tc>
      </w:tr>
      <w:tr>
        <w:tblPrEx>
          <w:tblCellMar>
            <w:top w:w="0" w:type="dxa"/>
            <w:left w:w="108" w:type="dxa"/>
            <w:bottom w:w="0" w:type="dxa"/>
            <w:right w:w="108" w:type="dxa"/>
          </w:tblCellMar>
        </w:tblPrEx>
        <w:trPr>
          <w:trHeight w:val="0" w:hRule="atLeast"/>
          <w:jc w:val="center"/>
        </w:trPr>
        <w:tc>
          <w:tcPr>
            <w:tcW w:w="9000"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支持Jakarta Persistence 2.2及以上版本。</w:t>
            </w:r>
          </w:p>
        </w:tc>
      </w:tr>
    </w:tbl>
    <w:p>
      <w:pPr>
        <w:pStyle w:val="6"/>
        <w:numPr>
          <w:ilvl w:val="-1"/>
          <w:numId w:val="0"/>
        </w:numPr>
        <w:rPr>
          <w:rFonts w:hint="eastAsia" w:ascii="Arial" w:hAnsi="Arial"/>
        </w:rPr>
      </w:pPr>
      <w:r>
        <w:rPr>
          <w:rFonts w:hint="eastAsia" w:ascii="Arial" w:hAnsi="Arial"/>
          <w:lang w:val="en-US" w:eastAsia="zh-CN"/>
        </w:rPr>
        <w:t>4.2.2.3</w:t>
      </w:r>
      <w:r>
        <w:rPr>
          <w:rFonts w:hint="eastAsia" w:ascii="Arial" w:hAnsi="Arial"/>
          <w:lang w:val="en-US"/>
        </w:rPr>
        <w:t>性</w:t>
      </w:r>
      <w:r>
        <w:rPr>
          <w:rFonts w:hint="eastAsia" w:ascii="Arial" w:hAnsi="Arial"/>
        </w:rPr>
        <w:t>能要求</w:t>
      </w:r>
    </w:p>
    <w:tbl>
      <w:tblPr>
        <w:tblStyle w:val="14"/>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0" w:type="dxa"/>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★产品并发性能指标优于或持平同等部署条件下Apache Tomcat 9.0.0或以上版本性能，测试内容包含但不限于静态页面、JSP、Servlet、JDBC场景（其中</w:t>
            </w:r>
            <w:r>
              <w:rPr>
                <w:rFonts w:hint="eastAsia" w:ascii="仿宋" w:hAnsi="仿宋" w:eastAsia="仿宋" w:cs="仿宋"/>
                <w:b/>
                <w:bCs/>
                <w:i w:val="0"/>
                <w:iCs w:val="0"/>
                <w:color w:val="000000"/>
                <w:kern w:val="0"/>
                <w:sz w:val="24"/>
                <w:szCs w:val="24"/>
                <w:u w:val="none"/>
                <w:lang w:val="en-US" w:eastAsia="zh-CN" w:bidi="ar"/>
              </w:rPr>
              <w:t>10000用户并发测试，静态页面、JSP、Servlet、JDBC等核心场景TPS≥150000笔/秒</w:t>
            </w:r>
            <w:r>
              <w:rPr>
                <w:rFonts w:hint="eastAsia" w:ascii="仿宋" w:hAnsi="仿宋" w:eastAsia="仿宋" w:cs="仿宋"/>
                <w:i w:val="0"/>
                <w:iCs w:val="0"/>
                <w:color w:val="000000"/>
                <w:kern w:val="0"/>
                <w:sz w:val="24"/>
                <w:szCs w:val="24"/>
                <w:u w:val="none"/>
                <w:lang w:val="en-US" w:eastAsia="zh-CN" w:bidi="ar"/>
              </w:rPr>
              <w:t>）。</w:t>
            </w:r>
            <w:r>
              <w:rPr>
                <w:rFonts w:hint="eastAsia" w:ascii="仿宋" w:hAnsi="仿宋" w:eastAsia="仿宋" w:cs="仿宋"/>
                <w:b/>
                <w:bCs/>
                <w:i w:val="0"/>
                <w:iCs w:val="0"/>
                <w:color w:val="000000"/>
                <w:kern w:val="0"/>
                <w:sz w:val="24"/>
                <w:szCs w:val="24"/>
                <w:u w:val="none"/>
                <w:lang w:val="en-US" w:eastAsia="zh-CN" w:bidi="ar"/>
              </w:rPr>
              <w:t>提供加盖CMA、CNAS章的第三方机构测试报告</w:t>
            </w:r>
            <w:r>
              <w:rPr>
                <w:rFonts w:hint="eastAsia" w:ascii="仿宋" w:hAnsi="仿宋" w:eastAsia="仿宋" w:cs="仿宋"/>
                <w:i w:val="0"/>
                <w:iCs w:val="0"/>
                <w:color w:val="000000"/>
                <w:kern w:val="0"/>
                <w:sz w:val="24"/>
                <w:szCs w:val="24"/>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0" w:type="dxa"/>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★在</w:t>
            </w:r>
            <w:r>
              <w:rPr>
                <w:rFonts w:hint="eastAsia" w:ascii="仿宋" w:hAnsi="仿宋" w:eastAsia="仿宋" w:cs="仿宋"/>
                <w:b/>
                <w:bCs/>
                <w:i w:val="0"/>
                <w:iCs w:val="0"/>
                <w:color w:val="000000"/>
                <w:kern w:val="0"/>
                <w:sz w:val="24"/>
                <w:szCs w:val="24"/>
                <w:u w:val="none"/>
                <w:lang w:val="en-US" w:eastAsia="zh-CN" w:bidi="ar"/>
              </w:rPr>
              <w:t>国产环境下支持100万用户并发访问，要求事务通过率100%，平均响应时间不超过20毫秒，TPS大于200万</w:t>
            </w:r>
            <w:r>
              <w:rPr>
                <w:rFonts w:hint="eastAsia" w:ascii="仿宋" w:hAnsi="仿宋" w:eastAsia="仿宋" w:cs="仿宋"/>
                <w:i w:val="0"/>
                <w:iCs w:val="0"/>
                <w:color w:val="000000"/>
                <w:kern w:val="0"/>
                <w:sz w:val="24"/>
                <w:szCs w:val="24"/>
                <w:u w:val="none"/>
                <w:lang w:val="en-US" w:eastAsia="zh-CN" w:bidi="ar"/>
              </w:rPr>
              <w:t>。</w:t>
            </w:r>
            <w:r>
              <w:rPr>
                <w:rFonts w:hint="eastAsia" w:ascii="仿宋" w:hAnsi="仿宋" w:eastAsia="仿宋" w:cs="仿宋"/>
                <w:b/>
                <w:bCs/>
                <w:i w:val="0"/>
                <w:iCs w:val="0"/>
                <w:color w:val="000000"/>
                <w:kern w:val="0"/>
                <w:sz w:val="24"/>
                <w:szCs w:val="24"/>
                <w:u w:val="none"/>
                <w:lang w:val="en-US" w:eastAsia="zh-CN" w:bidi="ar"/>
              </w:rPr>
              <w:t>需提供CNAS或CMA授权的第三方机构出具的性能测试报告全文扫描件</w:t>
            </w:r>
            <w:r>
              <w:rPr>
                <w:rFonts w:hint="eastAsia" w:ascii="仿宋" w:hAnsi="仿宋" w:eastAsia="仿宋" w:cs="仿宋"/>
                <w:i w:val="0"/>
                <w:iCs w:val="0"/>
                <w:color w:val="000000"/>
                <w:kern w:val="0"/>
                <w:sz w:val="24"/>
                <w:szCs w:val="24"/>
                <w:u w:val="none"/>
                <w:lang w:val="en-US" w:eastAsia="zh-CN" w:bidi="ar"/>
              </w:rPr>
              <w:t>。</w:t>
            </w:r>
          </w:p>
        </w:tc>
      </w:tr>
    </w:tbl>
    <w:p>
      <w:pPr>
        <w:pStyle w:val="6"/>
        <w:numPr>
          <w:ilvl w:val="-1"/>
          <w:numId w:val="0"/>
        </w:numPr>
        <w:rPr>
          <w:rFonts w:hint="eastAsia" w:ascii="Arial" w:hAnsi="Arial"/>
        </w:rPr>
      </w:pPr>
      <w:bookmarkStart w:id="42" w:name="_Toc10324"/>
      <w:bookmarkStart w:id="43" w:name="_Toc26993"/>
      <w:bookmarkStart w:id="44" w:name="_Toc4579"/>
      <w:bookmarkStart w:id="45" w:name="_Toc19674"/>
      <w:bookmarkStart w:id="46" w:name="_Toc35246439"/>
      <w:bookmarkStart w:id="47" w:name="_Toc9200"/>
      <w:r>
        <w:rPr>
          <w:rFonts w:hint="eastAsia" w:ascii="Arial" w:hAnsi="Arial"/>
          <w:lang w:val="en-US" w:eastAsia="zh-CN"/>
        </w:rPr>
        <w:t>4.2.2.4</w:t>
      </w:r>
      <w:r>
        <w:rPr>
          <w:rFonts w:hint="eastAsia" w:ascii="Arial" w:hAnsi="Arial"/>
        </w:rPr>
        <w:t>管理要求</w:t>
      </w:r>
      <w:bookmarkEnd w:id="42"/>
      <w:bookmarkEnd w:id="43"/>
      <w:bookmarkEnd w:id="44"/>
      <w:bookmarkEnd w:id="45"/>
      <w:bookmarkEnd w:id="46"/>
      <w:bookmarkEnd w:id="47"/>
    </w:p>
    <w:tbl>
      <w:tblPr>
        <w:tblStyle w:val="14"/>
        <w:tblW w:w="8967" w:type="dxa"/>
        <w:jc w:val="center"/>
        <w:tblLayout w:type="fixed"/>
        <w:tblCellMar>
          <w:top w:w="0" w:type="dxa"/>
          <w:left w:w="108" w:type="dxa"/>
          <w:bottom w:w="0" w:type="dxa"/>
          <w:right w:w="108" w:type="dxa"/>
        </w:tblCellMar>
      </w:tblPr>
      <w:tblGrid>
        <w:gridCol w:w="8967"/>
      </w:tblGrid>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具备可视化的中间件管控能力，控制所有域内被管理节点，提供基础的配置管理和日志采集等管控能力。</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自动检测修改有效性，支持应用生产环境下，不间断升级。</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支持在生产环境的Sanity Checking。</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支持共享Package(功能类单独jar包），同一应用的不同模块（Web,ejb)可以共享功能jar包。</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支持同一应用的多版本同时发布和在线使用，新登录用户自动访问新应用，已在线用户访问老应用。</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支持命令行工具来控制远程应用服务器，并支持SSL。</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提供应用服务器中间件进程守护机制，当应用服务器中间件实例进程意外中断时，能自动检测实例状态并及时重启，确保服务的可用性。</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可以按需或自动得到某指标性能的snapshot。</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自动观察和通知功能（支持SNMP、JMS)。</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支持日志、检测、诊断数据自动归档文件系统和数据库，支持自动备份。</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支持离线访问诊断数据。</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支持与南方电网公司信息安全运行监测预警系统等系统进行集成。</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支持线程分组功能，线程按业务规则分组，不同业务采用不同优先级线程池，优先保证核心业务资源供给，并实现业务故障的资源级隔离。</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支持自适应调优线程池，可以根据请求并发量、CPU使用情况等指标，动态调整线程池大小。要求当用户请求并发量降低但仍有一定请求负载的场景下（非空闲状态），可以快速回收线程数量，以及时释放线程资源。</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提供服务器模版定义，从服务器模版生成的实例可以继承所有服务器模版的通用属性。</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管理端口与应用端口分离，管理工具与业务应用使用不同的访问端口，通过应用端口无法管理工具。</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提供快照功能，包括服务器操作系统信息、应用服务器软件运行状态、垃圾回收（GC）日志、业务系统运行状态、业务系统访问日志、业务系统线程使用状态等。</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提供丰富的管理API接口。</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支持在管理控制台页面上配置JVM参数，无需手工修改启动脚本，就可以完成增加和修改启动应用服务器的参数。</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支持虚拟机及容器部署，可搭建多虚拟机或多容器实例的应用集群，支撑业务系统的动态弹性伸缩。</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支持热部署、远程部署等多种部署方式。</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杜绝日志增长导致磁盘空间耗尽，支持按时间滚动日志文件，日志文件支持自动压缩和删除。</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监控能力提升，能够监控CPU、内存、jstack、线程池、数据库连接池等，监控情况进行持久化并通过可视化方式集成到管理控制台，满足可配置的告警方式，支持以短信、邮件、企业办公软件通知等方式进行异常告警通知等。</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具备SQL日志跟踪能力，支持自定义配置 SQL 执行耗时阈值；当 SQL 语句实际执行时长超出预设阈值时，系统自动采集并输出完整请求调用堆栈信息、SQL 语句、执行耗时等关键信息，便于快速定位慢SQL问题。</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运维能力便捷，支持快速搭建大规模集群、启动集群、和应用的灰度升级，帮助用户精准分析系统瓶颈。</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提供有效的故障诊断工具，包括：类冲突检测工具、连接泄露检测工具、系统健康检查工具、慢请求/慢SQL监控工具、粘滞线程监控、SQL的trace跟踪等，帮助定位系统问题。</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支持在管理控制台查询线程堆栈，支持查询最耗CPU的线程并输出线程堆栈详情。</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支持监控回放，可以对历史监控数据进行记录并进行图形化展示。</w:t>
            </w:r>
          </w:p>
        </w:tc>
      </w:tr>
      <w:tr>
        <w:tblPrEx>
          <w:tblCellMar>
            <w:top w:w="0" w:type="dxa"/>
            <w:left w:w="108" w:type="dxa"/>
            <w:bottom w:w="0" w:type="dxa"/>
            <w:right w:w="108" w:type="dxa"/>
          </w:tblCellMar>
        </w:tblPrEx>
        <w:trPr>
          <w:trHeight w:val="0" w:hRule="atLeast"/>
          <w:jc w:val="center"/>
        </w:trPr>
        <w:tc>
          <w:tcPr>
            <w:tcW w:w="8967"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提供JNDI树展示功能，以树形结构展示实例下的JNDI信息。</w:t>
            </w:r>
          </w:p>
        </w:tc>
      </w:tr>
    </w:tbl>
    <w:p>
      <w:pPr>
        <w:pStyle w:val="6"/>
        <w:numPr>
          <w:ilvl w:val="-1"/>
          <w:numId w:val="0"/>
        </w:numPr>
        <w:rPr>
          <w:rFonts w:hint="eastAsia" w:ascii="Arial" w:hAnsi="Arial"/>
        </w:rPr>
      </w:pPr>
      <w:bookmarkStart w:id="48" w:name="_Toc35246440"/>
      <w:bookmarkStart w:id="49" w:name="_Toc5952"/>
      <w:bookmarkStart w:id="50" w:name="_Toc32293"/>
      <w:bookmarkStart w:id="51" w:name="_Toc1894"/>
      <w:bookmarkStart w:id="52" w:name="_Toc15860"/>
      <w:bookmarkStart w:id="53" w:name="_Toc21200"/>
      <w:r>
        <w:rPr>
          <w:rFonts w:hint="eastAsia" w:ascii="Arial" w:hAnsi="Arial"/>
          <w:lang w:val="en-US" w:eastAsia="zh-CN"/>
        </w:rPr>
        <w:t>4.2.2.5</w:t>
      </w:r>
      <w:r>
        <w:rPr>
          <w:rFonts w:hint="eastAsia" w:ascii="Arial" w:hAnsi="Arial"/>
        </w:rPr>
        <w:t>安全要求</w:t>
      </w:r>
      <w:bookmarkEnd w:id="48"/>
      <w:bookmarkEnd w:id="49"/>
      <w:bookmarkEnd w:id="50"/>
      <w:bookmarkEnd w:id="51"/>
      <w:bookmarkEnd w:id="52"/>
      <w:bookmarkEnd w:id="53"/>
    </w:p>
    <w:tbl>
      <w:tblPr>
        <w:tblStyle w:val="14"/>
        <w:tblW w:w="9016" w:type="dxa"/>
        <w:jc w:val="center"/>
        <w:tblLayout w:type="fixed"/>
        <w:tblCellMar>
          <w:top w:w="0" w:type="dxa"/>
          <w:left w:w="108" w:type="dxa"/>
          <w:bottom w:w="0" w:type="dxa"/>
          <w:right w:w="108" w:type="dxa"/>
        </w:tblCellMar>
      </w:tblPr>
      <w:tblGrid>
        <w:gridCol w:w="9016"/>
      </w:tblGrid>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支持JACC(Java Authorization Contract for Containers)。</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支持可插拔安全架构，可集成第三方安全模块。</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支持Servlet authentication filter。</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支持安全策略语言标准 Extensible Access Control Markup Language (XACML) 2.0。</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通过安全服务提供商接口（SSPI）实现安全基础架构并支持对SPNEGO、SAML、Certificate Path安全提供商、RDBMS和Windows NT认证提供商等的支持。</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提供安全审计功能，针对用户权限等的更改自动提供安全审计报告。</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支持多种LDAP服务器。</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基于JAAS架构，实现基于容器的安全策略，提供基于数据库和LDAP认证的Login Module, 支持用户增加Login Module，支持单点登录。</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支持标准的安全协议SSL（Secure Socket Layer）；支持JSSE，提供单向的和双向的SSL配置方式；支持JCE、CSIv2等安全标准。</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提供访问过滤配置功能，能够拒绝某IP或IP段的机器访问Web应用，同时支持白名单或黑名单方式配置，达到防攻击效果。</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提供开放的、可扩展的统一的安全架构，包括认证 、授权、身份识别、角色映射等功能；能够和第三方安全平台，包括RSA、CA、Novell或用户定制平台，进行各种功能的集成。</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可禁止使用弱密码套件。</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全面支持多认证中心、级联证书。</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能够防止SQL注入攻击，能够针对通过构造非法SQL语句进行数据提交的HTTP请求进行验证和过滤。</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具备跨站脚本（XSS）攻击防护能力，能够针对通过构造跨站脚本进行数据提交的HTTP请求进行验证和过滤。</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具备Cookie注入攻击防护能力，针对通过Cookie提交的数据进行验证和过滤，防止对Web应用进行注入攻击。</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具备文件下载防护能力，防止特定类型的文件的下载。</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highlight w:val="none"/>
                <w:lang w:bidi="ar"/>
              </w:rPr>
            </w:pPr>
            <w:r>
              <w:rPr>
                <w:rFonts w:hint="eastAsia" w:ascii="仿宋" w:hAnsi="仿宋" w:eastAsia="仿宋" w:cs="仿宋"/>
                <w:i w:val="0"/>
                <w:iCs w:val="0"/>
                <w:color w:val="000000"/>
                <w:kern w:val="0"/>
                <w:sz w:val="24"/>
                <w:szCs w:val="24"/>
                <w:u w:val="none"/>
                <w:lang w:val="en-US" w:eastAsia="zh-CN" w:bidi="ar"/>
              </w:rPr>
              <w:t>★产品经错误代码分析、Robots及爬虫分析、配置管理测试（包括基础配置管理测试、应用管理界面测试、HTTP方法测试、传输加密测试、应用配置管理测试、过期、备份页面测试等）、认证测试（用户枚举测试、暴力破解测试、密码修改点测试、密码重置点测试、注销登录测试等）、会话管理测试（ Cookie 测试、会变量泄漏测试、 CSRF 测试等）、授权测试（绕过授权模式测试、提权测试、路径遍历测试、业务逻辑测试等）、数据验证测试（跨站脚本测试、SQL注入测试、命令执行测试、代码注入测试、XML注入等）等测试检验，测试完成后不遗留高、中、低风险问题。</w:t>
            </w:r>
            <w:r>
              <w:rPr>
                <w:rFonts w:hint="eastAsia" w:ascii="仿宋" w:hAnsi="仿宋" w:eastAsia="仿宋" w:cs="仿宋"/>
                <w:b/>
                <w:bCs/>
                <w:i w:val="0"/>
                <w:iCs w:val="0"/>
                <w:color w:val="000000"/>
                <w:kern w:val="0"/>
                <w:sz w:val="24"/>
                <w:szCs w:val="24"/>
                <w:u w:val="none"/>
                <w:lang w:val="en-US" w:eastAsia="zh-CN" w:bidi="ar"/>
              </w:rPr>
              <w:t>提供第三方机构出具的测试报告证明，第三方机构需具备CNAS、CMA认证资质</w:t>
            </w:r>
            <w:r>
              <w:rPr>
                <w:rFonts w:hint="eastAsia" w:ascii="仿宋" w:hAnsi="仿宋" w:eastAsia="仿宋" w:cs="仿宋"/>
                <w:i w:val="0"/>
                <w:iCs w:val="0"/>
                <w:color w:val="000000"/>
                <w:kern w:val="0"/>
                <w:sz w:val="24"/>
                <w:szCs w:val="24"/>
                <w:u w:val="none"/>
                <w:lang w:val="en-US" w:eastAsia="zh-CN" w:bidi="ar"/>
              </w:rPr>
              <w:t>。</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支持国产SM2、SM3、SM4算法，可通过管理工具配置密码套件，适配在线方式接入的密码服务。</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★产品符合四级等保要求，支持应用系统四级等保，</w:t>
            </w:r>
            <w:r>
              <w:rPr>
                <w:rFonts w:hint="eastAsia" w:ascii="仿宋" w:hAnsi="仿宋" w:eastAsia="仿宋" w:cs="仿宋"/>
                <w:b/>
                <w:bCs/>
                <w:i w:val="0"/>
                <w:iCs w:val="0"/>
                <w:color w:val="000000"/>
                <w:kern w:val="0"/>
                <w:sz w:val="24"/>
                <w:szCs w:val="24"/>
                <w:u w:val="none"/>
                <w:lang w:val="en-US" w:eastAsia="zh-CN" w:bidi="ar"/>
              </w:rPr>
              <w:t>可提供案例证明材料或者测试报告</w:t>
            </w:r>
            <w:r>
              <w:rPr>
                <w:rFonts w:hint="eastAsia" w:ascii="仿宋" w:hAnsi="仿宋" w:eastAsia="仿宋" w:cs="仿宋"/>
                <w:i w:val="0"/>
                <w:iCs w:val="0"/>
                <w:color w:val="000000"/>
                <w:kern w:val="0"/>
                <w:sz w:val="24"/>
                <w:szCs w:val="24"/>
                <w:u w:val="none"/>
                <w:lang w:val="en-US" w:eastAsia="zh-CN" w:bidi="ar"/>
              </w:rPr>
              <w:t>。</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具备缓冲区写入检测和内存溢出规避机制。</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针对产品构成的组件、插件所有已知漏洞完成修复和限制，不存在已知的可利用安全漏洞，通过第三方安全检测。</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产品管理控制台支持双因子登录(至少支持密码、ukey、短信验证码三种类型）验证。</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产品管理控制台登录支持手机令牌动态密码方式，保证服务器在不联网情况下对用户身份进行鉴别，保障控制台使用安全。</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产品需提供审计日志功能，并确保审计日志具备防篡改机制与加密存储能力，以满足安全审计对完整性及机密性的要求。</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★产品通过第三方测试机构的渗透测试，满足信息技术安全性评估准则要求，</w:t>
            </w:r>
            <w:r>
              <w:rPr>
                <w:rFonts w:hint="eastAsia" w:ascii="仿宋" w:hAnsi="仿宋" w:eastAsia="仿宋" w:cs="仿宋"/>
                <w:b/>
                <w:bCs/>
                <w:i w:val="0"/>
                <w:iCs w:val="0"/>
                <w:color w:val="000000"/>
                <w:kern w:val="0"/>
                <w:sz w:val="24"/>
                <w:szCs w:val="24"/>
                <w:u w:val="none"/>
                <w:lang w:val="en-US" w:eastAsia="zh-CN" w:bidi="ar"/>
              </w:rPr>
              <w:t>提供第三方机构出具的测试报告证明，第三方机构需要具备CNAS、CMA认证资质</w:t>
            </w:r>
            <w:r>
              <w:rPr>
                <w:rFonts w:hint="eastAsia" w:ascii="仿宋" w:hAnsi="仿宋" w:eastAsia="仿宋" w:cs="仿宋"/>
                <w:i w:val="0"/>
                <w:iCs w:val="0"/>
                <w:color w:val="000000"/>
                <w:kern w:val="0"/>
                <w:sz w:val="24"/>
                <w:szCs w:val="24"/>
                <w:u w:val="none"/>
                <w:lang w:val="en-US" w:eastAsia="zh-CN" w:bidi="ar"/>
              </w:rPr>
              <w:t>。</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★产品具备可信防护机制，通过主动免疫方式，有效解决安全问题，加固上层应用安全和安全审计能力，抵挡绕过边界防护到达服务器的病毒木马、监听程序等各种攻击，</w:t>
            </w:r>
            <w:r>
              <w:rPr>
                <w:rFonts w:hint="eastAsia" w:ascii="仿宋" w:hAnsi="仿宋" w:eastAsia="仿宋" w:cs="仿宋"/>
                <w:b/>
                <w:bCs/>
                <w:i w:val="0"/>
                <w:iCs w:val="0"/>
                <w:color w:val="000000"/>
                <w:kern w:val="0"/>
                <w:sz w:val="24"/>
                <w:szCs w:val="24"/>
                <w:u w:val="none"/>
                <w:lang w:val="en-US" w:eastAsia="zh-CN" w:bidi="ar"/>
              </w:rPr>
              <w:t>提供可信版本软著证明</w:t>
            </w:r>
            <w:r>
              <w:rPr>
                <w:rFonts w:hint="eastAsia" w:ascii="仿宋" w:hAnsi="仿宋" w:eastAsia="仿宋" w:cs="仿宋"/>
                <w:i w:val="0"/>
                <w:iCs w:val="0"/>
                <w:color w:val="000000"/>
                <w:kern w:val="0"/>
                <w:sz w:val="24"/>
                <w:szCs w:val="24"/>
                <w:u w:val="none"/>
                <w:lang w:val="en-US" w:eastAsia="zh-CN" w:bidi="ar"/>
              </w:rPr>
              <w:t>。</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both"/>
              <w:textAlignment w:val="center"/>
              <w:rPr>
                <w:rFonts w:hint="eastAsia" w:ascii="仿宋" w:hAnsi="仿宋" w:eastAsia="仿宋" w:cs="仿宋"/>
                <w:kern w:val="0"/>
                <w:sz w:val="24"/>
                <w:szCs w:val="24"/>
                <w:lang w:bidi="ar"/>
              </w:rPr>
            </w:pPr>
            <w:r>
              <w:rPr>
                <w:rFonts w:hint="eastAsia" w:ascii="仿宋" w:hAnsi="仿宋" w:eastAsia="仿宋" w:cs="仿宋"/>
                <w:i w:val="0"/>
                <w:iCs w:val="0"/>
                <w:color w:val="000000"/>
                <w:kern w:val="0"/>
                <w:sz w:val="24"/>
                <w:szCs w:val="24"/>
                <w:u w:val="none"/>
                <w:lang w:val="en-US" w:eastAsia="zh-CN" w:bidi="ar"/>
              </w:rPr>
              <w:t>★产品具备完备的安全检测机制，定期进行第三方安全软件扫描，</w:t>
            </w:r>
            <w:r>
              <w:rPr>
                <w:rFonts w:hint="eastAsia" w:ascii="仿宋" w:hAnsi="仿宋" w:eastAsia="仿宋" w:cs="仿宋"/>
                <w:b/>
                <w:bCs/>
                <w:i w:val="0"/>
                <w:iCs w:val="0"/>
                <w:color w:val="000000"/>
                <w:kern w:val="0"/>
                <w:sz w:val="24"/>
                <w:szCs w:val="24"/>
                <w:u w:val="none"/>
                <w:lang w:val="en-US" w:eastAsia="zh-CN" w:bidi="ar"/>
              </w:rPr>
              <w:t>提供扫描报告</w:t>
            </w:r>
            <w:r>
              <w:rPr>
                <w:rFonts w:hint="eastAsia" w:ascii="仿宋" w:hAnsi="仿宋" w:eastAsia="仿宋" w:cs="仿宋"/>
                <w:i w:val="0"/>
                <w:iCs w:val="0"/>
                <w:color w:val="000000"/>
                <w:kern w:val="0"/>
                <w:sz w:val="24"/>
                <w:szCs w:val="24"/>
                <w:u w:val="none"/>
                <w:lang w:val="en-US" w:eastAsia="zh-CN" w:bidi="ar"/>
              </w:rPr>
              <w:t>；参加权威网络安全机构组织的安全攻防测试，</w:t>
            </w:r>
            <w:r>
              <w:rPr>
                <w:rFonts w:hint="eastAsia" w:ascii="仿宋" w:hAnsi="仿宋" w:eastAsia="仿宋" w:cs="仿宋"/>
                <w:b/>
                <w:bCs/>
                <w:i w:val="0"/>
                <w:iCs w:val="0"/>
                <w:color w:val="000000"/>
                <w:kern w:val="0"/>
                <w:sz w:val="24"/>
                <w:szCs w:val="24"/>
                <w:u w:val="none"/>
                <w:lang w:val="en-US" w:eastAsia="zh-CN" w:bidi="ar"/>
              </w:rPr>
              <w:t>提供委托攻防合同</w:t>
            </w:r>
            <w:r>
              <w:rPr>
                <w:rFonts w:hint="eastAsia" w:ascii="仿宋" w:hAnsi="仿宋" w:eastAsia="仿宋" w:cs="仿宋"/>
                <w:i w:val="0"/>
                <w:iCs w:val="0"/>
                <w:color w:val="000000"/>
                <w:kern w:val="0"/>
                <w:sz w:val="24"/>
                <w:szCs w:val="24"/>
                <w:u w:val="none"/>
                <w:lang w:val="en-US" w:eastAsia="zh-CN" w:bidi="ar"/>
              </w:rPr>
              <w:t>。</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left"/>
              <w:textAlignment w:val="center"/>
              <w:rPr>
                <w:rFonts w:hint="eastAsia" w:ascii="仿宋" w:hAnsi="仿宋" w:eastAsia="仿宋" w:cs="仿宋"/>
                <w:kern w:val="0"/>
                <w:sz w:val="24"/>
                <w:szCs w:val="24"/>
                <w:lang w:eastAsia="zh-CN" w:bidi="ar"/>
              </w:rPr>
            </w:pPr>
            <w:r>
              <w:rPr>
                <w:rFonts w:hint="eastAsia" w:ascii="仿宋" w:hAnsi="仿宋" w:eastAsia="仿宋" w:cs="仿宋"/>
                <w:b/>
                <w:bCs/>
                <w:i w:val="0"/>
                <w:iCs w:val="0"/>
                <w:color w:val="000000"/>
                <w:kern w:val="0"/>
                <w:sz w:val="24"/>
                <w:szCs w:val="24"/>
                <w:u w:val="none"/>
                <w:lang w:val="en-US" w:eastAsia="zh-CN" w:bidi="ar"/>
              </w:rPr>
              <w:t>★产品安全可信，通过T/ISC 0089-2025《安全可信中间件能力要求 第4部分 应用服务器中间件》标准的检验，提供中国信息通信研究院颁发的安全可信中间件检验证书。</w:t>
            </w:r>
          </w:p>
        </w:tc>
      </w:tr>
      <w:tr>
        <w:tblPrEx>
          <w:tblCellMar>
            <w:top w:w="0" w:type="dxa"/>
            <w:left w:w="108" w:type="dxa"/>
            <w:bottom w:w="0" w:type="dxa"/>
            <w:right w:w="108" w:type="dxa"/>
          </w:tblCellMar>
        </w:tblPrEx>
        <w:trPr>
          <w:trHeight w:val="0" w:hRule="atLeast"/>
          <w:jc w:val="center"/>
        </w:trPr>
        <w:tc>
          <w:tcPr>
            <w:tcW w:w="9016" w:type="dxa"/>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jc w:val="left"/>
              <w:textAlignment w:val="center"/>
              <w:rPr>
                <w:rFonts w:hint="eastAsia" w:ascii="仿宋" w:hAnsi="仿宋" w:eastAsia="仿宋" w:cs="仿宋"/>
                <w:kern w:val="0"/>
                <w:sz w:val="24"/>
                <w:szCs w:val="24"/>
                <w:lang w:eastAsia="zh-CN" w:bidi="ar"/>
              </w:rPr>
            </w:pPr>
            <w:r>
              <w:rPr>
                <w:rFonts w:hint="eastAsia" w:ascii="仿宋" w:hAnsi="仿宋" w:eastAsia="仿宋" w:cs="仿宋"/>
                <w:b/>
                <w:bCs/>
                <w:i w:val="0"/>
                <w:iCs w:val="0"/>
                <w:color w:val="000000"/>
                <w:kern w:val="0"/>
                <w:sz w:val="24"/>
                <w:szCs w:val="24"/>
                <w:u w:val="none"/>
                <w:lang w:val="en-US" w:eastAsia="zh-CN" w:bidi="ar"/>
              </w:rPr>
              <w:t>★产品满足《电力监控系统安全防护规定》相关要求，应实现自身的安全，应安全、可控、可靠，提供第三方机构检测报告。</w:t>
            </w:r>
          </w:p>
        </w:tc>
      </w:tr>
    </w:tbl>
    <w:p>
      <w:pPr>
        <w:rPr>
          <w:rFonts w:hint="eastAsia"/>
          <w:lang w:eastAsia="zh-CN"/>
        </w:rPr>
      </w:pP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13"/>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13"/>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13"/>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1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005"/>
        <w:gridCol w:w="1439"/>
        <w:gridCol w:w="1046"/>
        <w:gridCol w:w="580"/>
        <w:gridCol w:w="1424"/>
        <w:gridCol w:w="1366"/>
        <w:gridCol w:w="166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0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43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04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142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0" w:type="auto"/>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0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tabs>
                <w:tab w:val="left" w:pos="5880"/>
              </w:tabs>
              <w:kinsoku/>
              <w:wordWrap/>
              <w:overflowPunct/>
              <w:topLinePunct w:val="0"/>
              <w:autoSpaceDE/>
              <w:autoSpaceDN/>
              <w:bidi w:val="0"/>
              <w:adjustRightInd/>
              <w:snapToGrid w:val="0"/>
              <w:spacing w:line="240" w:lineRule="auto"/>
              <w:jc w:val="center"/>
              <w:textAlignment w:val="auto"/>
              <w:outlineLvl w:val="0"/>
              <w:rPr>
                <w:rFonts w:hint="default" w:ascii="仿宋" w:hAnsi="仿宋" w:eastAsia="仿宋" w:cs="仿宋"/>
                <w:bCs/>
                <w:sz w:val="24"/>
                <w:szCs w:val="24"/>
                <w:highlight w:val="none"/>
                <w:lang w:val="en-US" w:eastAsia="zh-CN"/>
              </w:rPr>
            </w:pPr>
            <w:r>
              <w:rPr>
                <w:rFonts w:hint="eastAsia" w:ascii="仿宋" w:hAnsi="仿宋" w:eastAsia="仿宋" w:cs="仿宋"/>
                <w:iCs/>
                <w:color w:val="auto"/>
                <w:sz w:val="24"/>
                <w:szCs w:val="24"/>
                <w:highlight w:val="none"/>
                <w:vertAlign w:val="baseline"/>
                <w:lang w:val="en-US" w:eastAsia="zh-CN" w:bidi="ar"/>
              </w:rPr>
              <w:t>标包1-1</w:t>
            </w:r>
          </w:p>
        </w:tc>
        <w:tc>
          <w:tcPr>
            <w:tcW w:w="143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highlight w:val="none"/>
                <w:lang w:val="en-US" w:eastAsia="zh-CN"/>
              </w:rPr>
              <w:t>应用服务器中间件</w:t>
            </w:r>
          </w:p>
        </w:tc>
        <w:tc>
          <w:tcPr>
            <w:tcW w:w="1046" w:type="dxa"/>
            <w:vMerge w:val="restar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hint="eastAsia" w:ascii="仿宋" w:hAnsi="仿宋" w:eastAsia="仿宋" w:cs="仿宋"/>
                <w:bCs/>
                <w:color w:val="auto"/>
                <w:sz w:val="24"/>
                <w:szCs w:val="24"/>
                <w:highlight w:val="none"/>
                <w:lang w:val="en-US" w:eastAsia="zh-CN"/>
              </w:rPr>
            </w:pPr>
          </w:p>
        </w:tc>
        <w:tc>
          <w:tcPr>
            <w:tcW w:w="5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right="0"/>
              <w:jc w:val="center"/>
              <w:rPr>
                <w:rFonts w:hint="default" w:ascii="仿宋" w:hAnsi="仿宋" w:eastAsia="仿宋" w:cs="仿宋"/>
                <w:b w:val="0"/>
                <w:bCs w:val="0"/>
                <w:i w:val="0"/>
                <w:iCs w:val="0"/>
                <w:color w:val="000000"/>
                <w:spacing w:val="0"/>
                <w:w w:val="100"/>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套</w:t>
            </w:r>
          </w:p>
        </w:tc>
        <w:tc>
          <w:tcPr>
            <w:tcW w:w="1424" w:type="dxa"/>
            <w:vMerge w:val="restart"/>
            <w:tcBorders>
              <w:top w:val="single" w:color="auto" w:sz="4" w:space="0"/>
              <w:left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right="0"/>
              <w:jc w:val="center"/>
              <w:rPr>
                <w:rFonts w:hint="eastAsia" w:ascii="仿宋" w:hAnsi="仿宋" w:eastAsia="仿宋" w:cs="仿宋"/>
                <w:b w:val="0"/>
                <w:bCs w:val="0"/>
                <w:i w:val="0"/>
                <w:iCs w:val="0"/>
                <w:color w:val="000000"/>
                <w:spacing w:val="0"/>
                <w:w w:val="100"/>
                <w:sz w:val="24"/>
                <w:szCs w:val="24"/>
                <w:highlight w:val="none"/>
                <w:vertAlign w:val="baseline"/>
                <w:lang w:val="en-US" w:eastAsia="zh-CN"/>
              </w:rPr>
            </w:pPr>
          </w:p>
        </w:tc>
        <w:tc>
          <w:tcPr>
            <w:tcW w:w="13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right="0"/>
              <w:jc w:val="center"/>
              <w:rPr>
                <w:rFonts w:hint="default" w:ascii="仿宋" w:hAnsi="仿宋" w:eastAsia="仿宋" w:cs="仿宋"/>
                <w:b w:val="0"/>
                <w:bCs w:val="0"/>
                <w:i w:val="0"/>
                <w:iCs w:val="0"/>
                <w:color w:val="000000"/>
                <w:spacing w:val="0"/>
                <w:w w:val="100"/>
                <w:sz w:val="24"/>
                <w:szCs w:val="24"/>
                <w:highlight w:val="none"/>
                <w:vertAlign w:val="baseline"/>
                <w:lang w:val="en-US" w:eastAsia="zh-CN"/>
              </w:rPr>
            </w:pPr>
            <w:bookmarkStart w:id="54" w:name="_GoBack"/>
            <w:bookmarkEnd w:id="54"/>
          </w:p>
        </w:tc>
        <w:tc>
          <w:tcPr>
            <w:tcW w:w="1662" w:type="dxa"/>
            <w:vMerge w:val="restart"/>
            <w:tcBorders>
              <w:top w:val="single" w:color="auto" w:sz="4" w:space="0"/>
              <w:left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0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tabs>
                <w:tab w:val="left" w:pos="5880"/>
              </w:tabs>
              <w:kinsoku/>
              <w:wordWrap/>
              <w:overflowPunct/>
              <w:topLinePunct w:val="0"/>
              <w:autoSpaceDE/>
              <w:autoSpaceDN/>
              <w:bidi w:val="0"/>
              <w:adjustRightInd/>
              <w:snapToGrid w:val="0"/>
              <w:spacing w:line="240" w:lineRule="auto"/>
              <w:jc w:val="center"/>
              <w:textAlignment w:val="auto"/>
              <w:outlineLvl w:val="0"/>
              <w:rPr>
                <w:rFonts w:hint="eastAsia" w:ascii="仿宋" w:hAnsi="仿宋" w:eastAsia="仿宋" w:cs="仿宋"/>
                <w:bCs/>
                <w:sz w:val="24"/>
                <w:szCs w:val="24"/>
                <w:highlight w:val="none"/>
                <w:lang w:val="en-US" w:eastAsia="zh-CN"/>
              </w:rPr>
            </w:pPr>
            <w:r>
              <w:rPr>
                <w:rFonts w:hint="eastAsia" w:ascii="仿宋" w:hAnsi="仿宋" w:eastAsia="仿宋" w:cs="仿宋"/>
                <w:iCs/>
                <w:color w:val="auto"/>
                <w:sz w:val="24"/>
                <w:szCs w:val="24"/>
                <w:highlight w:val="none"/>
                <w:vertAlign w:val="baseline"/>
                <w:lang w:val="en-US" w:eastAsia="zh-CN" w:bidi="ar"/>
              </w:rPr>
              <w:t>标包1-2</w:t>
            </w:r>
          </w:p>
        </w:tc>
        <w:tc>
          <w:tcPr>
            <w:tcW w:w="143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ascii="仿宋" w:hAnsi="仿宋" w:eastAsia="仿宋" w:cs="仿宋"/>
                <w:b w:val="0"/>
                <w:bCs w:val="0"/>
                <w:i w:val="0"/>
                <w:iCs w:val="0"/>
                <w:color w:val="000000"/>
                <w:spacing w:val="0"/>
                <w:w w:val="100"/>
                <w:sz w:val="24"/>
                <w:szCs w:val="24"/>
                <w:highlight w:val="none"/>
                <w:vertAlign w:val="baseline"/>
              </w:rPr>
            </w:pPr>
            <w:r>
              <w:rPr>
                <w:rFonts w:hint="eastAsia" w:ascii="仿宋" w:hAnsi="仿宋" w:eastAsia="仿宋" w:cs="仿宋"/>
                <w:color w:val="auto"/>
                <w:sz w:val="24"/>
                <w:highlight w:val="none"/>
                <w:lang w:val="en-US" w:eastAsia="zh-CN"/>
              </w:rPr>
              <w:t>应用服务器中间件</w:t>
            </w:r>
          </w:p>
        </w:tc>
        <w:tc>
          <w:tcPr>
            <w:tcW w:w="1046"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ascii="仿宋" w:hAnsi="仿宋" w:eastAsia="仿宋" w:cs="仿宋"/>
                <w:b w:val="0"/>
                <w:bCs w:val="0"/>
                <w:i w:val="0"/>
                <w:iCs w:val="0"/>
                <w:color w:val="000000"/>
                <w:spacing w:val="0"/>
                <w:w w:val="100"/>
                <w:sz w:val="24"/>
                <w:szCs w:val="24"/>
                <w:highlight w:val="none"/>
                <w:vertAlign w:val="baseline"/>
              </w:rPr>
            </w:pPr>
          </w:p>
        </w:tc>
        <w:tc>
          <w:tcPr>
            <w:tcW w:w="5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spacing w:val="0"/>
                <w:w w:val="100"/>
                <w:kern w:val="0"/>
                <w:sz w:val="24"/>
                <w:szCs w:val="24"/>
                <w:highlight w:val="none"/>
                <w:vertAlign w:val="baseline"/>
                <w:lang w:val="en-US" w:eastAsia="zh-CN" w:bidi="ar-SA"/>
              </w:rPr>
            </w:pPr>
            <w:r>
              <w:rPr>
                <w:rFonts w:hint="eastAsia" w:ascii="仿宋" w:hAnsi="仿宋" w:eastAsia="仿宋" w:cs="仿宋"/>
                <w:color w:val="auto"/>
                <w:sz w:val="24"/>
                <w:szCs w:val="24"/>
                <w:highlight w:val="none"/>
                <w:lang w:val="en-US" w:eastAsia="zh-CN"/>
              </w:rPr>
              <w:t>套</w:t>
            </w:r>
          </w:p>
        </w:tc>
        <w:tc>
          <w:tcPr>
            <w:tcW w:w="1424" w:type="dxa"/>
            <w:vMerge w:val="continue"/>
            <w:tcBorders>
              <w:left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spacing w:val="0"/>
                <w:w w:val="100"/>
                <w:kern w:val="0"/>
                <w:sz w:val="24"/>
                <w:szCs w:val="24"/>
                <w:highlight w:val="none"/>
                <w:vertAlign w:val="baseline"/>
                <w:lang w:val="en-US" w:eastAsia="zh-CN" w:bidi="ar-SA"/>
              </w:rPr>
            </w:pPr>
          </w:p>
        </w:tc>
        <w:tc>
          <w:tcPr>
            <w:tcW w:w="13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spacing w:val="0"/>
                <w:w w:val="100"/>
                <w:kern w:val="0"/>
                <w:sz w:val="24"/>
                <w:szCs w:val="24"/>
                <w:highlight w:val="none"/>
                <w:vertAlign w:val="baseline"/>
                <w:lang w:val="en-US" w:eastAsia="zh-CN" w:bidi="ar-SA"/>
              </w:rPr>
            </w:pPr>
          </w:p>
        </w:tc>
        <w:tc>
          <w:tcPr>
            <w:tcW w:w="1662" w:type="dxa"/>
            <w:vMerge w:val="continue"/>
            <w:tcBorders>
              <w:left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0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tabs>
                <w:tab w:val="left" w:pos="5880"/>
              </w:tabs>
              <w:kinsoku/>
              <w:wordWrap/>
              <w:overflowPunct/>
              <w:topLinePunct w:val="0"/>
              <w:autoSpaceDE/>
              <w:autoSpaceDN/>
              <w:bidi w:val="0"/>
              <w:adjustRightInd/>
              <w:snapToGrid w:val="0"/>
              <w:spacing w:line="240" w:lineRule="auto"/>
              <w:jc w:val="center"/>
              <w:textAlignment w:val="auto"/>
              <w:outlineLvl w:val="0"/>
              <w:rPr>
                <w:rFonts w:hint="eastAsia" w:ascii="仿宋" w:hAnsi="仿宋" w:eastAsia="仿宋" w:cs="仿宋"/>
                <w:bCs/>
                <w:sz w:val="24"/>
                <w:szCs w:val="24"/>
                <w:highlight w:val="none"/>
                <w:lang w:val="en-US" w:eastAsia="zh-CN"/>
              </w:rPr>
            </w:pPr>
            <w:r>
              <w:rPr>
                <w:rFonts w:hint="eastAsia" w:ascii="仿宋" w:hAnsi="仿宋" w:eastAsia="仿宋" w:cs="仿宋"/>
                <w:iCs/>
                <w:color w:val="auto"/>
                <w:sz w:val="24"/>
                <w:szCs w:val="24"/>
                <w:highlight w:val="none"/>
                <w:vertAlign w:val="baseline"/>
                <w:lang w:val="en-US" w:eastAsia="zh-CN" w:bidi="ar"/>
              </w:rPr>
              <w:t>特殊包</w:t>
            </w:r>
          </w:p>
        </w:tc>
        <w:tc>
          <w:tcPr>
            <w:tcW w:w="143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ascii="仿宋" w:hAnsi="仿宋" w:eastAsia="仿宋" w:cs="仿宋"/>
                <w:b w:val="0"/>
                <w:bCs w:val="0"/>
                <w:i w:val="0"/>
                <w:iCs w:val="0"/>
                <w:color w:val="000000"/>
                <w:spacing w:val="0"/>
                <w:w w:val="100"/>
                <w:sz w:val="24"/>
                <w:szCs w:val="24"/>
                <w:highlight w:val="none"/>
                <w:vertAlign w:val="baseline"/>
              </w:rPr>
            </w:pPr>
            <w:r>
              <w:rPr>
                <w:rFonts w:hint="eastAsia" w:ascii="仿宋" w:hAnsi="仿宋" w:eastAsia="仿宋" w:cs="仿宋"/>
                <w:color w:val="auto"/>
                <w:sz w:val="24"/>
                <w:highlight w:val="none"/>
                <w:lang w:val="en-US" w:eastAsia="zh-CN"/>
              </w:rPr>
              <w:t>应用服务器中间件</w:t>
            </w:r>
          </w:p>
        </w:tc>
        <w:tc>
          <w:tcPr>
            <w:tcW w:w="1046" w:type="dxa"/>
            <w:vMerge w:val="continue"/>
            <w:tcBorders>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ascii="仿宋" w:hAnsi="仿宋" w:eastAsia="仿宋" w:cs="仿宋"/>
                <w:b w:val="0"/>
                <w:bCs w:val="0"/>
                <w:i w:val="0"/>
                <w:iCs w:val="0"/>
                <w:color w:val="000000"/>
                <w:spacing w:val="0"/>
                <w:w w:val="100"/>
                <w:sz w:val="24"/>
                <w:szCs w:val="24"/>
                <w:highlight w:val="none"/>
                <w:vertAlign w:val="baseline"/>
              </w:rPr>
            </w:pPr>
          </w:p>
        </w:tc>
        <w:tc>
          <w:tcPr>
            <w:tcW w:w="5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spacing w:val="0"/>
                <w:w w:val="100"/>
                <w:kern w:val="0"/>
                <w:sz w:val="24"/>
                <w:szCs w:val="24"/>
                <w:highlight w:val="none"/>
                <w:vertAlign w:val="baseline"/>
                <w:lang w:val="en-US" w:eastAsia="zh-CN" w:bidi="ar-SA"/>
              </w:rPr>
            </w:pPr>
            <w:r>
              <w:rPr>
                <w:rFonts w:hint="eastAsia" w:ascii="仿宋" w:hAnsi="仿宋" w:eastAsia="仿宋" w:cs="仿宋"/>
                <w:color w:val="auto"/>
                <w:sz w:val="24"/>
                <w:szCs w:val="24"/>
                <w:highlight w:val="none"/>
                <w:lang w:val="en-US" w:eastAsia="zh-CN"/>
              </w:rPr>
              <w:t>套</w:t>
            </w:r>
          </w:p>
        </w:tc>
        <w:tc>
          <w:tcPr>
            <w:tcW w:w="1424" w:type="dxa"/>
            <w:vMerge w:val="continue"/>
            <w:tcBorders>
              <w:left w:val="single" w:color="auto" w:sz="4" w:space="0"/>
              <w:bottom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spacing w:val="0"/>
                <w:w w:val="100"/>
                <w:kern w:val="0"/>
                <w:sz w:val="24"/>
                <w:szCs w:val="24"/>
                <w:highlight w:val="none"/>
                <w:vertAlign w:val="baseline"/>
                <w:lang w:val="en-US" w:eastAsia="zh-CN" w:bidi="ar-SA"/>
              </w:rPr>
            </w:pPr>
          </w:p>
        </w:tc>
        <w:tc>
          <w:tcPr>
            <w:tcW w:w="13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2"/>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spacing w:val="0"/>
                <w:w w:val="100"/>
                <w:kern w:val="0"/>
                <w:sz w:val="24"/>
                <w:szCs w:val="24"/>
                <w:highlight w:val="none"/>
                <w:vertAlign w:val="baseline"/>
                <w:lang w:val="en-US" w:eastAsia="zh-CN" w:bidi="ar-SA"/>
              </w:rPr>
            </w:pPr>
          </w:p>
        </w:tc>
        <w:tc>
          <w:tcPr>
            <w:tcW w:w="1662" w:type="dxa"/>
            <w:vMerge w:val="continue"/>
            <w:tcBorders>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44"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078"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bl>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标包1-1预估寻源金额：</w:t>
      </w:r>
      <w:r>
        <w:rPr>
          <w:rFonts w:hint="eastAsia" w:ascii="仿宋" w:hAnsi="仿宋" w:eastAsia="仿宋" w:cs="仿宋"/>
          <w:b w:val="0"/>
          <w:bCs w:val="0"/>
          <w:color w:val="auto"/>
          <w:sz w:val="24"/>
          <w:szCs w:val="24"/>
          <w:highlight w:val="none"/>
          <w:lang w:val="en-US" w:eastAsia="zh-CN"/>
        </w:rPr>
        <w:t>5658.951018</w:t>
      </w:r>
      <w:r>
        <w:rPr>
          <w:rFonts w:hint="eastAsia" w:ascii="仿宋_GB2312" w:hAnsi="仿宋_GB2312" w:eastAsia="仿宋_GB2312" w:cs="仿宋_GB2312"/>
          <w:b w:val="0"/>
          <w:bCs w:val="0"/>
          <w:color w:val="auto"/>
          <w:sz w:val="24"/>
          <w:szCs w:val="24"/>
          <w:highlight w:val="none"/>
          <w:lang w:val="en-US" w:eastAsia="zh-CN"/>
        </w:rPr>
        <w:t>万元，标包1-2预估寻源金额：</w:t>
      </w:r>
      <w:r>
        <w:rPr>
          <w:rFonts w:hint="eastAsia" w:ascii="仿宋" w:hAnsi="仿宋" w:eastAsia="仿宋" w:cs="仿宋"/>
          <w:b w:val="0"/>
          <w:bCs w:val="0"/>
          <w:color w:val="auto"/>
          <w:sz w:val="24"/>
          <w:szCs w:val="24"/>
          <w:highlight w:val="none"/>
          <w:lang w:val="en-US" w:eastAsia="zh-CN"/>
        </w:rPr>
        <w:t>627.699345</w:t>
      </w:r>
      <w:r>
        <w:rPr>
          <w:rFonts w:hint="eastAsia" w:ascii="仿宋_GB2312" w:hAnsi="仿宋_GB2312" w:eastAsia="仿宋_GB2312" w:cs="仿宋_GB2312"/>
          <w:b w:val="0"/>
          <w:bCs w:val="0"/>
          <w:color w:val="auto"/>
          <w:sz w:val="24"/>
          <w:szCs w:val="24"/>
          <w:highlight w:val="none"/>
          <w:lang w:val="en-US" w:eastAsia="zh-CN"/>
        </w:rPr>
        <w:t>万元，特殊包预估寻源金额：</w:t>
      </w:r>
      <w:r>
        <w:rPr>
          <w:rFonts w:hint="eastAsia" w:ascii="仿宋" w:hAnsi="仿宋" w:eastAsia="仿宋" w:cs="仿宋"/>
          <w:b w:val="0"/>
          <w:bCs w:val="0"/>
          <w:color w:val="auto"/>
          <w:sz w:val="24"/>
          <w:szCs w:val="24"/>
          <w:highlight w:val="none"/>
          <w:lang w:val="en-US" w:eastAsia="zh-CN"/>
        </w:rPr>
        <w:t>333.853278</w:t>
      </w:r>
      <w:r>
        <w:rPr>
          <w:rFonts w:hint="eastAsia" w:ascii="仿宋_GB2312" w:hAnsi="仿宋_GB2312" w:eastAsia="仿宋_GB2312" w:cs="仿宋_GB2312"/>
          <w:b w:val="0"/>
          <w:bCs w:val="0"/>
          <w:color w:val="auto"/>
          <w:sz w:val="24"/>
          <w:szCs w:val="24"/>
          <w:highlight w:val="none"/>
          <w:lang w:val="en-US" w:eastAsia="zh-CN"/>
        </w:rPr>
        <w:t>万元</w:t>
      </w:r>
      <w:r>
        <w:rPr>
          <w:rFonts w:hint="eastAsia" w:ascii="仿宋" w:hAnsi="仿宋" w:eastAsia="仿宋" w:cs="仿宋"/>
          <w:sz w:val="24"/>
          <w:szCs w:val="24"/>
          <w:highlight w:val="none"/>
          <w:lang w:val="en-US" w:eastAsia="zh-CN"/>
        </w:rPr>
        <w:t>。本项目为单价报价，评审价为响应单价报价，实际合同金额以数字运营公司中标标包金额比例为准。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13"/>
        <w:keepNext w:val="0"/>
        <w:keepLines w:val="0"/>
        <w:pageBreakBefore w:val="0"/>
        <w:widowControl w:val="0"/>
        <w:kinsoku/>
        <w:wordWrap/>
        <w:overflowPunct/>
        <w:topLinePunct w:val="0"/>
        <w:autoSpaceDE/>
        <w:autoSpaceDN/>
        <w:bidi w:val="0"/>
        <w:adjustRightInd/>
        <w:snapToGrid/>
        <w:spacing w:after="0" w:line="360" w:lineRule="auto"/>
        <w:ind w:left="0"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val="0"/>
          <w:i w:val="0"/>
          <w:iCs w:val="0"/>
          <w:color w:val="000000"/>
          <w:kern w:val="0"/>
          <w:sz w:val="24"/>
          <w:szCs w:val="24"/>
          <w:highlight w:val="none"/>
          <w:lang w:eastAsia="zh-CN" w:bidi="ar"/>
        </w:rPr>
        <w:t>框架期限</w:t>
      </w:r>
      <w:r>
        <w:rPr>
          <w:rFonts w:hint="eastAsia" w:ascii="仿宋" w:hAnsi="仿宋" w:eastAsia="仿宋" w:cs="仿宋"/>
          <w:bCs/>
          <w:i w:val="0"/>
          <w:iCs w:val="0"/>
          <w:color w:val="000000"/>
          <w:kern w:val="0"/>
          <w:sz w:val="24"/>
          <w:szCs w:val="24"/>
          <w:highlight w:val="none"/>
          <w:lang w:eastAsia="zh-CN" w:bidi="ar"/>
        </w:rPr>
        <w:t>：框架（2026年</w:t>
      </w:r>
      <w:r>
        <w:rPr>
          <w:rFonts w:hint="eastAsia" w:ascii="仿宋" w:hAnsi="仿宋" w:eastAsia="仿宋" w:cs="仿宋"/>
          <w:bCs/>
          <w:i w:val="0"/>
          <w:iCs w:val="0"/>
          <w:color w:val="000000"/>
          <w:kern w:val="0"/>
          <w:sz w:val="24"/>
          <w:szCs w:val="24"/>
          <w:highlight w:val="none"/>
          <w:lang w:val="en-US" w:eastAsia="zh-CN" w:bidi="ar"/>
        </w:rPr>
        <w:t>12</w:t>
      </w:r>
      <w:r>
        <w:rPr>
          <w:rFonts w:hint="eastAsia" w:ascii="仿宋" w:hAnsi="仿宋" w:eastAsia="仿宋" w:cs="仿宋"/>
          <w:bCs/>
          <w:i w:val="0"/>
          <w:iCs w:val="0"/>
          <w:color w:val="000000"/>
          <w:kern w:val="0"/>
          <w:sz w:val="24"/>
          <w:szCs w:val="24"/>
          <w:highlight w:val="none"/>
          <w:lang w:eastAsia="zh-CN" w:bidi="ar"/>
        </w:rPr>
        <w:t>月31日）。采购金额允许上下限浮动比例（-20%，+</w:t>
      </w:r>
      <w:r>
        <w:rPr>
          <w:rFonts w:hint="eastAsia" w:ascii="仿宋" w:hAnsi="仿宋" w:eastAsia="仿宋" w:cs="仿宋"/>
          <w:bCs/>
          <w:i w:val="0"/>
          <w:iCs w:val="0"/>
          <w:color w:val="000000"/>
          <w:kern w:val="0"/>
          <w:sz w:val="24"/>
          <w:szCs w:val="24"/>
          <w:highlight w:val="none"/>
          <w:lang w:val="en-US" w:eastAsia="zh-CN" w:bidi="ar"/>
        </w:rPr>
        <w:t>5</w:t>
      </w:r>
      <w:r>
        <w:rPr>
          <w:rFonts w:hint="eastAsia" w:ascii="仿宋" w:hAnsi="仿宋" w:eastAsia="仿宋" w:cs="仿宋"/>
          <w:bCs/>
          <w:i w:val="0"/>
          <w:iCs w:val="0"/>
          <w:color w:val="000000"/>
          <w:kern w:val="0"/>
          <w:sz w:val="24"/>
          <w:szCs w:val="24"/>
          <w:highlight w:val="none"/>
          <w:lang w:eastAsia="zh-CN" w:bidi="ar"/>
        </w:rPr>
        <w:t>0%）。协议期未满，实际采购量达到承诺采购量上限时，应提前终止框架协议。协议期届满，中标人实际采购量在承诺采购量上下限之间的，按期终止框架协议；实际采购量未达到承诺采购量下限的，应延长协议有效期限，延长期限原则上不超过一年（在延长期内，该框架协议的实际采购量达到下限时立即终止框架协议，延长期满仍未达到下限，自动终止框架协议）。对于因国家、行业或企业有关标准发生调整，原有规格型号已不能满足安全、生产要求且供应商无法供应对应品类新式型号的，经协商可提前终止协议。</w:t>
      </w:r>
    </w:p>
    <w:p>
      <w:pPr>
        <w:spacing w:line="360" w:lineRule="auto"/>
        <w:ind w:leftChars="1400" w:firstLine="960" w:firstLineChars="4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（盖章）</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1AB39"/>
    <w:rsid w:val="048F2346"/>
    <w:rsid w:val="05951622"/>
    <w:rsid w:val="062045B2"/>
    <w:rsid w:val="07EF465F"/>
    <w:rsid w:val="0B2E79BD"/>
    <w:rsid w:val="0BDD1A62"/>
    <w:rsid w:val="0EF425D6"/>
    <w:rsid w:val="11001706"/>
    <w:rsid w:val="13981A07"/>
    <w:rsid w:val="15794927"/>
    <w:rsid w:val="16361726"/>
    <w:rsid w:val="1DFC7DA7"/>
    <w:rsid w:val="22896DF6"/>
    <w:rsid w:val="26EC45A5"/>
    <w:rsid w:val="2A9D6943"/>
    <w:rsid w:val="30AE2A05"/>
    <w:rsid w:val="338C31D7"/>
    <w:rsid w:val="34C32107"/>
    <w:rsid w:val="3A493F17"/>
    <w:rsid w:val="419E1458"/>
    <w:rsid w:val="429E4757"/>
    <w:rsid w:val="43B92780"/>
    <w:rsid w:val="57FFA80E"/>
    <w:rsid w:val="5A6D68B8"/>
    <w:rsid w:val="5BEF88C0"/>
    <w:rsid w:val="5DCA795F"/>
    <w:rsid w:val="63681439"/>
    <w:rsid w:val="64171CDB"/>
    <w:rsid w:val="647264E5"/>
    <w:rsid w:val="66A909BF"/>
    <w:rsid w:val="692C62F5"/>
    <w:rsid w:val="6ACF3C58"/>
    <w:rsid w:val="6D221EF2"/>
    <w:rsid w:val="6DC543CA"/>
    <w:rsid w:val="6DEA2137"/>
    <w:rsid w:val="6FD864AA"/>
    <w:rsid w:val="78E4724B"/>
    <w:rsid w:val="7A552C46"/>
    <w:rsid w:val="7BFE43AD"/>
    <w:rsid w:val="7CE077D6"/>
    <w:rsid w:val="7DA97531"/>
    <w:rsid w:val="7E41314F"/>
    <w:rsid w:val="7F4A5B9D"/>
    <w:rsid w:val="FC4FDE56"/>
    <w:rsid w:val="FFF1A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unhideWhenUsed/>
    <w:qFormat/>
    <w:uiPriority w:val="0"/>
    <w:pPr>
      <w:keepNext/>
      <w:keepLines/>
      <w:numPr>
        <w:ilvl w:val="4"/>
        <w:numId w:val="1"/>
      </w:numPr>
      <w:spacing w:before="280" w:beforeLines="0" w:beforeAutospacing="0" w:after="290" w:afterLines="0" w:afterAutospacing="0" w:line="240" w:lineRule="auto"/>
      <w:ind w:left="1009" w:hanging="1009"/>
      <w:outlineLvl w:val="4"/>
    </w:pPr>
    <w:rPr>
      <w:rFonts w:eastAsia="仿宋" w:asciiTheme="minorAscii" w:hAnsiTheme="minorAscii"/>
      <w:b/>
      <w:sz w:val="24"/>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Body Text"/>
    <w:basedOn w:val="1"/>
    <w:next w:val="9"/>
    <w:qFormat/>
    <w:uiPriority w:val="0"/>
    <w:pPr>
      <w:widowControl w:val="0"/>
      <w:spacing w:after="120"/>
      <w:jc w:val="both"/>
    </w:pPr>
    <w:rPr>
      <w:kern w:val="2"/>
      <w:sz w:val="21"/>
    </w:rPr>
  </w:style>
  <w:style w:type="paragraph" w:styleId="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0">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1">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2">
    <w:name w:val="Normal (Web)"/>
    <w:basedOn w:val="1"/>
    <w:qFormat/>
    <w:uiPriority w:val="0"/>
    <w:pPr>
      <w:spacing w:beforeAutospacing="1" w:afterAutospacing="1"/>
      <w:jc w:val="left"/>
    </w:pPr>
    <w:rPr>
      <w:kern w:val="0"/>
      <w:sz w:val="24"/>
    </w:rPr>
  </w:style>
  <w:style w:type="paragraph" w:styleId="13">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paragraph" w:customStyle="1" w:styleId="16">
    <w:name w:val="南网格式"/>
    <w:basedOn w:val="1"/>
    <w:qFormat/>
    <w:uiPriority w:val="0"/>
    <w:pPr>
      <w:widowControl/>
      <w:spacing w:before="120" w:line="360" w:lineRule="auto"/>
      <w:jc w:val="left"/>
    </w:pPr>
    <w:rPr>
      <w:rFonts w:ascii="宋体" w:hAnsi="宋体"/>
      <w:kern w:val="0"/>
      <w:sz w:val="24"/>
      <w:szCs w:val="28"/>
    </w:rPr>
  </w:style>
  <w:style w:type="paragraph" w:customStyle="1" w:styleId="17">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character" w:customStyle="1" w:styleId="18">
    <w:name w:val="font11"/>
    <w:qFormat/>
    <w:uiPriority w:val="0"/>
    <w:rPr>
      <w:rFonts w:hint="eastAsia" w:ascii="宋体" w:hAnsi="宋体" w:eastAsia="宋体" w:cs="宋体"/>
      <w:color w:val="000000"/>
      <w:sz w:val="24"/>
      <w:szCs w:val="24"/>
      <w:u w:val="none"/>
    </w:rPr>
  </w:style>
  <w:style w:type="character" w:customStyle="1" w:styleId="19">
    <w:name w:val="font21"/>
    <w:basedOn w:val="15"/>
    <w:qFormat/>
    <w:uiPriority w:val="0"/>
    <w:rPr>
      <w:rFonts w:hint="eastAsia" w:ascii="宋体" w:hAnsi="宋体" w:eastAsia="宋体" w:cs="宋体"/>
      <w:b/>
      <w:bCs/>
      <w:color w:val="000000"/>
      <w:sz w:val="18"/>
      <w:szCs w:val="18"/>
      <w:u w:val="none"/>
    </w:rPr>
  </w:style>
  <w:style w:type="character" w:customStyle="1" w:styleId="20">
    <w:name w:val="font31"/>
    <w:basedOn w:val="15"/>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4008</Words>
  <Characters>4246</Characters>
  <Lines>0</Lines>
  <Paragraphs>0</Paragraphs>
  <TotalTime>1</TotalTime>
  <ScaleCrop>false</ScaleCrop>
  <LinksUpToDate>false</LinksUpToDate>
  <CharactersWithSpaces>4802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2026-04-24T18:21:00Z</dcterms:created>
  <dc:creator>zhuanglujuan</dc:creator>
  <cp:lastModifiedBy>BF0E351406F37633E055000000000001</cp:lastModifiedBy>
  <dcterms:modified xsi:type="dcterms:W3CDTF">2026-07-28T01:47:54Z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C2A84B51488872193782E969259DA6CB_41</vt:lpwstr>
  </property>
  <property fmtid="{D5CDD505-2E9C-101B-9397-08002B2CF9AE}" pid="4" name="KSOTemplateDocerSaveRecord">
    <vt:lpwstr>eyJoZGlkIjoiOWE0ZTc2MjAxOTljNDlkYThmODAyODE5OWJkNTZiMWIiLCJ1c2VySWQiOiI3MzU0MTE3MjEifQ==</vt:lpwstr>
  </property>
</Properties>
</file>