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  <w:r>
        <w:rPr>
          <w:rFonts w:ascii="宋体" w:hAnsi="宋体" w:cs="宋体"/>
          <w:bCs w:val="0"/>
          <w:caps w:val="0"/>
          <w:color w:val="auto"/>
          <w:sz w:val="36"/>
          <w:szCs w:val="36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-342900</wp:posOffset>
            </wp:positionH>
            <wp:positionV relativeFrom="page">
              <wp:posOffset>-55245</wp:posOffset>
            </wp:positionV>
            <wp:extent cx="7886700" cy="6486525"/>
            <wp:effectExtent l="0" t="0" r="0" b="9525"/>
            <wp:wrapNone/>
            <wp:docPr id="1" name="图片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1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  <w:r>
        <w:rPr>
          <w:rFonts w:ascii="宋体" w:hAnsi="宋体" w:cs="宋体"/>
          <w:b w:val="0"/>
          <w:color w:val="auto"/>
          <w:sz w:val="36"/>
          <w:szCs w:val="36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-942340</wp:posOffset>
                </wp:positionH>
                <wp:positionV relativeFrom="paragraph">
                  <wp:posOffset>432435</wp:posOffset>
                </wp:positionV>
                <wp:extent cx="6282690" cy="9429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0" w:leftChars="0" w:firstLine="0" w:firstLineChars="0"/>
                              <w:jc w:val="right"/>
                              <w:rPr>
                                <w:rFonts w:hint="eastAsia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  <w:t>云南电网有限责任公司现场活动执行、</w:t>
                            </w:r>
                          </w:p>
                          <w:p>
                            <w:pPr>
                              <w:ind w:left="0" w:leftChars="0" w:firstLine="0" w:firstLineChars="0"/>
                              <w:jc w:val="right"/>
                              <w:rPr>
                                <w:rFonts w:hint="default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  <w:t>宣传品制作造价咨询服务项目技术规范书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74.2pt;margin-top:34.05pt;height:74.25pt;width:494.7pt;z-index:251660288;mso-width-relative:page;mso-height-relative:page;" filled="f" stroked="f" coordsize="21600,21600" o:gfxdata="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sPwFcdgAAAALAQAADwAAAAAAAAAB&#10;ACAAAAAiAAAAZHJzL2Rvd25yZXYueG1sUEsBAhQAFAAAAAgAh07iQMrTKVLXAQAAmAMAAA4AAAAA&#10;AAAAAQAgAAAAJwEAAGRycy9lMm9Eb2MueG1sUEsFBgAAAAAGAAYAWQEAAH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left="0" w:leftChars="0" w:firstLine="0" w:firstLineChars="0"/>
                        <w:jc w:val="right"/>
                        <w:rPr>
                          <w:rFonts w:hint="eastAsia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  <w:t>云南电网有限责任公司现场活动执行、</w:t>
                      </w:r>
                    </w:p>
                    <w:p>
                      <w:pPr>
                        <w:ind w:left="0" w:leftChars="0" w:firstLine="0" w:firstLineChars="0"/>
                        <w:jc w:val="right"/>
                        <w:rPr>
                          <w:rFonts w:hint="default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  <w:t>宣传品制作造价咨询服务项目技术规范书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ind w:left="0" w:leftChars="0" w:firstLine="0" w:firstLineChars="0"/>
        <w:jc w:val="center"/>
        <w:outlineLvl w:val="9"/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</w:pPr>
      <w:bookmarkStart w:id="0" w:name="_Toc15440"/>
      <w:bookmarkStart w:id="1" w:name="_Toc6626"/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云南电网有限责任公司</w:t>
      </w:r>
      <w:bookmarkEnd w:id="0"/>
      <w:bookmarkEnd w:id="1"/>
    </w:p>
    <w:p>
      <w:pPr>
        <w:ind w:left="0" w:leftChars="0" w:firstLine="0" w:firstLineChars="0"/>
        <w:jc w:val="center"/>
        <w:outlineLvl w:val="9"/>
        <w:rPr>
          <w:rFonts w:ascii="宋体" w:hAnsi="宋体" w:cs="宋体"/>
          <w:b/>
          <w:color w:val="auto"/>
          <w:sz w:val="32"/>
          <w:highlight w:val="none"/>
        </w:rPr>
      </w:pPr>
      <w:r>
        <w:rPr>
          <w:rFonts w:hint="eastAsia" w:ascii="宋体" w:hAnsi="宋体" w:cs="宋体"/>
          <w:b/>
          <w:color w:val="auto"/>
          <w:sz w:val="32"/>
          <w:highlight w:val="none"/>
        </w:rPr>
        <w:t>20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26</w:t>
      </w:r>
      <w:r>
        <w:rPr>
          <w:rFonts w:hint="eastAsia" w:ascii="宋体" w:hAnsi="宋体" w:cs="宋体"/>
          <w:b/>
          <w:color w:val="auto"/>
          <w:sz w:val="32"/>
          <w:highlight w:val="none"/>
        </w:rPr>
        <w:t>年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7</w:t>
      </w:r>
      <w:r>
        <w:rPr>
          <w:rFonts w:hint="eastAsia" w:ascii="宋体" w:hAnsi="宋体" w:cs="宋体"/>
          <w:b/>
          <w:color w:val="auto"/>
          <w:sz w:val="32"/>
          <w:highlight w:val="none"/>
        </w:rPr>
        <w:t>月</w:t>
      </w:r>
    </w:p>
    <w:p>
      <w:pPr>
        <w:jc w:val="center"/>
        <w:rPr>
          <w:rFonts w:ascii="宋体" w:hAnsi="宋体" w:cs="宋体"/>
          <w:b/>
          <w:color w:val="auto"/>
          <w:sz w:val="32"/>
          <w:highlight w:val="none"/>
        </w:rPr>
      </w:pPr>
    </w:p>
    <w:p>
      <w:pPr>
        <w:ind w:left="0" w:leftChars="0" w:firstLine="0" w:firstLineChars="0"/>
        <w:jc w:val="center"/>
        <w:rPr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目   录</w:t>
      </w:r>
      <w:bookmarkStart w:id="2" w:name="_Toc309228050"/>
      <w:bookmarkStart w:id="3" w:name="_Toc309228051"/>
      <w:bookmarkStart w:id="4" w:name="_Toc295739486"/>
      <w:bookmarkStart w:id="5" w:name="_Toc295740484"/>
      <w:bookmarkStart w:id="6" w:name="_Toc296528151"/>
    </w:p>
    <w:p>
      <w:pPr>
        <w:pStyle w:val="8"/>
        <w:tabs>
          <w:tab w:val="right" w:leader="dot" w:pos="8306"/>
          <w:tab w:val="clear" w:pos="9180"/>
        </w:tabs>
        <w:rPr>
          <w:rFonts w:hint="eastAsia" w:ascii="宋体" w:hAnsi="宋体" w:cs="宋体"/>
          <w:b/>
          <w:color w:val="auto"/>
          <w:sz w:val="28"/>
          <w:szCs w:val="28"/>
          <w:highlight w:val="none"/>
        </w:rPr>
      </w:pPr>
    </w:p>
    <w:p>
      <w:pPr>
        <w:pStyle w:val="8"/>
        <w:tabs>
          <w:tab w:val="right" w:leader="dot" w:pos="8306"/>
          <w:tab w:val="clear" w:pos="9180"/>
        </w:tabs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instrText xml:space="preserve">TOC \o "1-2" \h \u </w:instrTex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fldChar w:fldCharType="separate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begin"/>
      </w:r>
      <w:r>
        <w:rPr>
          <w:rFonts w:hint="eastAsia" w:ascii="宋体" w:hAnsi="宋体" w:cs="宋体"/>
          <w:szCs w:val="28"/>
          <w:highlight w:val="none"/>
        </w:rPr>
        <w:instrText xml:space="preserve"> HYPERLINK \l _Toc31842 </w:instrText>
      </w:r>
      <w:r>
        <w:rPr>
          <w:rFonts w:hint="eastAsia" w:ascii="宋体" w:hAnsi="宋体" w:cs="宋体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highlight w:val="none"/>
        </w:rPr>
        <w:t>总则</w:t>
      </w:r>
      <w:r>
        <w:tab/>
      </w:r>
      <w:r>
        <w:fldChar w:fldCharType="begin"/>
      </w:r>
      <w:r>
        <w:instrText xml:space="preserve"> PAGEREF _Toc31842 \h </w:instrText>
      </w:r>
      <w:r>
        <w:fldChar w:fldCharType="separate"/>
      </w:r>
      <w:r>
        <w:t>- 1 -</w:t>
      </w:r>
      <w:r>
        <w:fldChar w:fldCharType="end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</w:pPr>
      <w:r>
        <w:rPr>
          <w:rFonts w:hint="eastAsia" w:ascii="宋体" w:hAnsi="宋体" w:cs="宋体"/>
          <w:color w:val="auto"/>
          <w:szCs w:val="28"/>
          <w:highlight w:val="none"/>
        </w:rPr>
        <w:fldChar w:fldCharType="begin"/>
      </w:r>
      <w:r>
        <w:rPr>
          <w:rFonts w:hint="eastAsia" w:ascii="宋体" w:hAnsi="宋体" w:cs="宋体"/>
          <w:szCs w:val="28"/>
          <w:highlight w:val="none"/>
        </w:rPr>
        <w:instrText xml:space="preserve"> HYPERLINK \l _Toc25642 </w:instrText>
      </w:r>
      <w:r>
        <w:rPr>
          <w:rFonts w:hint="eastAsia" w:ascii="宋体" w:hAnsi="宋体" w:cs="宋体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highlight w:val="none"/>
          <w:lang w:val="en-US" w:eastAsia="zh-CN"/>
        </w:rPr>
        <w:t>二、技术服务范围</w:t>
      </w:r>
      <w:r>
        <w:tab/>
      </w:r>
      <w:r>
        <w:fldChar w:fldCharType="begin"/>
      </w:r>
      <w:r>
        <w:instrText xml:space="preserve"> PAGEREF _Toc25642 \h </w:instrText>
      </w:r>
      <w:r>
        <w:fldChar w:fldCharType="separate"/>
      </w:r>
      <w:r>
        <w:t>- 1 -</w:t>
      </w:r>
      <w:r>
        <w:fldChar w:fldCharType="end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</w:pPr>
      <w:r>
        <w:rPr>
          <w:rFonts w:hint="eastAsia" w:ascii="宋体" w:hAnsi="宋体" w:cs="宋体"/>
          <w:color w:val="auto"/>
          <w:szCs w:val="28"/>
          <w:highlight w:val="none"/>
        </w:rPr>
        <w:fldChar w:fldCharType="begin"/>
      </w:r>
      <w:r>
        <w:rPr>
          <w:rFonts w:hint="eastAsia" w:ascii="宋体" w:hAnsi="宋体" w:cs="宋体"/>
          <w:szCs w:val="28"/>
          <w:highlight w:val="none"/>
        </w:rPr>
        <w:instrText xml:space="preserve"> HYPERLINK \l _Toc2413 </w:instrText>
      </w:r>
      <w:r>
        <w:rPr>
          <w:rFonts w:hint="eastAsia" w:ascii="宋体" w:hAnsi="宋体" w:cs="宋体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highlight w:val="none"/>
          <w:lang w:val="en-US" w:eastAsia="zh-CN"/>
        </w:rPr>
        <w:t>三、技术服务内容及要求</w:t>
      </w:r>
      <w:r>
        <w:tab/>
      </w:r>
      <w:r>
        <w:fldChar w:fldCharType="begin"/>
      </w:r>
      <w:r>
        <w:instrText xml:space="preserve"> PAGEREF _Toc2413 \h </w:instrText>
      </w:r>
      <w:r>
        <w:fldChar w:fldCharType="separate"/>
      </w:r>
      <w:r>
        <w:t>- 1 -</w:t>
      </w:r>
      <w:r>
        <w:fldChar w:fldCharType="end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</w:pPr>
      <w:r>
        <w:rPr>
          <w:rFonts w:hint="eastAsia" w:ascii="宋体" w:hAnsi="宋体" w:cs="宋体"/>
          <w:color w:val="auto"/>
          <w:szCs w:val="28"/>
          <w:highlight w:val="none"/>
        </w:rPr>
        <w:fldChar w:fldCharType="begin"/>
      </w:r>
      <w:r>
        <w:rPr>
          <w:rFonts w:hint="eastAsia" w:ascii="宋体" w:hAnsi="宋体" w:cs="宋体"/>
          <w:szCs w:val="28"/>
          <w:highlight w:val="none"/>
        </w:rPr>
        <w:instrText xml:space="preserve"> HYPERLINK \l _Toc8899 </w:instrText>
      </w:r>
      <w:r>
        <w:rPr>
          <w:rFonts w:hint="eastAsia" w:ascii="宋体" w:hAnsi="宋体" w:cs="宋体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highlight w:val="none"/>
          <w:lang w:val="en-US" w:eastAsia="zh-CN"/>
        </w:rPr>
        <w:t>四、服务期限要求</w:t>
      </w:r>
      <w:r>
        <w:tab/>
      </w:r>
      <w:r>
        <w:fldChar w:fldCharType="begin"/>
      </w:r>
      <w:r>
        <w:instrText xml:space="preserve"> PAGEREF _Toc8899 \h </w:instrText>
      </w:r>
      <w:r>
        <w:fldChar w:fldCharType="separate"/>
      </w:r>
      <w:r>
        <w:t>- 3 -</w:t>
      </w:r>
      <w:r>
        <w:fldChar w:fldCharType="end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</w:pPr>
      <w:r>
        <w:rPr>
          <w:rFonts w:hint="eastAsia" w:ascii="宋体" w:hAnsi="宋体" w:cs="宋体"/>
          <w:color w:val="auto"/>
          <w:szCs w:val="28"/>
          <w:highlight w:val="none"/>
        </w:rPr>
        <w:fldChar w:fldCharType="begin"/>
      </w:r>
      <w:r>
        <w:rPr>
          <w:rFonts w:hint="eastAsia" w:ascii="宋体" w:hAnsi="宋体" w:cs="宋体"/>
          <w:szCs w:val="28"/>
          <w:highlight w:val="none"/>
        </w:rPr>
        <w:instrText xml:space="preserve"> HYPERLINK \l _Toc7826 </w:instrText>
      </w:r>
      <w:r>
        <w:rPr>
          <w:rFonts w:hint="eastAsia" w:ascii="宋体" w:hAnsi="宋体" w:cs="宋体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highlight w:val="none"/>
          <w:lang w:val="en-US" w:eastAsia="zh-CN"/>
        </w:rPr>
        <w:t>五、资</w:t>
      </w:r>
      <w:bookmarkStart w:id="32" w:name="_GoBack"/>
      <w:bookmarkEnd w:id="32"/>
      <w:r>
        <w:rPr>
          <w:rFonts w:hint="eastAsia" w:ascii="黑体" w:hAnsi="黑体" w:eastAsia="黑体" w:cs="黑体"/>
          <w:highlight w:val="none"/>
          <w:lang w:val="en-US" w:eastAsia="zh-CN"/>
        </w:rPr>
        <w:t>格要求</w:t>
      </w:r>
      <w:r>
        <w:tab/>
      </w:r>
      <w:r>
        <w:fldChar w:fldCharType="begin"/>
      </w:r>
      <w:r>
        <w:instrText xml:space="preserve"> PAGEREF _Toc7826 \h </w:instrText>
      </w:r>
      <w:r>
        <w:fldChar w:fldCharType="separate"/>
      </w:r>
      <w:r>
        <w:t>- 3 -</w:t>
      </w:r>
      <w:r>
        <w:fldChar w:fldCharType="end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</w:pPr>
      <w:r>
        <w:rPr>
          <w:rFonts w:hint="eastAsia" w:ascii="宋体" w:hAnsi="宋体" w:cs="宋体"/>
          <w:color w:val="auto"/>
          <w:szCs w:val="28"/>
          <w:highlight w:val="none"/>
        </w:rPr>
        <w:fldChar w:fldCharType="begin"/>
      </w:r>
      <w:r>
        <w:rPr>
          <w:rFonts w:hint="eastAsia" w:ascii="宋体" w:hAnsi="宋体" w:cs="宋体"/>
          <w:szCs w:val="28"/>
          <w:highlight w:val="none"/>
        </w:rPr>
        <w:instrText xml:space="preserve"> HYPERLINK \l _Toc27166 </w:instrText>
      </w:r>
      <w:r>
        <w:rPr>
          <w:rFonts w:hint="eastAsia" w:ascii="宋体" w:hAnsi="宋体" w:cs="宋体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highlight w:val="none"/>
          <w:lang w:val="en-US" w:eastAsia="zh-CN"/>
        </w:rPr>
        <w:t>六、廉洁要求</w:t>
      </w:r>
      <w:r>
        <w:tab/>
      </w:r>
      <w:r>
        <w:fldChar w:fldCharType="begin"/>
      </w:r>
      <w:r>
        <w:instrText xml:space="preserve"> PAGEREF _Toc27166 \h </w:instrText>
      </w:r>
      <w:r>
        <w:fldChar w:fldCharType="separate"/>
      </w:r>
      <w:r>
        <w:t>- 4 -</w:t>
      </w:r>
      <w:r>
        <w:fldChar w:fldCharType="end"/>
      </w: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ind w:left="0" w:leftChars="0" w:firstLine="0" w:firstLineChars="0"/>
        <w:jc w:val="both"/>
        <w:rPr>
          <w:rFonts w:hint="eastAsia" w:ascii="宋体" w:hAnsi="宋体" w:cs="宋体"/>
          <w:b/>
          <w:color w:val="auto"/>
          <w:highlight w:val="none"/>
        </w:rPr>
      </w:pPr>
      <w:r>
        <w:rPr>
          <w:rFonts w:hint="eastAsia" w:ascii="宋体" w:hAnsi="宋体" w:cs="宋体"/>
          <w:color w:val="auto"/>
          <w:szCs w:val="28"/>
          <w:highlight w:val="none"/>
        </w:rPr>
        <w:fldChar w:fldCharType="end"/>
      </w:r>
    </w:p>
    <w:p>
      <w:pPr>
        <w:pStyle w:val="4"/>
        <w:rPr>
          <w:rFonts w:hint="eastAsia"/>
        </w:rPr>
      </w:pPr>
    </w:p>
    <w:p>
      <w:pPr>
        <w:bidi w:val="0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  <w:bookmarkStart w:id="7" w:name="_Toc1375"/>
      <w:bookmarkStart w:id="8" w:name="_Toc32658"/>
    </w:p>
    <w:p>
      <w:pPr>
        <w:bidi w:val="0"/>
        <w:outlineLvl w:val="1"/>
        <w:rPr>
          <w:rFonts w:hint="eastAsia" w:ascii="黑体" w:hAnsi="黑体" w:eastAsia="黑体" w:cs="黑体"/>
          <w:color w:val="auto"/>
          <w:highlight w:val="none"/>
        </w:rPr>
      </w:pPr>
      <w:bookmarkStart w:id="9" w:name="_Toc31842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highlight w:val="none"/>
        </w:rPr>
        <w:t>总则</w:t>
      </w:r>
      <w:bookmarkEnd w:id="2"/>
      <w:bookmarkEnd w:id="7"/>
      <w:bookmarkEnd w:id="8"/>
      <w:bookmarkEnd w:id="9"/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</w:rPr>
        <w:t>1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</w:rPr>
        <w:t>本技术规范书适用于</w:t>
      </w:r>
      <w:r>
        <w:rPr>
          <w:rFonts w:hint="eastAsia"/>
          <w:color w:val="auto"/>
          <w:highlight w:val="none"/>
          <w:lang w:eastAsia="zh-CN"/>
        </w:rPr>
        <w:t>【</w:t>
      </w:r>
      <w:bookmarkEnd w:id="3"/>
      <w:r>
        <w:rPr>
          <w:rFonts w:hint="eastAsia"/>
          <w:color w:val="auto"/>
          <w:highlight w:val="none"/>
          <w:u w:val="single"/>
          <w:shd w:val="clear" w:color="FFFFFF" w:fill="D9D9D9"/>
          <w:lang w:val="zh-CN" w:eastAsia="zh-CN"/>
        </w:rPr>
        <w:t>云南电网有限责任公司现场活动执行、宣传品制作造价咨询服务项目</w:t>
      </w:r>
      <w:r>
        <w:rPr>
          <w:rFonts w:hint="eastAsia"/>
          <w:color w:val="auto"/>
          <w:highlight w:val="none"/>
          <w:lang w:val="en-US" w:eastAsia="zh-CN"/>
        </w:rPr>
        <w:t>】</w:t>
      </w:r>
      <w:r>
        <w:rPr>
          <w:rFonts w:hint="eastAsia"/>
          <w:color w:val="auto"/>
          <w:highlight w:val="none"/>
          <w:lang w:val="zh-CN" w:eastAsia="zh-CN"/>
        </w:rPr>
        <w:t>采购，本技术规范书的最终解释权归云南电网有限责任公司</w:t>
      </w:r>
      <w:r>
        <w:rPr>
          <w:rFonts w:hint="eastAsia"/>
          <w:color w:val="auto"/>
          <w:highlight w:val="none"/>
          <w:lang w:val="en-US" w:eastAsia="zh-CN"/>
        </w:rPr>
        <w:t>党建部</w:t>
      </w:r>
      <w:r>
        <w:rPr>
          <w:rFonts w:hint="eastAsia"/>
          <w:color w:val="auto"/>
          <w:highlight w:val="none"/>
          <w:lang w:val="zh-CN" w:eastAsia="zh-CN"/>
        </w:rPr>
        <w:t>。</w:t>
      </w:r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  <w:lang w:val="zh-CN" w:eastAsia="zh-CN"/>
        </w:rPr>
        <w:t>2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  <w:lang w:val="zh-CN" w:eastAsia="zh-CN"/>
        </w:rPr>
        <w:t>本技术规范书提出的是最基本的技术要求，并未对所有技术细节作出规定,也未完全充分引述有关标准和规范的条文。本技术规范书所使用的标准如遇与投标方所执行的标准不一致时,按较高标准执行。</w:t>
      </w:r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  <w:lang w:val="zh-CN" w:eastAsia="zh-CN"/>
        </w:rPr>
        <w:t>3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  <w:lang w:val="zh-CN" w:eastAsia="zh-CN"/>
        </w:rPr>
        <w:t>本技术规范书未尽事宜,由采购方、承包商双方协商确定。</w:t>
      </w:r>
    </w:p>
    <w:p>
      <w:pPr>
        <w:bidi w:val="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>4．</w:t>
      </w:r>
      <w:r>
        <w:rPr>
          <w:rFonts w:hint="eastAsia"/>
          <w:color w:val="auto"/>
          <w:highlight w:val="none"/>
          <w:lang w:val="zh-CN" w:eastAsia="zh-CN"/>
        </w:rPr>
        <w:t>本规范书经双方确认后作为项目合同的技术附件，与合同正文具有同等的法律效力。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10" w:name="_Toc6492"/>
      <w:bookmarkStart w:id="11" w:name="_Toc2399"/>
      <w:bookmarkStart w:id="12" w:name="_Toc25642"/>
      <w:bookmarkStart w:id="13" w:name="_Toc259520963"/>
      <w:bookmarkStart w:id="14" w:name="_Toc48525822"/>
      <w:bookmarkStart w:id="15" w:name="_Toc224900224"/>
      <w:bookmarkStart w:id="16" w:name="_Toc333394503"/>
      <w:bookmarkStart w:id="17" w:name="_Toc289346535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二、技术服务范围</w:t>
      </w:r>
      <w:bookmarkEnd w:id="10"/>
      <w:bookmarkEnd w:id="11"/>
      <w:bookmarkEnd w:id="12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技术服务范围为</w:t>
      </w:r>
      <w:r>
        <w:rPr>
          <w:rFonts w:hint="eastAsia"/>
          <w:color w:val="auto"/>
          <w:highlight w:val="none"/>
          <w:lang w:eastAsia="zh-CN"/>
        </w:rPr>
        <w:t>【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zh-CN" w:eastAsia="zh-CN"/>
        </w:rPr>
        <w:t>云南电网有限责任公司现场活动执行、宣传品制作</w:t>
      </w:r>
      <w:r>
        <w:rPr>
          <w:rFonts w:hint="eastAsia"/>
          <w:color w:val="auto"/>
          <w:highlight w:val="none"/>
          <w:lang w:val="en-US" w:eastAsia="zh-CN"/>
        </w:rPr>
        <w:t>】的</w:t>
      </w:r>
      <w:r>
        <w:rPr>
          <w:rFonts w:hint="eastAsia"/>
          <w:color w:val="auto"/>
          <w:highlight w:val="none"/>
          <w:lang w:val="zh-CN" w:eastAsia="zh-CN"/>
        </w:rPr>
        <w:t>造价咨询服务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18" w:name="_Toc30406"/>
      <w:bookmarkStart w:id="19" w:name="_Toc21623"/>
      <w:bookmarkStart w:id="20" w:name="_Toc2413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三、技术服务内容及要求</w:t>
      </w:r>
      <w:bookmarkEnd w:id="18"/>
      <w:bookmarkEnd w:id="19"/>
      <w:bookmarkEnd w:id="20"/>
    </w:p>
    <w:p>
      <w:pPr>
        <w:bidi w:val="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bookmarkStart w:id="21" w:name="_Toc18503"/>
      <w:r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  <w:t>（一）服务内容</w:t>
      </w:r>
      <w:bookmarkEnd w:id="21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承包方负责为云南电网有限责任公司现场活动执行、宣传品制作提供造价咨询服务，根据采购方提供的造价咨询需求及要求，依据技术规范、计价依据、市场信息及相关规定，公正、合理计算招标范围内项目所需的全部费用，并编制符合要求的计价文件和成果报告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具体询价项目主要包括现场活动执行和宣传品制作两大类，包含近230个项目。现场活动执行包括舞美类、舞台搭建类、设备租赁及操控、活动现场录制或直播等项目，其中舞美类包括舞美设计、文艺类活动总导演、原创节目、艺术指导、化妆师、主持人、服装和道具等，舞台搭建类包括舞台及背景搭建材料等，设备租赁及操控包括视频设备、音响设备、灯光设备、竞赛活动设备等，活动现场录制或直播包括活动全程录制、现场导播等。宣传品制作包括宣传设计、物料制作、展位设计搭建及其他，其中宣传设计包括册子类、折页、海报、易拉宝、卡片、展板、插画、PPT排版、职业形象照拍摄等，物料制作包括册子类、折页、手卡、喷绘、写真、车贴、PVC板、亚克力板、造型展架木质框架、喷漆、奖杯和旗帜等，展位设计搭建及其他包括展位设计费、展位施工、摄影展展墙、照片冲印装裱、墙面展板拆除与粉刷、照片冲印等。</w:t>
      </w:r>
    </w:p>
    <w:p>
      <w:pPr>
        <w:bidi w:val="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bookmarkStart w:id="22" w:name="_Toc18085"/>
      <w:r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  <w:t>（二）服务要求</w:t>
      </w:r>
      <w:bookmarkEnd w:id="22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1</w:t>
      </w:r>
      <w:r>
        <w:rPr>
          <w:rFonts w:hint="eastAsia"/>
          <w:color w:val="auto"/>
          <w:highlight w:val="none"/>
          <w:lang w:val="en-US" w:eastAsia="zh-CN"/>
        </w:rPr>
        <w:t>．按照招标文件和招标限价要求，开展造价咨询服务，招标限价计价依据须严格执行国家、行业各项规定。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2．依据技术规范、计价依据、市场信息及相关规定，公正、合理计算招标范围内项目所需的全部费用，对计价结果的真实性、全面性、客观性负责，并编制符合要求的计价文件和成果报告。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3．要求参与询价单位不少于3家。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4．需整理、归档与业务有关资料、文件、工作底稿等，并同步移交采购方。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5．参与造价咨询服务的单位和人员必须遵守国家有关法律、法规、规章制度，严守纪律，保守秘密。</w:t>
      </w:r>
    </w:p>
    <w:p>
      <w:pPr>
        <w:bidi w:val="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6．承包方</w:t>
      </w:r>
      <w:r>
        <w:rPr>
          <w:rFonts w:hint="default"/>
          <w:color w:val="auto"/>
          <w:highlight w:val="none"/>
          <w:lang w:val="en-US" w:eastAsia="zh-CN"/>
        </w:rPr>
        <w:t>在提交成果前，应经内部三级复核，确保提交成果的质量。受托中介机构不得将承接业务转包或分包给其他单位或个人。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7．承包方接到咨询服务任务后，应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立即筹建项目工作组</w:t>
      </w:r>
      <w:r>
        <w:rPr>
          <w:rFonts w:hint="eastAsia" w:cs="仿宋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并</w:t>
      </w:r>
      <w:r>
        <w:rPr>
          <w:rFonts w:hint="eastAsia"/>
          <w:color w:val="auto"/>
          <w:highlight w:val="none"/>
          <w:lang w:val="en-US" w:eastAsia="zh-CN"/>
        </w:rPr>
        <w:t>安排具有较强沟通能力、协调能力和组织能力的项目负责人，保证沟通和实施的顺畅。未经采购方同意，承包方不得随意变更项目负责人。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8．承包方未按合同要求，对服务范围内的服务响应不及时，或者未按照时间约定提供项目成果，或提供项目成果存在重大质量问题（如弄虚作假、报价明显虚高、明显逻辑错误等），采购方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甲方有权单方解除合同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9．其他未提及的要求</w:t>
      </w:r>
      <w:r>
        <w:rPr>
          <w:rFonts w:hint="eastAsia"/>
          <w:color w:val="auto"/>
          <w:highlight w:val="none"/>
          <w:lang w:val="zh-CN" w:eastAsia="zh-CN"/>
        </w:rPr>
        <w:t>,由采购方、承包商双方协商确定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23" w:name="_Toc17590"/>
      <w:bookmarkStart w:id="24" w:name="_Toc29231"/>
      <w:bookmarkStart w:id="25" w:name="_Toc8899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四、服务期限要求</w:t>
      </w:r>
      <w:bookmarkEnd w:id="23"/>
      <w:bookmarkEnd w:id="24"/>
      <w:bookmarkEnd w:id="25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【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en-US" w:eastAsia="zh-CN"/>
        </w:rPr>
        <w:t>自合同签订之日起至14天以内</w:t>
      </w:r>
      <w:r>
        <w:rPr>
          <w:rFonts w:hint="eastAsia"/>
          <w:color w:val="auto"/>
          <w:highlight w:val="none"/>
          <w:lang w:val="en-US" w:eastAsia="zh-CN"/>
        </w:rPr>
        <w:t>】。注：如遇采购方因台风、地震等不可抗力影响，可与承包方协商终止合同，若中标方终止经营，采购方有权终止合同。</w:t>
      </w:r>
    </w:p>
    <w:p>
      <w:pPr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bookmarkStart w:id="26" w:name="_Toc7826"/>
      <w:bookmarkStart w:id="27" w:name="_Toc14364"/>
      <w:bookmarkStart w:id="28" w:name="_Toc16243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五、资格要求</w:t>
      </w:r>
      <w:bookmarkEnd w:id="26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bookmarkStart w:id="29" w:name="OLE_LINK3"/>
      <w:r>
        <w:rPr>
          <w:rFonts w:hint="eastAsia"/>
          <w:color w:val="auto"/>
          <w:highlight w:val="none"/>
          <w:lang w:val="en-US" w:eastAsia="zh-CN"/>
        </w:rPr>
        <w:t>1．承包方必须为中华人民共和国境内注册合法运作的法人或其他组织，具有独立承担民事责任的能力和独立履行合同的能力，营业执照在有效期内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2．承包方经营状况良好。</w:t>
      </w:r>
    </w:p>
    <w:bookmarkEnd w:id="29"/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3．所有标包不接受联合体投标。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4．项目负责人具有一级注册造价工程师资格，在投标人单位注册且在有效期内。注：项目负责人需提供注册证书及在本单位投标截止日期前半年内连续3个月的社保证明。</w:t>
      </w:r>
    </w:p>
    <w:p>
      <w:pPr>
        <w:shd w:val="clear" w:color="auto"/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bookmarkStart w:id="30" w:name="_Toc27166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六、</w:t>
      </w:r>
      <w:bookmarkStart w:id="31" w:name="OLE_LINK2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廉洁要求</w:t>
      </w:r>
      <w:bookmarkEnd w:id="27"/>
      <w:bookmarkEnd w:id="28"/>
      <w:bookmarkEnd w:id="30"/>
      <w:bookmarkEnd w:id="31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1．成交人在项目实施过程中，需秉持诚信经营原则，按照采购和应答文件规定提供符合规定委托服务。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2．严格按照成交价格、不得虚报项目成本、挪用资金或进行其他财务违规行为。</w:t>
      </w:r>
    </w:p>
    <w:bookmarkEnd w:id="4"/>
    <w:bookmarkEnd w:id="5"/>
    <w:bookmarkEnd w:id="6"/>
    <w:bookmarkEnd w:id="13"/>
    <w:bookmarkEnd w:id="14"/>
    <w:bookmarkEnd w:id="15"/>
    <w:bookmarkEnd w:id="16"/>
    <w:bookmarkEnd w:id="17"/>
    <w:p>
      <w:pPr>
        <w:pStyle w:val="4"/>
        <w:ind w:left="0" w:leftChars="0" w:firstLine="0" w:firstLineChars="0"/>
        <w:rPr>
          <w:rFonts w:hint="default"/>
          <w:lang w:val="en-US" w:eastAsia="zh-CN"/>
        </w:rPr>
      </w:pPr>
    </w:p>
    <w:sectPr>
      <w:footerReference r:id="rId6" w:type="default"/>
      <w:pgSz w:w="11906" w:h="16838"/>
      <w:pgMar w:top="1440" w:right="1800" w:bottom="1440" w:left="1800" w:header="851" w:footer="992" w:gutter="0"/>
      <w:pgNumType w:fmt="numberInDash"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ind w:left="0" w:leftChars="0" w:firstLine="0" w:firstLineChars="0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+xzud0BAAC+AwAADgAAAGRycy9lMm9Eb2MueG1srVNBrtMwEN0jcQfL&#10;e5q0SK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Dfsc7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0" w:leftChars="0" w:firstLine="0" w:firstLineChars="0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ind w:left="0" w:leftChars="0" w:firstLine="0" w:firstLineChars="0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Z/ied0BAAC+AwAADgAAAGRycy9lMm9Eb2MueG1srVNBrtMwEN0jcQfL&#10;e5q0Q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DWf4n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0" w:leftChars="0" w:firstLine="0" w:firstLineChars="0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MTcyYTc0YzY0Nzc4MzBkZDg1OTEzM2E3ZTg2MGMifQ=="/>
  </w:docVars>
  <w:rsids>
    <w:rsidRoot w:val="292F771C"/>
    <w:rsid w:val="00076E27"/>
    <w:rsid w:val="001E2721"/>
    <w:rsid w:val="001E413F"/>
    <w:rsid w:val="00246F2E"/>
    <w:rsid w:val="005F5106"/>
    <w:rsid w:val="006752CD"/>
    <w:rsid w:val="00CB4C15"/>
    <w:rsid w:val="00CD0F8A"/>
    <w:rsid w:val="00FC40D9"/>
    <w:rsid w:val="010B375B"/>
    <w:rsid w:val="014B3E6B"/>
    <w:rsid w:val="0158316C"/>
    <w:rsid w:val="01A036F9"/>
    <w:rsid w:val="01D73984"/>
    <w:rsid w:val="01F82B7A"/>
    <w:rsid w:val="020712DA"/>
    <w:rsid w:val="021A0E23"/>
    <w:rsid w:val="02781229"/>
    <w:rsid w:val="029C3DA7"/>
    <w:rsid w:val="029F2424"/>
    <w:rsid w:val="02A12651"/>
    <w:rsid w:val="02A551CC"/>
    <w:rsid w:val="0303058B"/>
    <w:rsid w:val="031E5287"/>
    <w:rsid w:val="03311CAC"/>
    <w:rsid w:val="034F7071"/>
    <w:rsid w:val="038678FB"/>
    <w:rsid w:val="03EC0029"/>
    <w:rsid w:val="03FF2280"/>
    <w:rsid w:val="0409469D"/>
    <w:rsid w:val="04141A4B"/>
    <w:rsid w:val="041809E2"/>
    <w:rsid w:val="042B7540"/>
    <w:rsid w:val="0434200F"/>
    <w:rsid w:val="047A4D9B"/>
    <w:rsid w:val="049A11D7"/>
    <w:rsid w:val="04C40774"/>
    <w:rsid w:val="04E65CD4"/>
    <w:rsid w:val="04FC4574"/>
    <w:rsid w:val="054009C0"/>
    <w:rsid w:val="05641D65"/>
    <w:rsid w:val="05794E03"/>
    <w:rsid w:val="05813C7B"/>
    <w:rsid w:val="05BE6C21"/>
    <w:rsid w:val="05EF25DC"/>
    <w:rsid w:val="06096C99"/>
    <w:rsid w:val="0638784A"/>
    <w:rsid w:val="06754887"/>
    <w:rsid w:val="068937EF"/>
    <w:rsid w:val="06AA117F"/>
    <w:rsid w:val="06AB4CB0"/>
    <w:rsid w:val="06BD7B8D"/>
    <w:rsid w:val="06CA53B1"/>
    <w:rsid w:val="06DD04BD"/>
    <w:rsid w:val="070E7A21"/>
    <w:rsid w:val="071D0A1A"/>
    <w:rsid w:val="072157B8"/>
    <w:rsid w:val="073D643C"/>
    <w:rsid w:val="078209D8"/>
    <w:rsid w:val="0792323B"/>
    <w:rsid w:val="07937121"/>
    <w:rsid w:val="07A25DCA"/>
    <w:rsid w:val="07B046D5"/>
    <w:rsid w:val="07D2310B"/>
    <w:rsid w:val="07E31F0A"/>
    <w:rsid w:val="08000BB8"/>
    <w:rsid w:val="0843585C"/>
    <w:rsid w:val="087F6734"/>
    <w:rsid w:val="088B396E"/>
    <w:rsid w:val="08A737BE"/>
    <w:rsid w:val="08B952BC"/>
    <w:rsid w:val="08DE7BF6"/>
    <w:rsid w:val="09197006"/>
    <w:rsid w:val="092D5DA9"/>
    <w:rsid w:val="09317E86"/>
    <w:rsid w:val="093974F1"/>
    <w:rsid w:val="093B0A07"/>
    <w:rsid w:val="098445C2"/>
    <w:rsid w:val="09847929"/>
    <w:rsid w:val="09CA17BE"/>
    <w:rsid w:val="09CE194A"/>
    <w:rsid w:val="09CE4973"/>
    <w:rsid w:val="09E77ED9"/>
    <w:rsid w:val="0A0862BF"/>
    <w:rsid w:val="0A114AFC"/>
    <w:rsid w:val="0A1D1FE1"/>
    <w:rsid w:val="0A320608"/>
    <w:rsid w:val="0A327F50"/>
    <w:rsid w:val="0A574CC7"/>
    <w:rsid w:val="0ABF76DD"/>
    <w:rsid w:val="0B136E20"/>
    <w:rsid w:val="0B2E3ECA"/>
    <w:rsid w:val="0B403530"/>
    <w:rsid w:val="0B691FD0"/>
    <w:rsid w:val="0B7B7961"/>
    <w:rsid w:val="0BA21259"/>
    <w:rsid w:val="0C127390"/>
    <w:rsid w:val="0C3C7321"/>
    <w:rsid w:val="0C683335"/>
    <w:rsid w:val="0C9C7536"/>
    <w:rsid w:val="0CE30A42"/>
    <w:rsid w:val="0D0E2F0B"/>
    <w:rsid w:val="0D5938C2"/>
    <w:rsid w:val="0D6408DE"/>
    <w:rsid w:val="0D877ACB"/>
    <w:rsid w:val="0DB438F1"/>
    <w:rsid w:val="0DE17867"/>
    <w:rsid w:val="0DEC4366"/>
    <w:rsid w:val="0E362BC0"/>
    <w:rsid w:val="0E6934D8"/>
    <w:rsid w:val="0E7804F1"/>
    <w:rsid w:val="0EA953B4"/>
    <w:rsid w:val="0EDB2FFA"/>
    <w:rsid w:val="0F1B18A3"/>
    <w:rsid w:val="0F304610"/>
    <w:rsid w:val="0F6067E4"/>
    <w:rsid w:val="0F7F7559"/>
    <w:rsid w:val="0FA730CF"/>
    <w:rsid w:val="0FEE6C28"/>
    <w:rsid w:val="100B122C"/>
    <w:rsid w:val="1013055C"/>
    <w:rsid w:val="103967C1"/>
    <w:rsid w:val="10756460"/>
    <w:rsid w:val="10A43787"/>
    <w:rsid w:val="10D54825"/>
    <w:rsid w:val="10F36AFE"/>
    <w:rsid w:val="10FB739C"/>
    <w:rsid w:val="11084917"/>
    <w:rsid w:val="111D625B"/>
    <w:rsid w:val="11221CCE"/>
    <w:rsid w:val="117A12C2"/>
    <w:rsid w:val="118C4A14"/>
    <w:rsid w:val="11AB4D5A"/>
    <w:rsid w:val="11F24F15"/>
    <w:rsid w:val="12111352"/>
    <w:rsid w:val="12975890"/>
    <w:rsid w:val="12C210BD"/>
    <w:rsid w:val="12D007E5"/>
    <w:rsid w:val="13345205"/>
    <w:rsid w:val="139E72C5"/>
    <w:rsid w:val="13DC1156"/>
    <w:rsid w:val="13DD728D"/>
    <w:rsid w:val="14254A5A"/>
    <w:rsid w:val="143F6425"/>
    <w:rsid w:val="146437A7"/>
    <w:rsid w:val="147A403B"/>
    <w:rsid w:val="147C0CD1"/>
    <w:rsid w:val="14C240C8"/>
    <w:rsid w:val="14EC5B3C"/>
    <w:rsid w:val="15016477"/>
    <w:rsid w:val="150F634D"/>
    <w:rsid w:val="15823A57"/>
    <w:rsid w:val="15EF4586"/>
    <w:rsid w:val="1620177A"/>
    <w:rsid w:val="1682291D"/>
    <w:rsid w:val="16BA66D8"/>
    <w:rsid w:val="16C070E2"/>
    <w:rsid w:val="16CB3ABC"/>
    <w:rsid w:val="16CD42DD"/>
    <w:rsid w:val="16D326D7"/>
    <w:rsid w:val="170F7BFF"/>
    <w:rsid w:val="171A4834"/>
    <w:rsid w:val="1757309A"/>
    <w:rsid w:val="17932B6B"/>
    <w:rsid w:val="179B14E3"/>
    <w:rsid w:val="17A54DB5"/>
    <w:rsid w:val="17A950FD"/>
    <w:rsid w:val="17D85F2C"/>
    <w:rsid w:val="17F0399C"/>
    <w:rsid w:val="18003A8A"/>
    <w:rsid w:val="18044B2C"/>
    <w:rsid w:val="181F179D"/>
    <w:rsid w:val="18263E1F"/>
    <w:rsid w:val="18435453"/>
    <w:rsid w:val="186936AA"/>
    <w:rsid w:val="18941B90"/>
    <w:rsid w:val="18A42179"/>
    <w:rsid w:val="18BB012F"/>
    <w:rsid w:val="18D446EF"/>
    <w:rsid w:val="18ED7AE9"/>
    <w:rsid w:val="196138F9"/>
    <w:rsid w:val="196657D4"/>
    <w:rsid w:val="197D6A56"/>
    <w:rsid w:val="197E7E30"/>
    <w:rsid w:val="19962805"/>
    <w:rsid w:val="19E465FF"/>
    <w:rsid w:val="19E86EF7"/>
    <w:rsid w:val="1A2026BF"/>
    <w:rsid w:val="1A4C7923"/>
    <w:rsid w:val="1A797727"/>
    <w:rsid w:val="1A7C1BC9"/>
    <w:rsid w:val="1A9932AA"/>
    <w:rsid w:val="1AA978E6"/>
    <w:rsid w:val="1ABE5D1E"/>
    <w:rsid w:val="1AEB7EE8"/>
    <w:rsid w:val="1AEC2A57"/>
    <w:rsid w:val="1B1F38AA"/>
    <w:rsid w:val="1B22060F"/>
    <w:rsid w:val="1B7128D7"/>
    <w:rsid w:val="1B9C6460"/>
    <w:rsid w:val="1BC54051"/>
    <w:rsid w:val="1C122BC9"/>
    <w:rsid w:val="1C2304B8"/>
    <w:rsid w:val="1C5332AC"/>
    <w:rsid w:val="1CA23ABD"/>
    <w:rsid w:val="1CC065F9"/>
    <w:rsid w:val="1CC12FBE"/>
    <w:rsid w:val="1CFC2664"/>
    <w:rsid w:val="1D0A28F0"/>
    <w:rsid w:val="1D531B88"/>
    <w:rsid w:val="1D7D2518"/>
    <w:rsid w:val="1D9D343B"/>
    <w:rsid w:val="1DB35E78"/>
    <w:rsid w:val="1DB60FD8"/>
    <w:rsid w:val="1DD42334"/>
    <w:rsid w:val="1DDB61EA"/>
    <w:rsid w:val="1E1F76C0"/>
    <w:rsid w:val="1E2521F9"/>
    <w:rsid w:val="1E39091A"/>
    <w:rsid w:val="1E4F210B"/>
    <w:rsid w:val="1EA6362C"/>
    <w:rsid w:val="1EC62621"/>
    <w:rsid w:val="1EEA2574"/>
    <w:rsid w:val="1F0D35DC"/>
    <w:rsid w:val="1F565C9E"/>
    <w:rsid w:val="1F6154B6"/>
    <w:rsid w:val="1F7C76E9"/>
    <w:rsid w:val="1FA92568"/>
    <w:rsid w:val="202F50A7"/>
    <w:rsid w:val="20374EAA"/>
    <w:rsid w:val="206D2127"/>
    <w:rsid w:val="20A6425C"/>
    <w:rsid w:val="20A96B4B"/>
    <w:rsid w:val="20BA0E29"/>
    <w:rsid w:val="20C96041"/>
    <w:rsid w:val="20CF204E"/>
    <w:rsid w:val="21022861"/>
    <w:rsid w:val="211158C8"/>
    <w:rsid w:val="21312FDF"/>
    <w:rsid w:val="2174024B"/>
    <w:rsid w:val="217678B0"/>
    <w:rsid w:val="21DA4DE5"/>
    <w:rsid w:val="21F76EDD"/>
    <w:rsid w:val="220012EB"/>
    <w:rsid w:val="22220DC3"/>
    <w:rsid w:val="222D566E"/>
    <w:rsid w:val="222F0C0A"/>
    <w:rsid w:val="22917E87"/>
    <w:rsid w:val="229D2061"/>
    <w:rsid w:val="22A14FE0"/>
    <w:rsid w:val="22A33FE7"/>
    <w:rsid w:val="22D5375B"/>
    <w:rsid w:val="22D761F8"/>
    <w:rsid w:val="230E6F87"/>
    <w:rsid w:val="23431AEA"/>
    <w:rsid w:val="235E72F8"/>
    <w:rsid w:val="236001E7"/>
    <w:rsid w:val="236B4DA9"/>
    <w:rsid w:val="237A0C22"/>
    <w:rsid w:val="23AD7CB8"/>
    <w:rsid w:val="23BD7960"/>
    <w:rsid w:val="23C03737"/>
    <w:rsid w:val="23DC337E"/>
    <w:rsid w:val="23E1383B"/>
    <w:rsid w:val="23EC46AB"/>
    <w:rsid w:val="23FE62A3"/>
    <w:rsid w:val="240B75CB"/>
    <w:rsid w:val="24255234"/>
    <w:rsid w:val="242673D5"/>
    <w:rsid w:val="24490ADA"/>
    <w:rsid w:val="24514757"/>
    <w:rsid w:val="246D4331"/>
    <w:rsid w:val="24AB6192"/>
    <w:rsid w:val="24CE0D9E"/>
    <w:rsid w:val="256C7A64"/>
    <w:rsid w:val="257B5E53"/>
    <w:rsid w:val="25B6799B"/>
    <w:rsid w:val="25BD373E"/>
    <w:rsid w:val="25CE0322"/>
    <w:rsid w:val="25E2080D"/>
    <w:rsid w:val="25FB25BD"/>
    <w:rsid w:val="25FC3EAF"/>
    <w:rsid w:val="263D4CCB"/>
    <w:rsid w:val="26794D47"/>
    <w:rsid w:val="267C3E0E"/>
    <w:rsid w:val="279108C7"/>
    <w:rsid w:val="279F40BC"/>
    <w:rsid w:val="27A07BE7"/>
    <w:rsid w:val="27D851E4"/>
    <w:rsid w:val="27DB78C1"/>
    <w:rsid w:val="27F44F20"/>
    <w:rsid w:val="28295491"/>
    <w:rsid w:val="283B659A"/>
    <w:rsid w:val="283D0050"/>
    <w:rsid w:val="28493FA8"/>
    <w:rsid w:val="28941F3C"/>
    <w:rsid w:val="28C14B55"/>
    <w:rsid w:val="28CE630A"/>
    <w:rsid w:val="29023F3D"/>
    <w:rsid w:val="29197691"/>
    <w:rsid w:val="29294775"/>
    <w:rsid w:val="292C1241"/>
    <w:rsid w:val="292F771C"/>
    <w:rsid w:val="296A64E8"/>
    <w:rsid w:val="29CF2AE9"/>
    <w:rsid w:val="29CF4F03"/>
    <w:rsid w:val="29D70975"/>
    <w:rsid w:val="2A0E5970"/>
    <w:rsid w:val="2A3E1600"/>
    <w:rsid w:val="2AB31E52"/>
    <w:rsid w:val="2B402E44"/>
    <w:rsid w:val="2B42536F"/>
    <w:rsid w:val="2B9A6C05"/>
    <w:rsid w:val="2C2A1054"/>
    <w:rsid w:val="2C612E02"/>
    <w:rsid w:val="2C766194"/>
    <w:rsid w:val="2C9278D0"/>
    <w:rsid w:val="2C9E008F"/>
    <w:rsid w:val="2CA21CCB"/>
    <w:rsid w:val="2CF7403C"/>
    <w:rsid w:val="2D352C46"/>
    <w:rsid w:val="2D36636A"/>
    <w:rsid w:val="2D3F7B01"/>
    <w:rsid w:val="2D732BE5"/>
    <w:rsid w:val="2D7B5BD3"/>
    <w:rsid w:val="2D9A20D1"/>
    <w:rsid w:val="2DB0201C"/>
    <w:rsid w:val="2DB463FF"/>
    <w:rsid w:val="2DB46851"/>
    <w:rsid w:val="2DF5651A"/>
    <w:rsid w:val="2E161FE6"/>
    <w:rsid w:val="2E230DCD"/>
    <w:rsid w:val="2E4E188E"/>
    <w:rsid w:val="2E60133D"/>
    <w:rsid w:val="2E6953EF"/>
    <w:rsid w:val="2EB476C8"/>
    <w:rsid w:val="2ED578D6"/>
    <w:rsid w:val="2EFD2829"/>
    <w:rsid w:val="2F0A6793"/>
    <w:rsid w:val="2F0B66A8"/>
    <w:rsid w:val="2F117FB8"/>
    <w:rsid w:val="2F3752C6"/>
    <w:rsid w:val="2F5244E0"/>
    <w:rsid w:val="2F6E1AFC"/>
    <w:rsid w:val="2FE14436"/>
    <w:rsid w:val="302A4CC4"/>
    <w:rsid w:val="30335223"/>
    <w:rsid w:val="304E0676"/>
    <w:rsid w:val="30711E20"/>
    <w:rsid w:val="31097711"/>
    <w:rsid w:val="319C528E"/>
    <w:rsid w:val="31B60C72"/>
    <w:rsid w:val="31BA0264"/>
    <w:rsid w:val="31D4359B"/>
    <w:rsid w:val="31EE3636"/>
    <w:rsid w:val="31EF35A6"/>
    <w:rsid w:val="32324E42"/>
    <w:rsid w:val="324377F6"/>
    <w:rsid w:val="32524EDD"/>
    <w:rsid w:val="32A359C8"/>
    <w:rsid w:val="32D14673"/>
    <w:rsid w:val="32E469EA"/>
    <w:rsid w:val="3301784B"/>
    <w:rsid w:val="33025EBA"/>
    <w:rsid w:val="331C3599"/>
    <w:rsid w:val="332813C2"/>
    <w:rsid w:val="338B4669"/>
    <w:rsid w:val="339C50AD"/>
    <w:rsid w:val="33CD3600"/>
    <w:rsid w:val="33D21F2E"/>
    <w:rsid w:val="33DE14FB"/>
    <w:rsid w:val="33FF62FC"/>
    <w:rsid w:val="3432144E"/>
    <w:rsid w:val="34374F29"/>
    <w:rsid w:val="344350A4"/>
    <w:rsid w:val="34464D85"/>
    <w:rsid w:val="3468255C"/>
    <w:rsid w:val="349D1D7F"/>
    <w:rsid w:val="34E93573"/>
    <w:rsid w:val="34F50474"/>
    <w:rsid w:val="34FD744C"/>
    <w:rsid w:val="35222051"/>
    <w:rsid w:val="35343BC9"/>
    <w:rsid w:val="355602E0"/>
    <w:rsid w:val="35594933"/>
    <w:rsid w:val="355B2E8A"/>
    <w:rsid w:val="35860550"/>
    <w:rsid w:val="35910FC9"/>
    <w:rsid w:val="359144DE"/>
    <w:rsid w:val="359C093E"/>
    <w:rsid w:val="35CA5115"/>
    <w:rsid w:val="35D031F3"/>
    <w:rsid w:val="35D0502D"/>
    <w:rsid w:val="35F02F93"/>
    <w:rsid w:val="3625049E"/>
    <w:rsid w:val="362F3253"/>
    <w:rsid w:val="371545CF"/>
    <w:rsid w:val="37281609"/>
    <w:rsid w:val="37362842"/>
    <w:rsid w:val="374731BF"/>
    <w:rsid w:val="375C149E"/>
    <w:rsid w:val="37661520"/>
    <w:rsid w:val="376D6AD7"/>
    <w:rsid w:val="377A445F"/>
    <w:rsid w:val="378745CE"/>
    <w:rsid w:val="37C10A46"/>
    <w:rsid w:val="37CF4241"/>
    <w:rsid w:val="37D731C4"/>
    <w:rsid w:val="37E1787F"/>
    <w:rsid w:val="382236A9"/>
    <w:rsid w:val="38333967"/>
    <w:rsid w:val="38745E40"/>
    <w:rsid w:val="38A21C69"/>
    <w:rsid w:val="3913341B"/>
    <w:rsid w:val="39B66575"/>
    <w:rsid w:val="39DB3025"/>
    <w:rsid w:val="39DD11C7"/>
    <w:rsid w:val="39F72665"/>
    <w:rsid w:val="3A297F99"/>
    <w:rsid w:val="3A330597"/>
    <w:rsid w:val="3A3E4899"/>
    <w:rsid w:val="3A573636"/>
    <w:rsid w:val="3AE971DC"/>
    <w:rsid w:val="3AEA40DA"/>
    <w:rsid w:val="3B3F5F91"/>
    <w:rsid w:val="3B710C4A"/>
    <w:rsid w:val="3B8F5F1D"/>
    <w:rsid w:val="3B9571B5"/>
    <w:rsid w:val="3C0E00E3"/>
    <w:rsid w:val="3C462A23"/>
    <w:rsid w:val="3C6276B5"/>
    <w:rsid w:val="3C6F2F88"/>
    <w:rsid w:val="3C8E605B"/>
    <w:rsid w:val="3CBD619F"/>
    <w:rsid w:val="3CD214A4"/>
    <w:rsid w:val="3CE86085"/>
    <w:rsid w:val="3D050399"/>
    <w:rsid w:val="3D0C07CC"/>
    <w:rsid w:val="3D246B92"/>
    <w:rsid w:val="3D4E3EEA"/>
    <w:rsid w:val="3D524231"/>
    <w:rsid w:val="3D5E111B"/>
    <w:rsid w:val="3D717423"/>
    <w:rsid w:val="3D965CF5"/>
    <w:rsid w:val="3DC5089D"/>
    <w:rsid w:val="3DD11D6D"/>
    <w:rsid w:val="3DF77A2B"/>
    <w:rsid w:val="3E307920"/>
    <w:rsid w:val="3E852FBF"/>
    <w:rsid w:val="3E9D48FE"/>
    <w:rsid w:val="3EE41BA3"/>
    <w:rsid w:val="3EF35906"/>
    <w:rsid w:val="3F0D30A9"/>
    <w:rsid w:val="3F1148FE"/>
    <w:rsid w:val="3F256FCF"/>
    <w:rsid w:val="3F3527A0"/>
    <w:rsid w:val="3F4134E7"/>
    <w:rsid w:val="3F6B5EC9"/>
    <w:rsid w:val="3F9D4D08"/>
    <w:rsid w:val="3FC96038"/>
    <w:rsid w:val="3FD16A7D"/>
    <w:rsid w:val="3FFB61EA"/>
    <w:rsid w:val="4066212B"/>
    <w:rsid w:val="40A37B55"/>
    <w:rsid w:val="40B83446"/>
    <w:rsid w:val="40C114C5"/>
    <w:rsid w:val="410C1027"/>
    <w:rsid w:val="41375D5C"/>
    <w:rsid w:val="4142645B"/>
    <w:rsid w:val="41850DB7"/>
    <w:rsid w:val="41A87195"/>
    <w:rsid w:val="41AF0BD2"/>
    <w:rsid w:val="41EC2367"/>
    <w:rsid w:val="42115511"/>
    <w:rsid w:val="422668CD"/>
    <w:rsid w:val="422760A2"/>
    <w:rsid w:val="42534C3B"/>
    <w:rsid w:val="425B37D7"/>
    <w:rsid w:val="42727330"/>
    <w:rsid w:val="42C83932"/>
    <w:rsid w:val="42FA21F3"/>
    <w:rsid w:val="430861A8"/>
    <w:rsid w:val="43317537"/>
    <w:rsid w:val="434E0670"/>
    <w:rsid w:val="436033FD"/>
    <w:rsid w:val="437454B8"/>
    <w:rsid w:val="43A6603D"/>
    <w:rsid w:val="43D33A27"/>
    <w:rsid w:val="43F374E1"/>
    <w:rsid w:val="43F85AE9"/>
    <w:rsid w:val="440D1304"/>
    <w:rsid w:val="442F09E7"/>
    <w:rsid w:val="448B2102"/>
    <w:rsid w:val="44940547"/>
    <w:rsid w:val="44A00A8D"/>
    <w:rsid w:val="44B82952"/>
    <w:rsid w:val="44C7427E"/>
    <w:rsid w:val="44DD5696"/>
    <w:rsid w:val="44DF6B41"/>
    <w:rsid w:val="44E07DA9"/>
    <w:rsid w:val="45281D43"/>
    <w:rsid w:val="45335214"/>
    <w:rsid w:val="454A5A39"/>
    <w:rsid w:val="454D6685"/>
    <w:rsid w:val="45551C20"/>
    <w:rsid w:val="45584558"/>
    <w:rsid w:val="45807E5F"/>
    <w:rsid w:val="46281C71"/>
    <w:rsid w:val="4644155C"/>
    <w:rsid w:val="464C7A0A"/>
    <w:rsid w:val="465D1118"/>
    <w:rsid w:val="46832798"/>
    <w:rsid w:val="468C0194"/>
    <w:rsid w:val="468C16B6"/>
    <w:rsid w:val="46DC3412"/>
    <w:rsid w:val="46DD7564"/>
    <w:rsid w:val="46F75133"/>
    <w:rsid w:val="47395273"/>
    <w:rsid w:val="477F1823"/>
    <w:rsid w:val="4796681B"/>
    <w:rsid w:val="47CF2CDA"/>
    <w:rsid w:val="47DF26CA"/>
    <w:rsid w:val="4826397C"/>
    <w:rsid w:val="482F4773"/>
    <w:rsid w:val="483C45D9"/>
    <w:rsid w:val="485028E9"/>
    <w:rsid w:val="4854153E"/>
    <w:rsid w:val="487A3C53"/>
    <w:rsid w:val="4896168C"/>
    <w:rsid w:val="48985D43"/>
    <w:rsid w:val="48993F2F"/>
    <w:rsid w:val="48BF75E9"/>
    <w:rsid w:val="48E77DC2"/>
    <w:rsid w:val="48FE7D8C"/>
    <w:rsid w:val="48FF43CC"/>
    <w:rsid w:val="49046DB1"/>
    <w:rsid w:val="49434851"/>
    <w:rsid w:val="498340DE"/>
    <w:rsid w:val="49854D27"/>
    <w:rsid w:val="49956BA5"/>
    <w:rsid w:val="499D56E4"/>
    <w:rsid w:val="49AA165D"/>
    <w:rsid w:val="49C34F40"/>
    <w:rsid w:val="49C72286"/>
    <w:rsid w:val="49D02248"/>
    <w:rsid w:val="4A304EF0"/>
    <w:rsid w:val="4A3937F4"/>
    <w:rsid w:val="4A4D3738"/>
    <w:rsid w:val="4A8D6628"/>
    <w:rsid w:val="4AFE4B84"/>
    <w:rsid w:val="4B0A27A6"/>
    <w:rsid w:val="4B3A2221"/>
    <w:rsid w:val="4B481E29"/>
    <w:rsid w:val="4B512AF8"/>
    <w:rsid w:val="4B7B065D"/>
    <w:rsid w:val="4B995255"/>
    <w:rsid w:val="4C215FEA"/>
    <w:rsid w:val="4C2D7AA3"/>
    <w:rsid w:val="4C334878"/>
    <w:rsid w:val="4C862BC5"/>
    <w:rsid w:val="4C8675D6"/>
    <w:rsid w:val="4CB41961"/>
    <w:rsid w:val="4CB9317B"/>
    <w:rsid w:val="4CC576E6"/>
    <w:rsid w:val="4D027F2D"/>
    <w:rsid w:val="4D0352A4"/>
    <w:rsid w:val="4D426DCC"/>
    <w:rsid w:val="4D4704CE"/>
    <w:rsid w:val="4D660512"/>
    <w:rsid w:val="4D7E0719"/>
    <w:rsid w:val="4D8059D9"/>
    <w:rsid w:val="4D862070"/>
    <w:rsid w:val="4DA8115C"/>
    <w:rsid w:val="4DAB664E"/>
    <w:rsid w:val="4DBF294C"/>
    <w:rsid w:val="4DC51DCF"/>
    <w:rsid w:val="4DCB4792"/>
    <w:rsid w:val="4DED6643"/>
    <w:rsid w:val="4E05479A"/>
    <w:rsid w:val="4E440F3E"/>
    <w:rsid w:val="4E46628A"/>
    <w:rsid w:val="4E730C9B"/>
    <w:rsid w:val="4E842F45"/>
    <w:rsid w:val="4E970DE7"/>
    <w:rsid w:val="4EF211BF"/>
    <w:rsid w:val="4F0E1B24"/>
    <w:rsid w:val="4F222927"/>
    <w:rsid w:val="4F4B61FB"/>
    <w:rsid w:val="4F542886"/>
    <w:rsid w:val="4F617550"/>
    <w:rsid w:val="4F8B540A"/>
    <w:rsid w:val="4F91648F"/>
    <w:rsid w:val="4FA60793"/>
    <w:rsid w:val="4FC95635"/>
    <w:rsid w:val="50035C8E"/>
    <w:rsid w:val="506C7AC2"/>
    <w:rsid w:val="5080428C"/>
    <w:rsid w:val="50C1262F"/>
    <w:rsid w:val="50E7187A"/>
    <w:rsid w:val="50E9762E"/>
    <w:rsid w:val="5129009E"/>
    <w:rsid w:val="51C24A5B"/>
    <w:rsid w:val="51CF618A"/>
    <w:rsid w:val="51D71171"/>
    <w:rsid w:val="51FE362F"/>
    <w:rsid w:val="52174D8F"/>
    <w:rsid w:val="52547F4D"/>
    <w:rsid w:val="526E11F4"/>
    <w:rsid w:val="52786F2D"/>
    <w:rsid w:val="52921641"/>
    <w:rsid w:val="52B5478E"/>
    <w:rsid w:val="52DC42B6"/>
    <w:rsid w:val="52DE59CE"/>
    <w:rsid w:val="531D54F1"/>
    <w:rsid w:val="53205276"/>
    <w:rsid w:val="53294FF3"/>
    <w:rsid w:val="5330636B"/>
    <w:rsid w:val="534A1160"/>
    <w:rsid w:val="53512C80"/>
    <w:rsid w:val="535F0A8D"/>
    <w:rsid w:val="53645250"/>
    <w:rsid w:val="540A67B1"/>
    <w:rsid w:val="54300435"/>
    <w:rsid w:val="54B06990"/>
    <w:rsid w:val="54C90D68"/>
    <w:rsid w:val="54CA5239"/>
    <w:rsid w:val="550C6C06"/>
    <w:rsid w:val="55BC5F67"/>
    <w:rsid w:val="55C513F3"/>
    <w:rsid w:val="55D4054E"/>
    <w:rsid w:val="55E36D55"/>
    <w:rsid w:val="5609059E"/>
    <w:rsid w:val="561F5365"/>
    <w:rsid w:val="562E1187"/>
    <w:rsid w:val="5633058E"/>
    <w:rsid w:val="564F2BFA"/>
    <w:rsid w:val="567809D2"/>
    <w:rsid w:val="56A41371"/>
    <w:rsid w:val="56CA2268"/>
    <w:rsid w:val="56F96718"/>
    <w:rsid w:val="577D5EA0"/>
    <w:rsid w:val="578328BB"/>
    <w:rsid w:val="57C1141A"/>
    <w:rsid w:val="5816764B"/>
    <w:rsid w:val="58224156"/>
    <w:rsid w:val="58924CF4"/>
    <w:rsid w:val="58AB2E50"/>
    <w:rsid w:val="58C7224A"/>
    <w:rsid w:val="58CD434F"/>
    <w:rsid w:val="58E72164"/>
    <w:rsid w:val="58FE6C5C"/>
    <w:rsid w:val="5902716A"/>
    <w:rsid w:val="59226FB8"/>
    <w:rsid w:val="59246FFB"/>
    <w:rsid w:val="592A12B7"/>
    <w:rsid w:val="59304122"/>
    <w:rsid w:val="593225F7"/>
    <w:rsid w:val="597D48A3"/>
    <w:rsid w:val="59AD307A"/>
    <w:rsid w:val="59B724EC"/>
    <w:rsid w:val="59C840F4"/>
    <w:rsid w:val="59DB3F9C"/>
    <w:rsid w:val="5A1173B6"/>
    <w:rsid w:val="5A425BA2"/>
    <w:rsid w:val="5A6019EF"/>
    <w:rsid w:val="5A626F63"/>
    <w:rsid w:val="5A7067A9"/>
    <w:rsid w:val="5A7D6AAB"/>
    <w:rsid w:val="5A990AB2"/>
    <w:rsid w:val="5AA84BC6"/>
    <w:rsid w:val="5AAA4F2D"/>
    <w:rsid w:val="5AB90DE8"/>
    <w:rsid w:val="5ABB68EE"/>
    <w:rsid w:val="5ACB204C"/>
    <w:rsid w:val="5AE75CDA"/>
    <w:rsid w:val="5B1D3347"/>
    <w:rsid w:val="5B48731F"/>
    <w:rsid w:val="5B722075"/>
    <w:rsid w:val="5B7D7B7D"/>
    <w:rsid w:val="5B9D75E7"/>
    <w:rsid w:val="5BA153DF"/>
    <w:rsid w:val="5BEB5A8A"/>
    <w:rsid w:val="5BFA2C11"/>
    <w:rsid w:val="5C3351EC"/>
    <w:rsid w:val="5C6C70AF"/>
    <w:rsid w:val="5C746FE6"/>
    <w:rsid w:val="5C8C11C0"/>
    <w:rsid w:val="5D791381"/>
    <w:rsid w:val="5D8A467B"/>
    <w:rsid w:val="5DF75DF6"/>
    <w:rsid w:val="5E1937EB"/>
    <w:rsid w:val="5E887FFD"/>
    <w:rsid w:val="5E963C64"/>
    <w:rsid w:val="5ED24150"/>
    <w:rsid w:val="5EF10CDC"/>
    <w:rsid w:val="5EFB1D76"/>
    <w:rsid w:val="5F0A6318"/>
    <w:rsid w:val="5F3351C4"/>
    <w:rsid w:val="5F78740A"/>
    <w:rsid w:val="5F952225"/>
    <w:rsid w:val="5FAE1004"/>
    <w:rsid w:val="5FAF2421"/>
    <w:rsid w:val="5FB73F00"/>
    <w:rsid w:val="5FC470E9"/>
    <w:rsid w:val="5FCF1B1B"/>
    <w:rsid w:val="5FD006C1"/>
    <w:rsid w:val="5FE35E6C"/>
    <w:rsid w:val="60091DE1"/>
    <w:rsid w:val="603958BC"/>
    <w:rsid w:val="60567FB2"/>
    <w:rsid w:val="605B50BB"/>
    <w:rsid w:val="607A1E92"/>
    <w:rsid w:val="60952AEC"/>
    <w:rsid w:val="60A517E7"/>
    <w:rsid w:val="60C57B46"/>
    <w:rsid w:val="6127478A"/>
    <w:rsid w:val="612939A8"/>
    <w:rsid w:val="6144585D"/>
    <w:rsid w:val="61597BB9"/>
    <w:rsid w:val="6165468C"/>
    <w:rsid w:val="618C79FD"/>
    <w:rsid w:val="6192761B"/>
    <w:rsid w:val="61AE057B"/>
    <w:rsid w:val="61CB7D5D"/>
    <w:rsid w:val="621133AF"/>
    <w:rsid w:val="6217771E"/>
    <w:rsid w:val="622C2EC4"/>
    <w:rsid w:val="62387DDA"/>
    <w:rsid w:val="624A0B64"/>
    <w:rsid w:val="627339F7"/>
    <w:rsid w:val="62813722"/>
    <w:rsid w:val="628B7799"/>
    <w:rsid w:val="62B77B57"/>
    <w:rsid w:val="62BA2655"/>
    <w:rsid w:val="62E02A69"/>
    <w:rsid w:val="630432EB"/>
    <w:rsid w:val="63345805"/>
    <w:rsid w:val="634D019D"/>
    <w:rsid w:val="635D5B18"/>
    <w:rsid w:val="63660F07"/>
    <w:rsid w:val="63693D46"/>
    <w:rsid w:val="639F542F"/>
    <w:rsid w:val="63AE6299"/>
    <w:rsid w:val="63CD46DA"/>
    <w:rsid w:val="63DC594C"/>
    <w:rsid w:val="63F71627"/>
    <w:rsid w:val="641E79ED"/>
    <w:rsid w:val="64210F10"/>
    <w:rsid w:val="64505C29"/>
    <w:rsid w:val="645C6554"/>
    <w:rsid w:val="646E16CF"/>
    <w:rsid w:val="64892AEA"/>
    <w:rsid w:val="64B02DB8"/>
    <w:rsid w:val="64CA29C0"/>
    <w:rsid w:val="64E7216F"/>
    <w:rsid w:val="64F15B67"/>
    <w:rsid w:val="64FA6E62"/>
    <w:rsid w:val="65997BDA"/>
    <w:rsid w:val="659E510A"/>
    <w:rsid w:val="65AB16E6"/>
    <w:rsid w:val="65CF6525"/>
    <w:rsid w:val="65D15607"/>
    <w:rsid w:val="65D952FA"/>
    <w:rsid w:val="65E30BC3"/>
    <w:rsid w:val="65E82782"/>
    <w:rsid w:val="660657A6"/>
    <w:rsid w:val="66085ED1"/>
    <w:rsid w:val="668B3889"/>
    <w:rsid w:val="66A77B13"/>
    <w:rsid w:val="66AE5A0C"/>
    <w:rsid w:val="66C716A8"/>
    <w:rsid w:val="66D82D48"/>
    <w:rsid w:val="66FC48A5"/>
    <w:rsid w:val="6736588B"/>
    <w:rsid w:val="67415492"/>
    <w:rsid w:val="67513739"/>
    <w:rsid w:val="67535B55"/>
    <w:rsid w:val="6781182A"/>
    <w:rsid w:val="679C1499"/>
    <w:rsid w:val="67EB648E"/>
    <w:rsid w:val="689F7A0A"/>
    <w:rsid w:val="68A03078"/>
    <w:rsid w:val="68AF3772"/>
    <w:rsid w:val="68C67924"/>
    <w:rsid w:val="68DB7DC4"/>
    <w:rsid w:val="68E95C0C"/>
    <w:rsid w:val="68EB0759"/>
    <w:rsid w:val="68EC35D0"/>
    <w:rsid w:val="68F000E9"/>
    <w:rsid w:val="69531456"/>
    <w:rsid w:val="696B0E36"/>
    <w:rsid w:val="69922DA7"/>
    <w:rsid w:val="69A65283"/>
    <w:rsid w:val="69AD6362"/>
    <w:rsid w:val="69B5028C"/>
    <w:rsid w:val="69BB5530"/>
    <w:rsid w:val="69D029AD"/>
    <w:rsid w:val="69D827A0"/>
    <w:rsid w:val="69E919BC"/>
    <w:rsid w:val="6A01485B"/>
    <w:rsid w:val="6A033735"/>
    <w:rsid w:val="6A2C6521"/>
    <w:rsid w:val="6A4529C4"/>
    <w:rsid w:val="6A561B3B"/>
    <w:rsid w:val="6AAE4A12"/>
    <w:rsid w:val="6AB40CD8"/>
    <w:rsid w:val="6AC055B0"/>
    <w:rsid w:val="6ADC13E0"/>
    <w:rsid w:val="6ADD5ED6"/>
    <w:rsid w:val="6AFC57AE"/>
    <w:rsid w:val="6AFE07BE"/>
    <w:rsid w:val="6B2E72E5"/>
    <w:rsid w:val="6B3C10C9"/>
    <w:rsid w:val="6B990753"/>
    <w:rsid w:val="6BCB0605"/>
    <w:rsid w:val="6BE41875"/>
    <w:rsid w:val="6C0865AE"/>
    <w:rsid w:val="6C4378B8"/>
    <w:rsid w:val="6C616A4A"/>
    <w:rsid w:val="6C7035EC"/>
    <w:rsid w:val="6C7F1D4E"/>
    <w:rsid w:val="6C880AEE"/>
    <w:rsid w:val="6C990325"/>
    <w:rsid w:val="6CCC3940"/>
    <w:rsid w:val="6CDB2A35"/>
    <w:rsid w:val="6D210A16"/>
    <w:rsid w:val="6D245643"/>
    <w:rsid w:val="6D2B6D6A"/>
    <w:rsid w:val="6D504F5C"/>
    <w:rsid w:val="6D6F33E3"/>
    <w:rsid w:val="6D7D7B9F"/>
    <w:rsid w:val="6D9025C6"/>
    <w:rsid w:val="6D9A64EC"/>
    <w:rsid w:val="6DC4645F"/>
    <w:rsid w:val="6DC90AF1"/>
    <w:rsid w:val="6DC957D7"/>
    <w:rsid w:val="6DDD5D50"/>
    <w:rsid w:val="6E531995"/>
    <w:rsid w:val="6E754D20"/>
    <w:rsid w:val="6EBC3215"/>
    <w:rsid w:val="6EC05055"/>
    <w:rsid w:val="6EDA7BC3"/>
    <w:rsid w:val="6EFC2EBD"/>
    <w:rsid w:val="6F025041"/>
    <w:rsid w:val="6FB74CCA"/>
    <w:rsid w:val="6FC44F57"/>
    <w:rsid w:val="6FE65DE8"/>
    <w:rsid w:val="6FEE78FE"/>
    <w:rsid w:val="7028206E"/>
    <w:rsid w:val="70520530"/>
    <w:rsid w:val="708B239F"/>
    <w:rsid w:val="708D5B3A"/>
    <w:rsid w:val="70D33FDA"/>
    <w:rsid w:val="70EF3118"/>
    <w:rsid w:val="70FF0CF5"/>
    <w:rsid w:val="71051FD4"/>
    <w:rsid w:val="71252DFC"/>
    <w:rsid w:val="713F001A"/>
    <w:rsid w:val="7155475D"/>
    <w:rsid w:val="715F4E00"/>
    <w:rsid w:val="717702F6"/>
    <w:rsid w:val="71A93F59"/>
    <w:rsid w:val="71B76F26"/>
    <w:rsid w:val="71D12AFB"/>
    <w:rsid w:val="71D46576"/>
    <w:rsid w:val="71E0579B"/>
    <w:rsid w:val="71E65FF7"/>
    <w:rsid w:val="722D4198"/>
    <w:rsid w:val="725D5BC7"/>
    <w:rsid w:val="727E23D5"/>
    <w:rsid w:val="7286186C"/>
    <w:rsid w:val="72932BA2"/>
    <w:rsid w:val="72B60F0A"/>
    <w:rsid w:val="72BA51AC"/>
    <w:rsid w:val="730316AD"/>
    <w:rsid w:val="731529DD"/>
    <w:rsid w:val="736D597F"/>
    <w:rsid w:val="738F6CD0"/>
    <w:rsid w:val="73950DA1"/>
    <w:rsid w:val="73A132F2"/>
    <w:rsid w:val="73C2108D"/>
    <w:rsid w:val="742B660D"/>
    <w:rsid w:val="74831009"/>
    <w:rsid w:val="74C87910"/>
    <w:rsid w:val="74E4741B"/>
    <w:rsid w:val="74E55CE0"/>
    <w:rsid w:val="74F963F6"/>
    <w:rsid w:val="74FB43B9"/>
    <w:rsid w:val="75185F09"/>
    <w:rsid w:val="75931D2D"/>
    <w:rsid w:val="75A85F0E"/>
    <w:rsid w:val="75AB2504"/>
    <w:rsid w:val="75D81870"/>
    <w:rsid w:val="760B0319"/>
    <w:rsid w:val="763919B5"/>
    <w:rsid w:val="763F2FAF"/>
    <w:rsid w:val="76660C81"/>
    <w:rsid w:val="766A04A2"/>
    <w:rsid w:val="767E4265"/>
    <w:rsid w:val="76CA5CFA"/>
    <w:rsid w:val="76FB62DD"/>
    <w:rsid w:val="77357C80"/>
    <w:rsid w:val="776B7D3C"/>
    <w:rsid w:val="77782B3A"/>
    <w:rsid w:val="77800FA9"/>
    <w:rsid w:val="779633BF"/>
    <w:rsid w:val="77A66B47"/>
    <w:rsid w:val="77B858BB"/>
    <w:rsid w:val="77CF707E"/>
    <w:rsid w:val="77D5280E"/>
    <w:rsid w:val="77DF5F15"/>
    <w:rsid w:val="77F70A7A"/>
    <w:rsid w:val="781A12A8"/>
    <w:rsid w:val="785D3DA9"/>
    <w:rsid w:val="78663C24"/>
    <w:rsid w:val="787D28A9"/>
    <w:rsid w:val="78A82826"/>
    <w:rsid w:val="78EE2F7E"/>
    <w:rsid w:val="78FC4E92"/>
    <w:rsid w:val="79011D49"/>
    <w:rsid w:val="7916740E"/>
    <w:rsid w:val="797E3A72"/>
    <w:rsid w:val="79B448AC"/>
    <w:rsid w:val="79C55598"/>
    <w:rsid w:val="79C7760B"/>
    <w:rsid w:val="79D07EAE"/>
    <w:rsid w:val="79E87D14"/>
    <w:rsid w:val="7A090523"/>
    <w:rsid w:val="7A3C1EA9"/>
    <w:rsid w:val="7A4F21D3"/>
    <w:rsid w:val="7A8F5EE6"/>
    <w:rsid w:val="7B01564A"/>
    <w:rsid w:val="7B1F38CF"/>
    <w:rsid w:val="7B355661"/>
    <w:rsid w:val="7B526BB1"/>
    <w:rsid w:val="7B612BEA"/>
    <w:rsid w:val="7B74543C"/>
    <w:rsid w:val="7BCD1E8A"/>
    <w:rsid w:val="7BED5719"/>
    <w:rsid w:val="7BFA5380"/>
    <w:rsid w:val="7C2922A7"/>
    <w:rsid w:val="7C2F70BD"/>
    <w:rsid w:val="7C586E04"/>
    <w:rsid w:val="7C5D0B4C"/>
    <w:rsid w:val="7CAF69A7"/>
    <w:rsid w:val="7CC1461F"/>
    <w:rsid w:val="7CC17E51"/>
    <w:rsid w:val="7CD048A0"/>
    <w:rsid w:val="7CEE6401"/>
    <w:rsid w:val="7D3C3E02"/>
    <w:rsid w:val="7D7A210A"/>
    <w:rsid w:val="7D8C5754"/>
    <w:rsid w:val="7DDE2F13"/>
    <w:rsid w:val="7DE874C1"/>
    <w:rsid w:val="7E0B7018"/>
    <w:rsid w:val="7E5D3893"/>
    <w:rsid w:val="7E7C1076"/>
    <w:rsid w:val="7EB92C41"/>
    <w:rsid w:val="7ED43DED"/>
    <w:rsid w:val="7EE37FD0"/>
    <w:rsid w:val="7F1C2AD2"/>
    <w:rsid w:val="7F3070C6"/>
    <w:rsid w:val="7F401A7F"/>
    <w:rsid w:val="7F673F2F"/>
    <w:rsid w:val="7F847800"/>
    <w:rsid w:val="7F9654A9"/>
    <w:rsid w:val="7FA13052"/>
    <w:rsid w:val="7FBD264A"/>
    <w:rsid w:val="7FC34E84"/>
    <w:rsid w:val="7FF92A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723" w:firstLineChars="200"/>
      <w:jc w:val="both"/>
    </w:pPr>
    <w:rPr>
      <w:rFonts w:ascii="仿宋" w:hAnsi="仿宋" w:eastAsia="仿宋" w:cs="仿宋"/>
      <w:kern w:val="2"/>
      <w:sz w:val="32"/>
      <w:szCs w:val="32"/>
      <w:lang w:val="en-US" w:eastAsia="zh-CN" w:bidi="ar-SA"/>
    </w:rPr>
  </w:style>
  <w:style w:type="paragraph" w:styleId="3">
    <w:name w:val="heading 1"/>
    <w:next w:val="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 w:val="0"/>
      <w:autoSpaceDE w:val="0"/>
      <w:autoSpaceDN w:val="0"/>
      <w:adjustRightInd w:val="0"/>
      <w:spacing w:line="360" w:lineRule="auto"/>
      <w:jc w:val="center"/>
      <w:outlineLvl w:val="1"/>
    </w:pPr>
    <w:rPr>
      <w:rFonts w:ascii="楷体_GB2312" w:hAnsi="华文楷体" w:eastAsia="楷体_GB2312" w:cs="Times New Roman"/>
      <w:b/>
      <w:kern w:val="2"/>
      <w:sz w:val="30"/>
      <w:szCs w:val="30"/>
      <w:lang w:val="zh-CN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next w:val="1"/>
    <w:qFormat/>
    <w:uiPriority w:val="0"/>
    <w:pPr>
      <w:widowControl w:val="0"/>
      <w:spacing w:before="120" w:after="120"/>
      <w:jc w:val="left"/>
    </w:pPr>
    <w:rPr>
      <w:rFonts w:ascii="Times New Roman" w:hAnsi="Times New Roman" w:eastAsia="宋体" w:cs="Times New Roman"/>
      <w:b/>
      <w:bCs/>
      <w:caps/>
      <w:kern w:val="2"/>
      <w:sz w:val="20"/>
      <w:szCs w:val="20"/>
      <w:lang w:val="en-US" w:eastAsia="zh-CN" w:bidi="ar-SA"/>
    </w:rPr>
  </w:style>
  <w:style w:type="paragraph" w:styleId="8">
    <w:name w:val="toc 2"/>
    <w:next w:val="1"/>
    <w:qFormat/>
    <w:uiPriority w:val="0"/>
    <w:pPr>
      <w:widowControl w:val="0"/>
      <w:tabs>
        <w:tab w:val="right" w:leader="dot" w:pos="9180"/>
      </w:tabs>
      <w:autoSpaceDE w:val="0"/>
      <w:autoSpaceDN w:val="0"/>
      <w:adjustRightInd w:val="0"/>
      <w:spacing w:line="440" w:lineRule="exact"/>
      <w:ind w:left="420" w:leftChars="200"/>
      <w:jc w:val="left"/>
    </w:pPr>
    <w:rPr>
      <w:rFonts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styleId="9">
    <w:name w:val="Normal (Web)"/>
    <w:basedOn w:val="1"/>
    <w:unhideWhenUsed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  <w:lang w:val="en-US" w:eastAsia="zh-CN" w:bidi="ar-SA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正文缩进2字符"/>
    <w:qFormat/>
    <w:uiPriority w:val="0"/>
    <w:pPr>
      <w:widowControl/>
      <w:spacing w:before="100" w:beforeAutospacing="1" w:after="100" w:afterAutospacing="1" w:line="300" w:lineRule="auto"/>
      <w:ind w:left="357" w:firstLine="420" w:firstLineChars="200"/>
      <w:jc w:val="left"/>
    </w:pPr>
    <w:rPr>
      <w:rFonts w:ascii="ˎ̥" w:hAnsi="ˎ̥" w:eastAsia="宋体" w:cs="黑体"/>
      <w:color w:val="51585D"/>
      <w:kern w:val="0"/>
      <w:sz w:val="20"/>
      <w:szCs w:val="20"/>
      <w:lang w:val="en-US" w:eastAsia="zh-CN" w:bidi="ar-SA"/>
    </w:rPr>
  </w:style>
  <w:style w:type="paragraph" w:customStyle="1" w:styleId="14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5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6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1416</Words>
  <Characters>1479</Characters>
  <Lines>0</Lines>
  <Paragraphs>0</Paragraphs>
  <TotalTime>0</TotalTime>
  <ScaleCrop>false</ScaleCrop>
  <LinksUpToDate>false</LinksUpToDate>
  <CharactersWithSpaces>1521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2021-07-27T08:17:00Z</dcterms:created>
  <dc:creator>杨帆</dc:creator>
  <cp:lastModifiedBy>曹占国</cp:lastModifiedBy>
  <cp:lastPrinted>2026-07-23T09:16:00Z</cp:lastPrinted>
  <dcterms:modified xsi:type="dcterms:W3CDTF">2026-07-29T08:19:49Z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2B7BCB5D5EE6430FB77991EE954D07FF</vt:lpwstr>
  </property>
</Properties>
</file>