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0DA33D"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2026年南方电网科学研究院</w:t>
      </w:r>
      <w:r>
        <w:rPr>
          <w:rFonts w:hint="eastAsia"/>
          <w:sz w:val="30"/>
          <w:szCs w:val="30"/>
          <w:lang w:eastAsia="zh-CN"/>
        </w:rPr>
        <w:t>香雪检测基地安健环标识设计制作服务</w:t>
      </w:r>
      <w:r>
        <w:rPr>
          <w:rFonts w:hint="eastAsia"/>
          <w:sz w:val="30"/>
          <w:szCs w:val="30"/>
        </w:rPr>
        <w:t>零星采购技术附件</w:t>
      </w:r>
    </w:p>
    <w:p w14:paraId="11E6D415">
      <w:pPr>
        <w:rPr>
          <w:rFonts w:hint="eastAsia"/>
        </w:rPr>
      </w:pPr>
      <w:r>
        <w:rPr>
          <w:rFonts w:hint="eastAsia"/>
        </w:rPr>
        <w:t xml:space="preserve"> </w:t>
      </w:r>
    </w:p>
    <w:p w14:paraId="341DEB9D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一、项目基本信息</w:t>
      </w:r>
    </w:p>
    <w:p w14:paraId="442035AC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69FE71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32"/>
        </w:rPr>
        <w:t>南方电网科学研究院实验检测中心（香雪</w:t>
      </w:r>
      <w:r>
        <w:rPr>
          <w:rFonts w:hint="eastAsia"/>
          <w:sz w:val="24"/>
          <w:szCs w:val="32"/>
          <w:lang w:val="en-US" w:eastAsia="zh-CN"/>
        </w:rPr>
        <w:t>检测</w:t>
      </w:r>
      <w:r>
        <w:rPr>
          <w:rFonts w:hint="eastAsia"/>
          <w:sz w:val="24"/>
          <w:szCs w:val="32"/>
        </w:rPr>
        <w:t>基地）已全面建成并投入使用，</w:t>
      </w:r>
      <w:r>
        <w:rPr>
          <w:rFonts w:hint="eastAsia"/>
          <w:sz w:val="24"/>
          <w:szCs w:val="32"/>
          <w:lang w:val="en-US" w:eastAsia="zh-CN"/>
        </w:rPr>
        <w:t>园区占地约15亩，总建筑面积约11500㎡，包含一次设备检测区、二次设备检测区、业务大厅、低压配电房、公共道路</w:t>
      </w:r>
      <w:r>
        <w:rPr>
          <w:rFonts w:hint="eastAsia"/>
          <w:sz w:val="24"/>
          <w:szCs w:val="32"/>
        </w:rPr>
        <w:t>、</w:t>
      </w:r>
      <w:r>
        <w:rPr>
          <w:rFonts w:hint="eastAsia"/>
          <w:sz w:val="24"/>
          <w:szCs w:val="32"/>
          <w:lang w:val="en-US" w:eastAsia="zh-CN"/>
        </w:rPr>
        <w:t>停车场、公共道路等</w:t>
      </w:r>
      <w:r>
        <w:rPr>
          <w:rFonts w:hint="eastAsia"/>
          <w:sz w:val="24"/>
          <w:szCs w:val="32"/>
        </w:rPr>
        <w:t>多个</w:t>
      </w:r>
      <w:r>
        <w:rPr>
          <w:rFonts w:hint="eastAsia"/>
          <w:sz w:val="24"/>
          <w:szCs w:val="32"/>
          <w:lang w:val="en-US" w:eastAsia="zh-CN"/>
        </w:rPr>
        <w:t>功能区域。</w:t>
      </w:r>
      <w:r>
        <w:rPr>
          <w:rFonts w:hint="eastAsia"/>
          <w:sz w:val="24"/>
          <w:szCs w:val="32"/>
        </w:rPr>
        <w:t>目前园区整体存在功能分区、通行指引</w:t>
      </w:r>
      <w:r>
        <w:rPr>
          <w:rFonts w:hint="eastAsia"/>
          <w:sz w:val="24"/>
          <w:szCs w:val="32"/>
          <w:lang w:eastAsia="zh-CN"/>
        </w:rPr>
        <w:t>、</w:t>
      </w:r>
      <w:r>
        <w:rPr>
          <w:rFonts w:hint="eastAsia"/>
          <w:sz w:val="24"/>
          <w:szCs w:val="32"/>
          <w:lang w:val="en-US" w:eastAsia="zh-CN"/>
        </w:rPr>
        <w:t>安全警示等标识缺失问题，</w:t>
      </w:r>
      <w:r>
        <w:rPr>
          <w:rFonts w:hint="eastAsia"/>
          <w:sz w:val="24"/>
          <w:szCs w:val="32"/>
        </w:rPr>
        <w:t>无法满足园区</w:t>
      </w:r>
      <w:r>
        <w:rPr>
          <w:rFonts w:hint="eastAsia"/>
          <w:sz w:val="24"/>
          <w:szCs w:val="32"/>
          <w:lang w:val="en-US" w:eastAsia="zh-CN"/>
        </w:rPr>
        <w:t>安全、规范</w:t>
      </w:r>
      <w:r>
        <w:rPr>
          <w:rFonts w:hint="eastAsia"/>
          <w:sz w:val="24"/>
          <w:szCs w:val="32"/>
        </w:rPr>
        <w:t>管理要求</w:t>
      </w:r>
      <w:r>
        <w:rPr>
          <w:rFonts w:hint="eastAsia"/>
          <w:sz w:val="24"/>
          <w:szCs w:val="32"/>
          <w:lang w:eastAsia="zh-CN"/>
        </w:rPr>
        <w:t>，</w:t>
      </w:r>
      <w:r>
        <w:rPr>
          <w:rFonts w:hint="eastAsia"/>
          <w:sz w:val="24"/>
          <w:szCs w:val="32"/>
          <w:lang w:val="en-US" w:eastAsia="zh-CN"/>
        </w:rPr>
        <w:t>需系统性开展园区安健环为支撑园区安全、规范运行，需系统</w:t>
      </w:r>
      <w:r>
        <w:rPr>
          <w:rFonts w:hint="eastAsia"/>
          <w:sz w:val="24"/>
          <w:szCs w:val="32"/>
        </w:rPr>
        <w:t>开展园区全套</w:t>
      </w:r>
      <w:r>
        <w:rPr>
          <w:rFonts w:hint="eastAsia"/>
          <w:sz w:val="24"/>
          <w:szCs w:val="32"/>
          <w:lang w:val="en-US" w:eastAsia="zh-CN"/>
        </w:rPr>
        <w:t>安健环标识</w:t>
      </w:r>
      <w:r>
        <w:rPr>
          <w:rFonts w:hint="eastAsia"/>
          <w:sz w:val="24"/>
          <w:szCs w:val="32"/>
        </w:rPr>
        <w:t>设计、制作、运输、安装、调试</w:t>
      </w:r>
      <w:r>
        <w:rPr>
          <w:rFonts w:hint="eastAsia"/>
          <w:sz w:val="24"/>
          <w:szCs w:val="32"/>
          <w:lang w:val="en-US" w:eastAsia="zh-CN"/>
        </w:rPr>
        <w:t>等</w:t>
      </w:r>
      <w:r>
        <w:rPr>
          <w:rFonts w:hint="eastAsia"/>
          <w:sz w:val="24"/>
          <w:szCs w:val="32"/>
        </w:rPr>
        <w:t>工作。</w:t>
      </w:r>
    </w:p>
    <w:p w14:paraId="19F9E110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21883CDA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二、项目实施地点</w:t>
      </w:r>
    </w:p>
    <w:p w14:paraId="66D330F5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07C2DE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广东省广州市黄埔区华立街3号南方电网科学研究院实验检测中心（香雪基地）</w:t>
      </w:r>
    </w:p>
    <w:p w14:paraId="1B37A3D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04F8F16F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三、采购服务范围及核心工作内容</w:t>
      </w:r>
    </w:p>
    <w:p w14:paraId="0049D2EA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47D2D4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本次采购为</w:t>
      </w:r>
      <w:r>
        <w:rPr>
          <w:rFonts w:hint="eastAsia"/>
          <w:sz w:val="24"/>
          <w:szCs w:val="32"/>
          <w:lang w:eastAsia="zh-CN"/>
        </w:rPr>
        <w:t>香雪检测基地</w:t>
      </w:r>
      <w:r>
        <w:rPr>
          <w:rFonts w:hint="eastAsia"/>
          <w:sz w:val="24"/>
          <w:szCs w:val="32"/>
        </w:rPr>
        <w:t>全新标识系统新建一体化服务，具体包括现场勘测点位规划、标识排版设计、全套标识定制制作、运输配送、现场安装固定、调平校正、防水加固、现场垃圾清运、成</w:t>
      </w:r>
      <w:bookmarkStart w:id="0" w:name="_GoBack"/>
      <w:bookmarkEnd w:id="0"/>
      <w:r>
        <w:rPr>
          <w:rFonts w:hint="eastAsia"/>
          <w:sz w:val="24"/>
          <w:szCs w:val="32"/>
        </w:rPr>
        <w:t>品验收、售后质保等全部工作内容</w:t>
      </w:r>
      <w:r>
        <w:rPr>
          <w:rFonts w:hint="eastAsia"/>
          <w:sz w:val="24"/>
          <w:szCs w:val="32"/>
          <w:lang w:eastAsia="zh-CN"/>
        </w:rPr>
        <w:t>，</w:t>
      </w:r>
      <w:r>
        <w:rPr>
          <w:rFonts w:hint="eastAsia"/>
          <w:sz w:val="24"/>
          <w:szCs w:val="32"/>
          <w:lang w:val="en-US" w:eastAsia="zh-CN"/>
        </w:rPr>
        <w:t>其中一次设备检测区层高15m，安装标识需配备高空作业车、脚手架及高空作业人员等</w:t>
      </w:r>
      <w:r>
        <w:rPr>
          <w:rFonts w:hint="eastAsia"/>
          <w:sz w:val="24"/>
          <w:szCs w:val="32"/>
        </w:rPr>
        <w:t>。</w:t>
      </w:r>
    </w:p>
    <w:p w14:paraId="6A0F3B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主要</w:t>
      </w:r>
      <w:r>
        <w:rPr>
          <w:rFonts w:hint="eastAsia"/>
          <w:sz w:val="24"/>
          <w:szCs w:val="32"/>
          <w:lang w:val="en-US" w:eastAsia="zh-CN"/>
        </w:rPr>
        <w:t>标识内容如下</w:t>
      </w:r>
      <w:r>
        <w:rPr>
          <w:rFonts w:hint="eastAsia"/>
          <w:sz w:val="24"/>
          <w:szCs w:val="32"/>
        </w:rPr>
        <w:t>：</w:t>
      </w:r>
    </w:p>
    <w:tbl>
      <w:tblPr>
        <w:tblStyle w:val="3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3"/>
        <w:gridCol w:w="2395"/>
        <w:gridCol w:w="1410"/>
        <w:gridCol w:w="1225"/>
        <w:gridCol w:w="1849"/>
      </w:tblGrid>
      <w:tr w14:paraId="261AD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  <w:vAlign w:val="center"/>
          </w:tcPr>
          <w:p w14:paraId="364DC660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471" w:type="pct"/>
            <w:vAlign w:val="center"/>
          </w:tcPr>
          <w:p w14:paraId="2CE0B257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标识类型</w:t>
            </w:r>
          </w:p>
        </w:tc>
        <w:tc>
          <w:tcPr>
            <w:tcW w:w="1406" w:type="pct"/>
            <w:vAlign w:val="center"/>
          </w:tcPr>
          <w:p w14:paraId="422138E5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标识名称</w:t>
            </w:r>
          </w:p>
        </w:tc>
        <w:tc>
          <w:tcPr>
            <w:tcW w:w="827" w:type="pct"/>
            <w:vAlign w:val="center"/>
          </w:tcPr>
          <w:p w14:paraId="62672EE4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尺寸（cm）</w:t>
            </w:r>
          </w:p>
        </w:tc>
        <w:tc>
          <w:tcPr>
            <w:tcW w:w="719" w:type="pct"/>
            <w:vAlign w:val="center"/>
          </w:tcPr>
          <w:p w14:paraId="6AC331B4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数量（套）</w:t>
            </w:r>
          </w:p>
        </w:tc>
        <w:tc>
          <w:tcPr>
            <w:tcW w:w="1085" w:type="pct"/>
            <w:vAlign w:val="center"/>
          </w:tcPr>
          <w:p w14:paraId="16FDA8F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材质</w:t>
            </w:r>
          </w:p>
        </w:tc>
      </w:tr>
      <w:tr w14:paraId="1F24F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  <w:vMerge w:val="restart"/>
            <w:vAlign w:val="center"/>
          </w:tcPr>
          <w:p w14:paraId="5F4809C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  <w:t>1</w:t>
            </w:r>
          </w:p>
        </w:tc>
        <w:tc>
          <w:tcPr>
            <w:tcW w:w="471" w:type="pct"/>
            <w:vMerge w:val="restart"/>
            <w:vAlign w:val="center"/>
          </w:tcPr>
          <w:p w14:paraId="3C5BF1C6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  <w:t>引导指示</w:t>
            </w:r>
          </w:p>
        </w:tc>
        <w:tc>
          <w:tcPr>
            <w:tcW w:w="1406" w:type="pct"/>
            <w:vAlign w:val="center"/>
          </w:tcPr>
          <w:p w14:paraId="2AF5D46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户外导览牌</w:t>
            </w:r>
          </w:p>
        </w:tc>
        <w:tc>
          <w:tcPr>
            <w:tcW w:w="827" w:type="pct"/>
            <w:vAlign w:val="center"/>
          </w:tcPr>
          <w:p w14:paraId="2967032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120*120</w:t>
            </w:r>
          </w:p>
        </w:tc>
        <w:tc>
          <w:tcPr>
            <w:tcW w:w="719" w:type="pct"/>
            <w:vAlign w:val="center"/>
          </w:tcPr>
          <w:p w14:paraId="36898BB1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1085" w:type="pct"/>
            <w:vAlign w:val="center"/>
          </w:tcPr>
          <w:p w14:paraId="658B26E5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金属</w:t>
            </w:r>
          </w:p>
        </w:tc>
      </w:tr>
      <w:tr w14:paraId="19163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  <w:vMerge w:val="continue"/>
            <w:vAlign w:val="center"/>
          </w:tcPr>
          <w:p w14:paraId="0C87C52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</w:p>
        </w:tc>
        <w:tc>
          <w:tcPr>
            <w:tcW w:w="471" w:type="pct"/>
            <w:vMerge w:val="continue"/>
            <w:vAlign w:val="center"/>
          </w:tcPr>
          <w:p w14:paraId="526774D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</w:p>
        </w:tc>
        <w:tc>
          <w:tcPr>
            <w:tcW w:w="1406" w:type="pct"/>
            <w:shd w:val="clear" w:color="auto" w:fill="auto"/>
            <w:vAlign w:val="center"/>
          </w:tcPr>
          <w:p w14:paraId="7F55E07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户外立体引导字</w:t>
            </w:r>
          </w:p>
        </w:tc>
        <w:tc>
          <w:tcPr>
            <w:tcW w:w="827" w:type="pct"/>
            <w:shd w:val="clear" w:color="auto" w:fill="auto"/>
            <w:vAlign w:val="center"/>
          </w:tcPr>
          <w:p w14:paraId="79666BC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170*90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6CFC2A74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20</w:t>
            </w:r>
          </w:p>
        </w:tc>
        <w:tc>
          <w:tcPr>
            <w:tcW w:w="1085" w:type="pct"/>
            <w:shd w:val="clear" w:color="auto" w:fill="auto"/>
            <w:vAlign w:val="center"/>
          </w:tcPr>
          <w:p w14:paraId="1FF7A7F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金属</w:t>
            </w:r>
          </w:p>
        </w:tc>
      </w:tr>
      <w:tr w14:paraId="5BBA5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  <w:vMerge w:val="continue"/>
            <w:vAlign w:val="center"/>
          </w:tcPr>
          <w:p w14:paraId="1EE3052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</w:p>
        </w:tc>
        <w:tc>
          <w:tcPr>
            <w:tcW w:w="471" w:type="pct"/>
            <w:vMerge w:val="continue"/>
            <w:vAlign w:val="center"/>
          </w:tcPr>
          <w:p w14:paraId="1F7116A2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</w:p>
        </w:tc>
        <w:tc>
          <w:tcPr>
            <w:tcW w:w="1406" w:type="pct"/>
            <w:shd w:val="clear" w:color="auto" w:fill="auto"/>
            <w:vAlign w:val="center"/>
          </w:tcPr>
          <w:p w14:paraId="4B6B0E91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户外双面引导立牌</w:t>
            </w:r>
          </w:p>
        </w:tc>
        <w:tc>
          <w:tcPr>
            <w:tcW w:w="827" w:type="pct"/>
            <w:shd w:val="clear" w:color="auto" w:fill="auto"/>
            <w:vAlign w:val="center"/>
          </w:tcPr>
          <w:p w14:paraId="7C1F150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50x50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03D37AA1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1085" w:type="pct"/>
            <w:shd w:val="clear" w:color="auto" w:fill="auto"/>
            <w:vAlign w:val="center"/>
          </w:tcPr>
          <w:p w14:paraId="0098E03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金属</w:t>
            </w:r>
          </w:p>
        </w:tc>
      </w:tr>
      <w:tr w14:paraId="763BC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  <w:vMerge w:val="restart"/>
            <w:vAlign w:val="center"/>
          </w:tcPr>
          <w:p w14:paraId="37F00DE7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  <w:t>2</w:t>
            </w:r>
          </w:p>
        </w:tc>
        <w:tc>
          <w:tcPr>
            <w:tcW w:w="471" w:type="pct"/>
            <w:vMerge w:val="restart"/>
            <w:vAlign w:val="center"/>
          </w:tcPr>
          <w:p w14:paraId="2332307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  <w:t>安全警示</w:t>
            </w:r>
          </w:p>
        </w:tc>
        <w:tc>
          <w:tcPr>
            <w:tcW w:w="1406" w:type="pct"/>
            <w:shd w:val="clear" w:color="auto" w:fill="auto"/>
            <w:vAlign w:val="center"/>
          </w:tcPr>
          <w:p w14:paraId="643711B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户外施工警示板</w:t>
            </w:r>
          </w:p>
        </w:tc>
        <w:tc>
          <w:tcPr>
            <w:tcW w:w="827" w:type="pct"/>
            <w:shd w:val="clear" w:color="auto" w:fill="auto"/>
            <w:vAlign w:val="center"/>
          </w:tcPr>
          <w:p w14:paraId="2B4A556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600*190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099B8132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30</w:t>
            </w:r>
          </w:p>
        </w:tc>
        <w:tc>
          <w:tcPr>
            <w:tcW w:w="1085" w:type="pct"/>
            <w:shd w:val="clear" w:color="auto" w:fill="auto"/>
            <w:vAlign w:val="center"/>
          </w:tcPr>
          <w:p w14:paraId="73E7589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防水防划贴纸</w:t>
            </w:r>
          </w:p>
        </w:tc>
      </w:tr>
      <w:tr w14:paraId="38802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  <w:vMerge w:val="continue"/>
            <w:vAlign w:val="center"/>
          </w:tcPr>
          <w:p w14:paraId="5859613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</w:p>
        </w:tc>
        <w:tc>
          <w:tcPr>
            <w:tcW w:w="471" w:type="pct"/>
            <w:vMerge w:val="continue"/>
            <w:vAlign w:val="center"/>
          </w:tcPr>
          <w:p w14:paraId="5D7B5951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</w:p>
        </w:tc>
        <w:tc>
          <w:tcPr>
            <w:tcW w:w="1406" w:type="pct"/>
            <w:shd w:val="clear" w:color="auto" w:fill="auto"/>
            <w:vAlign w:val="center"/>
          </w:tcPr>
          <w:p w14:paraId="212CAF4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安全警示字及警示牌</w:t>
            </w:r>
          </w:p>
        </w:tc>
        <w:tc>
          <w:tcPr>
            <w:tcW w:w="827" w:type="pct"/>
            <w:shd w:val="clear" w:color="auto" w:fill="auto"/>
            <w:vAlign w:val="center"/>
          </w:tcPr>
          <w:p w14:paraId="52E3AAA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100*100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6F9AF3D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40</w:t>
            </w:r>
          </w:p>
        </w:tc>
        <w:tc>
          <w:tcPr>
            <w:tcW w:w="1085" w:type="pct"/>
            <w:shd w:val="clear" w:color="auto" w:fill="auto"/>
            <w:vAlign w:val="center"/>
          </w:tcPr>
          <w:p w14:paraId="617D7A3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3mm亚克力</w:t>
            </w:r>
          </w:p>
        </w:tc>
      </w:tr>
      <w:tr w14:paraId="68A8D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  <w:vMerge w:val="restart"/>
            <w:vAlign w:val="center"/>
          </w:tcPr>
          <w:p w14:paraId="7F170CB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  <w:t>3</w:t>
            </w:r>
          </w:p>
        </w:tc>
        <w:tc>
          <w:tcPr>
            <w:tcW w:w="471" w:type="pct"/>
            <w:vMerge w:val="restart"/>
            <w:vAlign w:val="center"/>
          </w:tcPr>
          <w:p w14:paraId="0EF5ADF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  <w:t>安全宣传</w:t>
            </w:r>
          </w:p>
        </w:tc>
        <w:tc>
          <w:tcPr>
            <w:tcW w:w="1406" w:type="pct"/>
            <w:vAlign w:val="center"/>
          </w:tcPr>
          <w:p w14:paraId="58D8EE1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安全文化墙</w:t>
            </w:r>
          </w:p>
        </w:tc>
        <w:tc>
          <w:tcPr>
            <w:tcW w:w="827" w:type="pct"/>
            <w:vAlign w:val="center"/>
          </w:tcPr>
          <w:p w14:paraId="457BFAF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3000*395</w:t>
            </w:r>
          </w:p>
        </w:tc>
        <w:tc>
          <w:tcPr>
            <w:tcW w:w="719" w:type="pct"/>
            <w:vAlign w:val="center"/>
          </w:tcPr>
          <w:p w14:paraId="7A67220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085" w:type="pct"/>
            <w:vAlign w:val="center"/>
          </w:tcPr>
          <w:p w14:paraId="3C529104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油画布</w:t>
            </w:r>
          </w:p>
        </w:tc>
      </w:tr>
      <w:tr w14:paraId="58D79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  <w:vMerge w:val="continue"/>
            <w:vAlign w:val="center"/>
          </w:tcPr>
          <w:p w14:paraId="48F69C35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</w:p>
        </w:tc>
        <w:tc>
          <w:tcPr>
            <w:tcW w:w="471" w:type="pct"/>
            <w:vMerge w:val="continue"/>
            <w:vAlign w:val="center"/>
          </w:tcPr>
          <w:p w14:paraId="5074F15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</w:p>
        </w:tc>
        <w:tc>
          <w:tcPr>
            <w:tcW w:w="1406" w:type="pct"/>
            <w:shd w:val="clear" w:color="auto" w:fill="auto"/>
            <w:vAlign w:val="center"/>
          </w:tcPr>
          <w:p w14:paraId="5116F259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检测区安全展架</w:t>
            </w:r>
          </w:p>
        </w:tc>
        <w:tc>
          <w:tcPr>
            <w:tcW w:w="827" w:type="pct"/>
            <w:shd w:val="clear" w:color="auto" w:fill="auto"/>
            <w:vAlign w:val="center"/>
          </w:tcPr>
          <w:p w14:paraId="3B7E560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440*310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612D5BF1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1085" w:type="pct"/>
            <w:shd w:val="clear" w:color="auto" w:fill="auto"/>
            <w:vAlign w:val="center"/>
          </w:tcPr>
          <w:p w14:paraId="36B851A4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金属桁架+画布</w:t>
            </w:r>
          </w:p>
        </w:tc>
      </w:tr>
      <w:tr w14:paraId="6456A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  <w:vMerge w:val="continue"/>
            <w:vAlign w:val="center"/>
          </w:tcPr>
          <w:p w14:paraId="44FE693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</w:p>
        </w:tc>
        <w:tc>
          <w:tcPr>
            <w:tcW w:w="471" w:type="pct"/>
            <w:vMerge w:val="continue"/>
            <w:vAlign w:val="center"/>
          </w:tcPr>
          <w:p w14:paraId="7F08405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</w:rPr>
            </w:pPr>
          </w:p>
        </w:tc>
        <w:tc>
          <w:tcPr>
            <w:tcW w:w="1406" w:type="pct"/>
            <w:vMerge w:val="restart"/>
            <w:vAlign w:val="center"/>
          </w:tcPr>
          <w:p w14:paraId="40D8ED5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  <w:t>安全宣传展板</w:t>
            </w:r>
          </w:p>
        </w:tc>
        <w:tc>
          <w:tcPr>
            <w:tcW w:w="827" w:type="pct"/>
            <w:shd w:val="clear" w:color="auto" w:fill="auto"/>
            <w:vAlign w:val="center"/>
          </w:tcPr>
          <w:p w14:paraId="29F0A13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100*100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68DA21F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100</w:t>
            </w:r>
          </w:p>
        </w:tc>
        <w:tc>
          <w:tcPr>
            <w:tcW w:w="1085" w:type="pct"/>
            <w:vAlign w:val="center"/>
          </w:tcPr>
          <w:p w14:paraId="222B238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磁吸板</w:t>
            </w:r>
          </w:p>
        </w:tc>
      </w:tr>
      <w:tr w14:paraId="5763C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  <w:vMerge w:val="continue"/>
            <w:vAlign w:val="center"/>
          </w:tcPr>
          <w:p w14:paraId="03FBBA37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</w:p>
        </w:tc>
        <w:tc>
          <w:tcPr>
            <w:tcW w:w="471" w:type="pct"/>
            <w:vMerge w:val="continue"/>
            <w:vAlign w:val="center"/>
          </w:tcPr>
          <w:p w14:paraId="606DA2D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</w:rPr>
            </w:pPr>
          </w:p>
        </w:tc>
        <w:tc>
          <w:tcPr>
            <w:tcW w:w="1406" w:type="pct"/>
            <w:vMerge w:val="continue"/>
            <w:vAlign w:val="center"/>
          </w:tcPr>
          <w:p w14:paraId="7DC3E317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</w:p>
        </w:tc>
        <w:tc>
          <w:tcPr>
            <w:tcW w:w="827" w:type="pct"/>
            <w:shd w:val="clear" w:color="auto" w:fill="auto"/>
            <w:vAlign w:val="center"/>
          </w:tcPr>
          <w:p w14:paraId="3649E69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100*100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51F6EB3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200</w:t>
            </w:r>
          </w:p>
        </w:tc>
        <w:tc>
          <w:tcPr>
            <w:tcW w:w="1085" w:type="pct"/>
            <w:shd w:val="clear" w:color="auto" w:fill="auto"/>
            <w:vAlign w:val="center"/>
          </w:tcPr>
          <w:p w14:paraId="4EE1CE20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光亮板</w:t>
            </w:r>
          </w:p>
        </w:tc>
      </w:tr>
      <w:tr w14:paraId="4C44C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  <w:vMerge w:val="continue"/>
            <w:vAlign w:val="center"/>
          </w:tcPr>
          <w:p w14:paraId="0319DE69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</w:p>
        </w:tc>
        <w:tc>
          <w:tcPr>
            <w:tcW w:w="471" w:type="pct"/>
            <w:vMerge w:val="continue"/>
            <w:vAlign w:val="center"/>
          </w:tcPr>
          <w:p w14:paraId="102A4882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</w:rPr>
            </w:pPr>
          </w:p>
        </w:tc>
        <w:tc>
          <w:tcPr>
            <w:tcW w:w="1406" w:type="pct"/>
            <w:vMerge w:val="continue"/>
            <w:vAlign w:val="center"/>
          </w:tcPr>
          <w:p w14:paraId="0FFBDF25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lang w:val="en-US" w:eastAsia="zh-CN"/>
              </w:rPr>
            </w:pPr>
          </w:p>
        </w:tc>
        <w:tc>
          <w:tcPr>
            <w:tcW w:w="827" w:type="pct"/>
            <w:vAlign w:val="center"/>
          </w:tcPr>
          <w:p w14:paraId="35CD47B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100*100</w:t>
            </w:r>
          </w:p>
        </w:tc>
        <w:tc>
          <w:tcPr>
            <w:tcW w:w="719" w:type="pct"/>
            <w:vAlign w:val="center"/>
          </w:tcPr>
          <w:p w14:paraId="0273EB5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1085" w:type="pct"/>
            <w:vAlign w:val="center"/>
          </w:tcPr>
          <w:p w14:paraId="14159A4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32"/>
                <w:vertAlign w:val="baseline"/>
                <w:lang w:val="en-US" w:eastAsia="zh-CN"/>
              </w:rPr>
              <w:t>铝板</w:t>
            </w:r>
          </w:p>
        </w:tc>
      </w:tr>
    </w:tbl>
    <w:p w14:paraId="0D2F20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1. 现场勘测规划：供应商进场后对园区楼栋分布、通行路线、功能分区、安装点位实地测量，结合南网视觉形象规范，出具点位排布方案，经甲方确认后方可加工制作；</w:t>
      </w:r>
    </w:p>
    <w:p w14:paraId="256BDD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2. </w:t>
      </w:r>
      <w:r>
        <w:rPr>
          <w:rFonts w:hint="eastAsia"/>
          <w:sz w:val="24"/>
          <w:szCs w:val="32"/>
          <w:lang w:val="en-US" w:eastAsia="zh-CN"/>
        </w:rPr>
        <w:t>引导指示</w:t>
      </w:r>
      <w:r>
        <w:rPr>
          <w:rFonts w:hint="eastAsia"/>
          <w:sz w:val="24"/>
          <w:szCs w:val="32"/>
        </w:rPr>
        <w:t>类标识制作安装：园区总平面图导视牌、楼栋编号牌、楼层指引牌、功能分区指示牌、通道分流指示牌等，实现全域路线清晰指引；</w:t>
      </w:r>
    </w:p>
    <w:p w14:paraId="2BD2ED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3. 安全警示类标识制作安装：消防安全提示标识、设备机房警示标识、限速禁行标识、高压区域警示标识、应急疏散指示标识、风险告知类标牌，实现重点区域安全警示全覆盖；</w:t>
      </w:r>
    </w:p>
    <w:p w14:paraId="0FBB06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eastAsiaTheme="minorEastAsia"/>
          <w:sz w:val="24"/>
          <w:szCs w:val="32"/>
          <w:lang w:eastAsia="zh-CN"/>
        </w:rPr>
      </w:pPr>
      <w:r>
        <w:rPr>
          <w:rFonts w:hint="eastAsia"/>
          <w:sz w:val="24"/>
          <w:szCs w:val="32"/>
        </w:rPr>
        <w:t>4. </w:t>
      </w:r>
      <w:r>
        <w:rPr>
          <w:rFonts w:hint="eastAsia"/>
          <w:sz w:val="24"/>
          <w:szCs w:val="32"/>
          <w:lang w:val="en-US" w:eastAsia="zh-CN"/>
        </w:rPr>
        <w:t>安全宣传类标识</w:t>
      </w:r>
      <w:r>
        <w:rPr>
          <w:rFonts w:hint="eastAsia"/>
          <w:sz w:val="24"/>
          <w:szCs w:val="32"/>
        </w:rPr>
        <w:t>制作安装：园区形象宣传广告牌、户外固定式公示宣传栏、室内公告展示栏，满足通知公示、企业文化宣传、业务展示使用需求；5. 成品优化</w:t>
      </w:r>
      <w:r>
        <w:rPr>
          <w:rFonts w:hint="eastAsia"/>
          <w:sz w:val="24"/>
          <w:szCs w:val="32"/>
          <w:lang w:eastAsia="zh-CN"/>
        </w:rPr>
        <w:t>；</w:t>
      </w:r>
    </w:p>
    <w:p w14:paraId="30B6AF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32"/>
          <w:lang w:val="en-US" w:eastAsia="zh-CN"/>
        </w:rPr>
        <w:t>5.</w:t>
      </w:r>
      <w:r>
        <w:rPr>
          <w:rFonts w:hint="eastAsia"/>
          <w:sz w:val="24"/>
          <w:szCs w:val="32"/>
        </w:rPr>
        <w:t>标识安装完成后校正平整度、加固固定结构，清理施工垃圾与包装废料，配合</w:t>
      </w:r>
      <w:r>
        <w:rPr>
          <w:rFonts w:hint="eastAsia"/>
          <w:sz w:val="24"/>
          <w:szCs w:val="24"/>
        </w:rPr>
        <w:t>甲方</w:t>
      </w:r>
      <w:r>
        <w:rPr>
          <w:rFonts w:hint="eastAsia"/>
          <w:sz w:val="24"/>
          <w:szCs w:val="32"/>
        </w:rPr>
        <w:t>完成</w:t>
      </w:r>
      <w:r>
        <w:rPr>
          <w:rFonts w:hint="eastAsia"/>
          <w:sz w:val="24"/>
          <w:szCs w:val="24"/>
        </w:rPr>
        <w:t>整体验收。</w:t>
      </w:r>
    </w:p>
    <w:p w14:paraId="26524D2D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四、工期要求</w:t>
      </w:r>
    </w:p>
    <w:p w14:paraId="1265E5AE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68E2C1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供应商</w:t>
      </w:r>
      <w:r>
        <w:rPr>
          <w:rFonts w:hint="eastAsia"/>
          <w:sz w:val="24"/>
          <w:szCs w:val="32"/>
        </w:rPr>
        <w:t>自收到甲方正式中标通知书之日起</w:t>
      </w:r>
      <w:r>
        <w:rPr>
          <w:rFonts w:hint="eastAsia"/>
          <w:sz w:val="24"/>
          <w:szCs w:val="32"/>
          <w:lang w:val="en-US" w:eastAsia="zh-CN"/>
        </w:rPr>
        <w:t>15</w:t>
      </w:r>
      <w:r>
        <w:rPr>
          <w:rFonts w:hint="eastAsia"/>
          <w:sz w:val="24"/>
          <w:szCs w:val="32"/>
        </w:rPr>
        <w:t>个自然日内，完成全部标识勘测、制作、运输、安装、整改、现场清理工作并提请甲方验收</w:t>
      </w:r>
      <w:r>
        <w:rPr>
          <w:rFonts w:hint="eastAsia"/>
          <w:sz w:val="24"/>
          <w:szCs w:val="32"/>
          <w:lang w:eastAsia="zh-CN"/>
        </w:rPr>
        <w:t>。</w:t>
      </w:r>
      <w:r>
        <w:rPr>
          <w:rFonts w:hint="eastAsia"/>
          <w:sz w:val="24"/>
          <w:szCs w:val="32"/>
          <w:lang w:val="en-US" w:eastAsia="zh-CN"/>
        </w:rPr>
        <w:t>供应商如逾期交付，则每逾期1日，甲方按照中标价格1%扣除违约金，预期超过30日，服务终止</w:t>
      </w:r>
      <w:r>
        <w:rPr>
          <w:rFonts w:hint="eastAsia"/>
          <w:sz w:val="24"/>
          <w:szCs w:val="32"/>
        </w:rPr>
        <w:t>。</w:t>
      </w:r>
    </w:p>
    <w:p w14:paraId="68E08D9D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058EDB54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五、核心技术制作要求</w:t>
      </w:r>
    </w:p>
    <w:p w14:paraId="3795244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1D486FE3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（一）通用材质技术标准</w:t>
      </w:r>
    </w:p>
    <w:p w14:paraId="5EDC5C25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40FC74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1. 户外标识标牌：主体框架采用加厚铝合金/不锈钢材质，具备防雨、防晒、抗风化、防腐蚀性能；面板采用UV高清喷绘/亚克力透光板材，色彩附着力强，户外长期使用不易褪色、起皮、开裂；</w:t>
      </w:r>
    </w:p>
    <w:p w14:paraId="60CFD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2. 室内宣传栏与标识：板材环保无异味，平整不变形，画面色彩还原度高，透光类标识亮度均匀无频闪；</w:t>
      </w:r>
    </w:p>
    <w:p w14:paraId="00135F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3. 固定配件：户外安装全部采用不锈钢膨胀螺栓、防水密封胶，杜绝雨水渗入、松动脱落问题，适配广州多雨、高温气候环境。</w:t>
      </w:r>
    </w:p>
    <w:p w14:paraId="34A0FDB5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7C9C20FE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（二）外观与排版技术要求</w:t>
      </w:r>
    </w:p>
    <w:p w14:paraId="226ED21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56D20C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1. 所有标识文字、图标内容必须严格按照甲方提供规范版本制作，无错别字、图案变形、信息错漏；字体样式、配色体系贴合南方电网VI视觉规范，整体风格统一；</w:t>
      </w:r>
    </w:p>
    <w:p w14:paraId="747324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2. 标牌尺寸比例协调，安装高度、视角符合人体工程学，室外远距离标识保证远距离清晰醒目，室内标识柔和规整；</w:t>
      </w:r>
    </w:p>
    <w:p w14:paraId="1B2815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3. 宣传栏具备开合检修结构，方便后期甲方更换内部公示海报、通知文件，防水胶条完整密封。</w:t>
      </w:r>
    </w:p>
    <w:p w14:paraId="48822B9E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535E7F17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（三）安装施工技术要求</w:t>
      </w:r>
    </w:p>
    <w:p w14:paraId="5B5F10E2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76818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1. 墙面、立柱、地面落地式标识安装牢固可靠，无倾斜、晃动，落地标牌增加配重结构，抵御大风天气；</w:t>
      </w:r>
    </w:p>
    <w:p w14:paraId="27825C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2. 施工过程不得破坏园区原有墙面、地面铺装、管线、绿化、消防设施，如因施工造成设施损坏，由供应商无条件修复并承担全部费用；</w:t>
      </w:r>
    </w:p>
    <w:p w14:paraId="37879D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3. 高空点位安装作业需做好防护措施，避开园区人员通行高峰时段施工，降低对园区正常办公秩序的影响。</w:t>
      </w:r>
    </w:p>
    <w:p w14:paraId="7976CB5C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4B2CFFC3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六、安全文明施工要求</w:t>
      </w:r>
    </w:p>
    <w:p w14:paraId="181C29E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54E4ED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1. 供应商进场施工人员须服从甲方园区门禁、安全管理规定，进场报备人员信息，佩戴园区临时通行凭证；</w:t>
      </w:r>
    </w:p>
    <w:p w14:paraId="691E65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2. 高空作业、用电作业严格遵守国家安全生产规范，配备齐全安全防护用具，施工期间发生人身伤害、财产损毁事故，全部责任由供应商自行承担；</w:t>
      </w:r>
    </w:p>
    <w:p w14:paraId="264B9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3. 施工废料、包装垃圾、边角材料每日及时清运离场，不得在园区公共区域堆放，完工后施工区域恢复原貌。</w:t>
      </w:r>
    </w:p>
    <w:p w14:paraId="63D79050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7BFDE55B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七、验收标准</w:t>
      </w:r>
    </w:p>
    <w:p w14:paraId="5547BCE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74F671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 完工后供应商提交验收申请，甲方收到验收申请后3个工作日内对标识开展验收，标识材质应满足甲方要求、外观无明显破损、内容排版合理、安装牢固，验收通过后甲乙双方签署送货单；</w:t>
      </w:r>
    </w:p>
    <w:p w14:paraId="794F05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2. 若存在尺寸偏差、色彩不符、安装松动、内容错误等问题，供应商须在甲方规定时限内免费整改完毕，直至验收合格。</w:t>
      </w:r>
    </w:p>
    <w:p w14:paraId="793C54F4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10BE8CD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八、质保及售后服务要求</w:t>
      </w:r>
    </w:p>
    <w:p w14:paraId="7D8F1D52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6B75BB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24"/>
        </w:rPr>
        <w:t>1. 整体质保期限：自竣工验收合格之日起，户外标识整体质保</w:t>
      </w:r>
      <w:r>
        <w:rPr>
          <w:rFonts w:hint="eastAsia"/>
          <w:sz w:val="24"/>
          <w:szCs w:val="24"/>
          <w:lang w:val="en-US" w:eastAsia="zh-CN"/>
        </w:rPr>
        <w:t>6个月</w:t>
      </w:r>
      <w:r>
        <w:rPr>
          <w:rFonts w:hint="eastAsia"/>
          <w:sz w:val="24"/>
          <w:szCs w:val="24"/>
        </w:rPr>
        <w:t>，室内标识</w:t>
      </w:r>
      <w:r>
        <w:rPr>
          <w:rFonts w:hint="eastAsia"/>
          <w:sz w:val="24"/>
          <w:szCs w:val="32"/>
          <w:lang w:val="en-US" w:eastAsia="zh-CN"/>
        </w:rPr>
        <w:t>质保1年；质保期内出现褪色、开胶、脱落、非人为破损、五金配件失效等质量问题，供应商免费上门维修、更换配件或重做；</w:t>
      </w:r>
    </w:p>
    <w:p w14:paraId="2D172B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2. 应急售后响应：园区出现标识破损、宣传栏故障等问题，供应商接到甲方报修通知后24小时内响应，广州市区范围内48小时内上门处置；</w:t>
      </w:r>
    </w:p>
    <w:p w14:paraId="3294F164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14:paraId="69AADF7F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九、其他约定</w:t>
      </w:r>
    </w:p>
    <w:p w14:paraId="53FE47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 施工全过程涉及的物料运输、人工、辅材、垃圾清运、售后维保等全部费用，均包含在合同总价内，甲方无需额外支付其他费用。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83110A"/>
    <w:rsid w:val="0BED7F40"/>
    <w:rsid w:val="0CC523CE"/>
    <w:rsid w:val="0CF95270"/>
    <w:rsid w:val="11D64215"/>
    <w:rsid w:val="13F82B68"/>
    <w:rsid w:val="15511073"/>
    <w:rsid w:val="15952AED"/>
    <w:rsid w:val="25461985"/>
    <w:rsid w:val="32470AEB"/>
    <w:rsid w:val="342F1837"/>
    <w:rsid w:val="3651018A"/>
    <w:rsid w:val="3B2A2492"/>
    <w:rsid w:val="437B2FAD"/>
    <w:rsid w:val="47867568"/>
    <w:rsid w:val="49484F86"/>
    <w:rsid w:val="4A651BED"/>
    <w:rsid w:val="4BB52B12"/>
    <w:rsid w:val="56717635"/>
    <w:rsid w:val="583B7EFB"/>
    <w:rsid w:val="5F36141C"/>
    <w:rsid w:val="679118E5"/>
    <w:rsid w:val="6B43383E"/>
    <w:rsid w:val="6DB427D1"/>
    <w:rsid w:val="70A1528F"/>
    <w:rsid w:val="755C6E15"/>
    <w:rsid w:val="7AF1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2122</Words>
  <Characters>2226</Characters>
  <Lines>0</Lines>
  <Paragraphs>0</Paragraphs>
  <TotalTime>8</TotalTime>
  <ScaleCrop>false</ScaleCrop>
  <LinksUpToDate>false</LinksUpToDate>
  <CharactersWithSpaces>2269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2026-06-17T10:07:00Z</dcterms:created>
  <dc:creator>1</dc:creator>
  <cp:lastModifiedBy>曹铁男</cp:lastModifiedBy>
  <dcterms:modified xsi:type="dcterms:W3CDTF">2026-07-07T14:55:25Z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eyJoZGlkIjoiZWEwYmRjNzIwMjMyYWJmOGY4N2Y0ODAxOTI5ZDVmMjgiLCJ1c2VySWQiOiIzNDM4MzI5NTYifQ==</vt:lpwstr>
  </property>
  <property fmtid="{D5CDD505-2E9C-101B-9397-08002B2CF9AE}" pid="4" name="ICV">
    <vt:lpwstr>8429AF1CD84B49D69B99668A12E83DDD_12</vt:lpwstr>
  </property>
</Properties>
</file>