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0" w:beforeLines="500" w:line="240" w:lineRule="auto"/>
        <w:ind w:firstLine="0" w:firstLineChars="0"/>
        <w:jc w:val="left"/>
        <w:rPr>
          <w:rFonts w:ascii="Times New Roman" w:hAnsi="Times New Roman" w:eastAsia="仿宋_GB2312" w:cs="Times New Roman"/>
          <w:b/>
          <w:sz w:val="36"/>
          <w:szCs w:val="20"/>
        </w:rPr>
      </w:pPr>
      <w:r>
        <w:rPr>
          <w:rFonts w:ascii="Times New Roman" w:hAnsi="Times New Roman" w:cs="Times New Roman"/>
        </w:rPr>
        <mc:AlternateContent>
          <mc:Choice Requires="wps">
            <w:drawing>
              <wp:anchor distT="0" distB="0" distL="114300" distR="114300" simplePos="0" relativeHeight="251662336" behindDoc="0" locked="0" layoutInCell="1" allowOverlap="1">
                <wp:simplePos x="0" y="0"/>
                <wp:positionH relativeFrom="column">
                  <wp:posOffset>1513840</wp:posOffset>
                </wp:positionH>
                <wp:positionV relativeFrom="paragraph">
                  <wp:posOffset>8010525</wp:posOffset>
                </wp:positionV>
                <wp:extent cx="2294890" cy="479425"/>
                <wp:effectExtent l="0" t="0" r="0" b="0"/>
                <wp:wrapNone/>
                <wp:docPr id="4" name="文本框 3"/>
                <wp:cNvGraphicFramePr/>
                <a:graphic xmlns:a="http://schemas.openxmlformats.org/drawingml/2006/main">
                  <a:graphicData uri="http://schemas.microsoft.com/office/word/2010/wordprocessingShape">
                    <wps:wsp>
                      <wps:cNvSpPr txBox="1"/>
                      <wps:spPr>
                        <a:xfrm>
                          <a:off x="0" y="0"/>
                          <a:ext cx="2294890" cy="479425"/>
                        </a:xfrm>
                        <a:prstGeom prst="rect">
                          <a:avLst/>
                        </a:prstGeom>
                        <a:noFill/>
                        <a:ln>
                          <a:noFill/>
                        </a:ln>
                      </wps:spPr>
                      <wps:txbx>
                        <w:txbxContent>
                          <w:p>
                            <w:pPr>
                              <w:ind w:firstLine="0" w:firstLineChars="0"/>
                              <w:jc w:val="center"/>
                              <w:rPr>
                                <w:rFonts w:ascii="Times New Roman" w:hAnsi="Times New Roman" w:cs="Times New Roman"/>
                                <w:sz w:val="28"/>
                                <w:szCs w:val="28"/>
                              </w:rPr>
                            </w:pPr>
                            <w:r>
                              <w:rPr>
                                <w:rFonts w:ascii="Times New Roman" w:hAnsi="Times New Roman" w:cs="Times New Roman"/>
                                <w:sz w:val="28"/>
                                <w:szCs w:val="28"/>
                              </w:rPr>
                              <w:t>2026年</w:t>
                            </w:r>
                            <w:r>
                              <w:rPr>
                                <w:rFonts w:hint="eastAsia" w:ascii="Times New Roman" w:hAnsi="Times New Roman" w:cs="Times New Roman"/>
                                <w:sz w:val="28"/>
                                <w:szCs w:val="28"/>
                                <w:lang w:val="en-US" w:eastAsia="zh-CN"/>
                              </w:rPr>
                              <w:t>7</w:t>
                            </w:r>
                            <w:r>
                              <w:rPr>
                                <w:rFonts w:ascii="Times New Roman" w:hAnsi="Times New Roman" w:cs="Times New Roman"/>
                                <w:sz w:val="28"/>
                                <w:szCs w:val="28"/>
                              </w:rPr>
                              <w:t>月</w:t>
                            </w:r>
                          </w:p>
                        </w:txbxContent>
                      </wps:txbx>
                      <wps:bodyPr wrap="square" upright="1"/>
                    </wps:wsp>
                  </a:graphicData>
                </a:graphic>
              </wp:anchor>
            </w:drawing>
          </mc:Choice>
          <mc:Fallback>
            <w:pict>
              <v:shape id="文本框 3" o:spid="_x0000_s1026" o:spt="202" type="#_x0000_t202" style="position:absolute;left:0pt;margin-left:119.2pt;margin-top:630.75pt;height:37.75pt;width:180.7pt;z-index:251662336;mso-width-relative:page;mso-height-relative:page;" filled="f" stroked="f" coordsize="21600,21600" o:gfxdata="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ADd79d2QAAAA0BAAAPAAAAAAAAAAEAIAAAACIAAABkcnMvZG93bnJldi54bWxQSwECFAAU&#10;AAAACACHTuJAnUfRVrcBAABcAwAADgAAAAAAAAABACAAAAAoAQAAZHJzL2Uyb0RvYy54bWxQSwUG&#10;AAAAAAYABgBZAQAAUQUAAAAA&#10;">
                <v:fill on="f" focussize="0,0"/>
                <v:stroke on="f"/>
                <v:imagedata o:title=""/>
                <o:lock v:ext="edit" aspectratio="f"/>
                <v:textbox>
                  <w:txbxContent>
                    <w:p>
                      <w:pPr>
                        <w:ind w:firstLine="0" w:firstLineChars="0"/>
                        <w:jc w:val="center"/>
                        <w:rPr>
                          <w:rFonts w:ascii="Times New Roman" w:hAnsi="Times New Roman" w:cs="Times New Roman"/>
                          <w:sz w:val="28"/>
                          <w:szCs w:val="28"/>
                        </w:rPr>
                      </w:pPr>
                      <w:r>
                        <w:rPr>
                          <w:rFonts w:ascii="Times New Roman" w:hAnsi="Times New Roman" w:cs="Times New Roman"/>
                          <w:sz w:val="28"/>
                          <w:szCs w:val="28"/>
                        </w:rPr>
                        <w:t>2026年</w:t>
                      </w:r>
                      <w:r>
                        <w:rPr>
                          <w:rFonts w:hint="eastAsia" w:ascii="Times New Roman" w:hAnsi="Times New Roman" w:cs="Times New Roman"/>
                          <w:sz w:val="28"/>
                          <w:szCs w:val="28"/>
                          <w:lang w:val="en-US" w:eastAsia="zh-CN"/>
                        </w:rPr>
                        <w:t>7</w:t>
                      </w:r>
                      <w:r>
                        <w:rPr>
                          <w:rFonts w:ascii="Times New Roman" w:hAnsi="Times New Roman" w:cs="Times New Roman"/>
                          <w:sz w:val="28"/>
                          <w:szCs w:val="28"/>
                        </w:rPr>
                        <w:t>月</w:t>
                      </w:r>
                    </w:p>
                  </w:txbxContent>
                </v:textbox>
              </v:shape>
            </w:pict>
          </mc:Fallback>
        </mc:AlternateContent>
      </w:r>
      <w:r>
        <w:rPr>
          <w:rFonts w:ascii="Times New Roman" w:hAnsi="Times New Roman" w:cs="Times New Roman"/>
        </w:rPr>
        <mc:AlternateContent>
          <mc:Choice Requires="wps">
            <w:drawing>
              <wp:anchor distT="0" distB="0" distL="114300" distR="114300" simplePos="0" relativeHeight="251659264" behindDoc="0" locked="0" layoutInCell="1" allowOverlap="1">
                <wp:simplePos x="0" y="0"/>
                <wp:positionH relativeFrom="column">
                  <wp:posOffset>123825</wp:posOffset>
                </wp:positionH>
                <wp:positionV relativeFrom="paragraph">
                  <wp:posOffset>3636645</wp:posOffset>
                </wp:positionV>
                <wp:extent cx="4848225" cy="934085"/>
                <wp:effectExtent l="0" t="0" r="0" b="0"/>
                <wp:wrapNone/>
                <wp:docPr id="1" name="文本框 4"/>
                <wp:cNvGraphicFramePr/>
                <a:graphic xmlns:a="http://schemas.openxmlformats.org/drawingml/2006/main">
                  <a:graphicData uri="http://schemas.microsoft.com/office/word/2010/wordprocessingShape">
                    <wps:wsp>
                      <wps:cNvSpPr txBox="1"/>
                      <wps:spPr>
                        <a:xfrm>
                          <a:off x="0" y="0"/>
                          <a:ext cx="4848225" cy="934085"/>
                        </a:xfrm>
                        <a:prstGeom prst="rect">
                          <a:avLst/>
                        </a:prstGeom>
                        <a:noFill/>
                        <a:ln>
                          <a:noFill/>
                        </a:ln>
                      </wps:spPr>
                      <wps:txbx>
                        <w:txbxContent>
                          <w:p>
                            <w:pPr>
                              <w:ind w:firstLine="0" w:firstLineChars="0"/>
                              <w:jc w:val="center"/>
                              <w:rPr>
                                <w:sz w:val="52"/>
                                <w:szCs w:val="52"/>
                              </w:rPr>
                            </w:pPr>
                            <w:r>
                              <w:rPr>
                                <w:rFonts w:hint="eastAsia" w:ascii="黑体" w:hAnsi="黑体" w:eastAsia="黑体"/>
                                <w:sz w:val="52"/>
                                <w:szCs w:val="52"/>
                              </w:rPr>
                              <w:t>技术规范书</w:t>
                            </w:r>
                          </w:p>
                        </w:txbxContent>
                      </wps:txbx>
                      <wps:bodyPr wrap="square" upright="1"/>
                    </wps:wsp>
                  </a:graphicData>
                </a:graphic>
              </wp:anchor>
            </w:drawing>
          </mc:Choice>
          <mc:Fallback>
            <w:pict>
              <v:shape id="文本框 4" o:spid="_x0000_s1026" o:spt="202" type="#_x0000_t202" style="position:absolute;left:0pt;margin-left:9.75pt;margin-top:286.35pt;height:73.55pt;width:381.75pt;z-index:251659264;mso-width-relative:page;mso-height-relative:page;" filled="f" stroked="f" coordsize="21600,21600" o:gfxdata="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Bi3b/dYAAAAKAQAADwAAAAAAAAABACAAAAAiAAAAZHJzL2Rvd25yZXYueG1sUEsBAhQAFAAA&#10;AAgAh07iQLpE9aG4AQAAXAMAAA4AAAAAAAAAAQAgAAAAJQEAAGRycy9lMm9Eb2MueG1sUEsFBgAA&#10;AAAGAAYAWQEAAE8FAAAAAA==&#10;">
                <v:fill on="f" focussize="0,0"/>
                <v:stroke on="f"/>
                <v:imagedata o:title=""/>
                <o:lock v:ext="edit" aspectratio="f"/>
                <v:textbox>
                  <w:txbxContent>
                    <w:p>
                      <w:pPr>
                        <w:ind w:firstLine="0" w:firstLineChars="0"/>
                        <w:jc w:val="center"/>
                        <w:rPr>
                          <w:sz w:val="52"/>
                          <w:szCs w:val="52"/>
                        </w:rPr>
                      </w:pPr>
                      <w:r>
                        <w:rPr>
                          <w:rFonts w:hint="eastAsia" w:ascii="黑体" w:hAnsi="黑体" w:eastAsia="黑体"/>
                          <w:sz w:val="52"/>
                          <w:szCs w:val="52"/>
                        </w:rPr>
                        <w:t>技术规范书</w:t>
                      </w:r>
                    </w:p>
                  </w:txbxContent>
                </v:textbox>
              </v:shape>
            </w:pict>
          </mc:Fallback>
        </mc:AlternateContent>
      </w:r>
    </w:p>
    <w:p>
      <w:pPr>
        <w:spacing w:before="1560" w:beforeLines="500" w:line="240" w:lineRule="auto"/>
        <w:ind w:firstLine="0" w:firstLineChars="0"/>
        <w:jc w:val="left"/>
        <w:rPr>
          <w:rFonts w:ascii="Times New Roman" w:hAnsi="Times New Roman" w:eastAsia="仿宋_GB2312" w:cs="Times New Roman"/>
          <w:b/>
          <w:sz w:val="36"/>
          <w:szCs w:val="20"/>
        </w:rPr>
      </w:pPr>
      <w:r>
        <w:rPr>
          <w:rFonts w:ascii="Times New Roman" w:hAnsi="Times New Roman" w:cs="Times New Roman"/>
        </w:rPr>
        <mc:AlternateContent>
          <mc:Choice Requires="wps">
            <w:drawing>
              <wp:anchor distT="0" distB="0" distL="114300" distR="114300" simplePos="0" relativeHeight="251660288" behindDoc="0" locked="0" layoutInCell="1" allowOverlap="1">
                <wp:simplePos x="0" y="0"/>
                <wp:positionH relativeFrom="column">
                  <wp:posOffset>218440</wp:posOffset>
                </wp:positionH>
                <wp:positionV relativeFrom="paragraph">
                  <wp:posOffset>254635</wp:posOffset>
                </wp:positionV>
                <wp:extent cx="4974590" cy="1315720"/>
                <wp:effectExtent l="0" t="0" r="0" b="0"/>
                <wp:wrapNone/>
                <wp:docPr id="2" name="文本框 5"/>
                <wp:cNvGraphicFramePr/>
                <a:graphic xmlns:a="http://schemas.openxmlformats.org/drawingml/2006/main">
                  <a:graphicData uri="http://schemas.microsoft.com/office/word/2010/wordprocessingShape">
                    <wps:wsp>
                      <wps:cNvSpPr txBox="1"/>
                      <wps:spPr>
                        <a:xfrm>
                          <a:off x="0" y="0"/>
                          <a:ext cx="4974590" cy="1315720"/>
                        </a:xfrm>
                        <a:prstGeom prst="rect">
                          <a:avLst/>
                        </a:prstGeom>
                        <a:noFill/>
                        <a:ln>
                          <a:noFill/>
                        </a:ln>
                      </wps:spPr>
                      <wps:txbx>
                        <w:txbxContent>
                          <w:p>
                            <w:pPr>
                              <w:ind w:firstLine="0" w:firstLineChars="0"/>
                              <w:jc w:val="center"/>
                            </w:pPr>
                            <w:bookmarkStart w:id="69" w:name="_Schoolname#1582833420"/>
                            <w:r>
                              <w:rPr>
                                <w:rFonts w:hint="eastAsia" w:ascii="微软雅黑" w:hAnsi="微软雅黑" w:eastAsia="微软雅黑"/>
                                <w:sz w:val="52"/>
                                <w:szCs w:val="52"/>
                              </w:rPr>
                              <w:t>配电设备不停电激光除锈关键技术研究</w:t>
                            </w:r>
                            <w:bookmarkEnd w:id="69"/>
                          </w:p>
                        </w:txbxContent>
                      </wps:txbx>
                      <wps:bodyPr wrap="square" upright="1"/>
                    </wps:wsp>
                  </a:graphicData>
                </a:graphic>
              </wp:anchor>
            </w:drawing>
          </mc:Choice>
          <mc:Fallback>
            <w:pict>
              <v:shape id="文本框 5" o:spid="_x0000_s1026" o:spt="202" type="#_x0000_t202" style="position:absolute;left:0pt;margin-left:17.2pt;margin-top:20.05pt;height:103.6pt;width:391.7pt;z-index:251660288;mso-width-relative:page;mso-height-relative:page;" filled="f" stroked="f" coordsize="21600,21600" o:gfxdata="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IVdmq1gAAAAkBAAAPAAAAAAAAAAEAIAAAACIAAABkcnMvZG93bnJldi54bWxQSwECFAAU&#10;AAAACACHTuJAYjgL+roBAABdAwAADgAAAAAAAAABACAAAAAlAQAAZHJzL2Uyb0RvYy54bWxQSwUG&#10;AAAAAAYABgBZAQAAUQUAAAAA&#10;">
                <v:fill on="f" focussize="0,0"/>
                <v:stroke on="f"/>
                <v:imagedata o:title=""/>
                <o:lock v:ext="edit" aspectratio="f"/>
                <v:textbox>
                  <w:txbxContent>
                    <w:p>
                      <w:pPr>
                        <w:ind w:firstLine="0" w:firstLineChars="0"/>
                        <w:jc w:val="center"/>
                      </w:pPr>
                      <w:bookmarkStart w:id="69" w:name="_Schoolname#1582833420"/>
                      <w:r>
                        <w:rPr>
                          <w:rFonts w:hint="eastAsia" w:ascii="微软雅黑" w:hAnsi="微软雅黑" w:eastAsia="微软雅黑"/>
                          <w:sz w:val="52"/>
                          <w:szCs w:val="52"/>
                        </w:rPr>
                        <w:t>配电设备不停电激光除锈关键技术研究</w:t>
                      </w:r>
                      <w:bookmarkEnd w:id="69"/>
                    </w:p>
                  </w:txbxContent>
                </v:textbox>
              </v:shape>
            </w:pict>
          </mc:Fallback>
        </mc:AlternateContent>
      </w:r>
    </w:p>
    <w:p>
      <w:pPr>
        <w:spacing w:before="1560" w:beforeLines="500" w:line="240" w:lineRule="auto"/>
        <w:ind w:firstLine="0" w:firstLineChars="0"/>
        <w:jc w:val="left"/>
        <w:rPr>
          <w:rFonts w:ascii="Times New Roman" w:hAnsi="Times New Roman" w:eastAsia="仿宋_GB2312" w:cs="Times New Roman"/>
          <w:b/>
          <w:sz w:val="36"/>
          <w:szCs w:val="20"/>
        </w:rPr>
      </w:pPr>
    </w:p>
    <w:p>
      <w:pPr>
        <w:spacing w:before="1560" w:beforeLines="500" w:line="240" w:lineRule="auto"/>
        <w:ind w:firstLine="0" w:firstLineChars="0"/>
        <w:jc w:val="left"/>
        <w:rPr>
          <w:rFonts w:ascii="Times New Roman" w:hAnsi="Times New Roman" w:eastAsia="仿宋_GB2312" w:cs="Times New Roman"/>
          <w:b/>
          <w:sz w:val="36"/>
          <w:szCs w:val="20"/>
        </w:rPr>
      </w:pPr>
    </w:p>
    <w:p>
      <w:pPr>
        <w:spacing w:before="1560" w:beforeLines="500" w:line="240" w:lineRule="auto"/>
        <w:ind w:firstLine="0" w:firstLineChars="0"/>
        <w:jc w:val="left"/>
        <w:rPr>
          <w:rFonts w:ascii="Times New Roman" w:hAnsi="Times New Roman" w:eastAsia="仿宋_GB2312" w:cs="Times New Roman"/>
          <w:b/>
          <w:sz w:val="36"/>
          <w:szCs w:val="20"/>
        </w:rPr>
      </w:pPr>
    </w:p>
    <w:p>
      <w:pPr>
        <w:spacing w:before="1560" w:beforeLines="500" w:line="240" w:lineRule="auto"/>
        <w:ind w:firstLine="0" w:firstLineChars="0"/>
        <w:jc w:val="center"/>
        <w:rPr>
          <w:rFonts w:ascii="Times New Roman" w:hAnsi="Times New Roman" w:eastAsia="仿宋_GB2312" w:cs="Times New Roman"/>
          <w:b/>
          <w:sz w:val="36"/>
          <w:szCs w:val="20"/>
        </w:rPr>
      </w:pPr>
      <w:r>
        <w:rPr>
          <w:rFonts w:ascii="Times New Roman" w:hAnsi="Times New Roman" w:cs="Times New Roman"/>
        </w:rPr>
        <mc:AlternateContent>
          <mc:Choice Requires="wps">
            <w:drawing>
              <wp:anchor distT="0" distB="0" distL="114300" distR="114300" simplePos="0" relativeHeight="251661312" behindDoc="0" locked="0" layoutInCell="1" allowOverlap="1">
                <wp:simplePos x="0" y="0"/>
                <wp:positionH relativeFrom="column">
                  <wp:posOffset>344805</wp:posOffset>
                </wp:positionH>
                <wp:positionV relativeFrom="paragraph">
                  <wp:posOffset>506730</wp:posOffset>
                </wp:positionV>
                <wp:extent cx="4638675" cy="472440"/>
                <wp:effectExtent l="0" t="0" r="0" b="0"/>
                <wp:wrapNone/>
                <wp:docPr id="3" name="文本框 6"/>
                <wp:cNvGraphicFramePr/>
                <a:graphic xmlns:a="http://schemas.openxmlformats.org/drawingml/2006/main">
                  <a:graphicData uri="http://schemas.microsoft.com/office/word/2010/wordprocessingShape">
                    <wps:wsp>
                      <wps:cNvSpPr txBox="1"/>
                      <wps:spPr>
                        <a:xfrm>
                          <a:off x="0" y="0"/>
                          <a:ext cx="4638675" cy="472440"/>
                        </a:xfrm>
                        <a:prstGeom prst="rect">
                          <a:avLst/>
                        </a:prstGeom>
                        <a:noFill/>
                        <a:ln>
                          <a:noFill/>
                        </a:ln>
                      </wps:spPr>
                      <wps:txbx>
                        <w:txbxContent>
                          <w:p>
                            <w:pPr>
                              <w:ind w:firstLine="0" w:firstLineChars="0"/>
                              <w:jc w:val="center"/>
                              <w:rPr>
                                <w:sz w:val="28"/>
                                <w:szCs w:val="28"/>
                              </w:rPr>
                            </w:pPr>
                            <w:r>
                              <w:rPr>
                                <w:rFonts w:hint="eastAsia"/>
                                <w:sz w:val="28"/>
                                <w:szCs w:val="28"/>
                              </w:rPr>
                              <w:t>广西电网能源科技有限责任公司</w:t>
                            </w:r>
                          </w:p>
                        </w:txbxContent>
                      </wps:txbx>
                      <wps:bodyPr vert="horz" wrap="square" anchor="t" anchorCtr="0" upright="1"/>
                    </wps:wsp>
                  </a:graphicData>
                </a:graphic>
              </wp:anchor>
            </w:drawing>
          </mc:Choice>
          <mc:Fallback>
            <w:pict>
              <v:shape id="文本框 6" o:spid="_x0000_s1026" o:spt="202" type="#_x0000_t202" style="position:absolute;left:0pt;margin-left:27.15pt;margin-top:39.9pt;height:37.2pt;width:365.25pt;z-index:251661312;mso-width-relative:page;mso-height-relative:page;" filled="f" stroked="f" coordsize="21600,21600" o:gfxdata="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&#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m15U/XAAAACQEAAA8AAAAAAAAAAQAgAAAAIgAAAGRy&#10;cy9kb3ducmV2LnhtbFBLAQIUABQAAAAIAIdO4kAm41+EzQEAAIEDAAAOAAAAAAAAAAEAIAAAACYB&#10;AABkcnMvZTJvRG9jLnhtbFBLBQYAAAAABgAGAFkBAABlBQAAAAA=&#10;">
                <v:fill on="f" focussize="0,0"/>
                <v:stroke on="f"/>
                <v:imagedata o:title=""/>
                <o:lock v:ext="edit" aspectratio="f"/>
                <v:textbox>
                  <w:txbxContent>
                    <w:p>
                      <w:pPr>
                        <w:ind w:firstLine="0" w:firstLineChars="0"/>
                        <w:jc w:val="center"/>
                        <w:rPr>
                          <w:sz w:val="28"/>
                          <w:szCs w:val="28"/>
                        </w:rPr>
                      </w:pPr>
                      <w:r>
                        <w:rPr>
                          <w:rFonts w:hint="eastAsia"/>
                          <w:sz w:val="28"/>
                          <w:szCs w:val="28"/>
                        </w:rPr>
                        <w:t>广西电网能源科技有限责任公司</w:t>
                      </w:r>
                    </w:p>
                  </w:txbxContent>
                </v:textbox>
              </v:shape>
            </w:pict>
          </mc:Fallback>
        </mc:AlternateContent>
      </w:r>
    </w:p>
    <w:p>
      <w:pPr>
        <w:spacing w:before="1560" w:beforeLines="500" w:line="240" w:lineRule="auto"/>
        <w:ind w:firstLine="0" w:firstLineChars="0"/>
        <w:jc w:val="center"/>
        <w:rPr>
          <w:rFonts w:ascii="Times New Roman" w:hAnsi="Times New Roman" w:eastAsia="仿宋_GB2312" w:cs="Times New Roman"/>
          <w:b/>
          <w:sz w:val="36"/>
          <w:szCs w:val="20"/>
        </w:rPr>
      </w:pPr>
      <w:r>
        <w:rPr>
          <w:rFonts w:ascii="Times New Roman" w:hAnsi="Times New Roman" w:eastAsia="仿宋_GB2312" w:cs="Times New Roman"/>
          <w:b/>
          <w:sz w:val="36"/>
          <w:szCs w:val="20"/>
        </w:rPr>
        <w:t>目录</w:t>
      </w:r>
    </w:p>
    <w:p>
      <w:pPr>
        <w:pStyle w:val="10"/>
        <w:tabs>
          <w:tab w:val="right" w:leader="dot" w:pos="8306"/>
        </w:tabs>
        <w:spacing w:before="118" w:after="118"/>
      </w:pPr>
      <w:r>
        <w:rPr>
          <w:rFonts w:eastAsia="仿宋_GB2312"/>
          <w:sz w:val="36"/>
        </w:rPr>
        <w:fldChar w:fldCharType="begin"/>
      </w:r>
      <w:r>
        <w:rPr>
          <w:rFonts w:eastAsia="仿宋_GB2312"/>
          <w:sz w:val="36"/>
        </w:rPr>
        <w:instrText xml:space="preserve">TOC \o "1-3" \t "" \h \z \u </w:instrText>
      </w:r>
      <w:r>
        <w:rPr>
          <w:rFonts w:eastAsia="仿宋_GB2312"/>
          <w:sz w:val="36"/>
        </w:rPr>
        <w:fldChar w:fldCharType="separate"/>
      </w:r>
      <w:r>
        <w:fldChar w:fldCharType="begin"/>
      </w:r>
      <w:r>
        <w:instrText xml:space="preserve"> HYPERLINK \l "_Toc21762" </w:instrText>
      </w:r>
      <w:r>
        <w:fldChar w:fldCharType="separate"/>
      </w:r>
      <w:r>
        <w:rPr>
          <w:szCs w:val="32"/>
        </w:rPr>
        <w:t>一、总则</w:t>
      </w:r>
      <w:r>
        <w:tab/>
      </w:r>
      <w:r>
        <w:fldChar w:fldCharType="begin"/>
      </w:r>
      <w:r>
        <w:instrText xml:space="preserve"> PAGEREF _Toc21762 \h </w:instrText>
      </w:r>
      <w:r>
        <w:fldChar w:fldCharType="separate"/>
      </w:r>
      <w:r>
        <w:t>1</w:t>
      </w:r>
      <w:r>
        <w:fldChar w:fldCharType="end"/>
      </w:r>
      <w:r>
        <w:fldChar w:fldCharType="end"/>
      </w:r>
    </w:p>
    <w:p>
      <w:pPr>
        <w:pStyle w:val="10"/>
        <w:tabs>
          <w:tab w:val="right" w:leader="dot" w:pos="8306"/>
        </w:tabs>
        <w:spacing w:before="118" w:after="118"/>
      </w:pPr>
      <w:r>
        <w:fldChar w:fldCharType="begin"/>
      </w:r>
      <w:r>
        <w:instrText xml:space="preserve"> HYPERLINK \l "_Toc23582" </w:instrText>
      </w:r>
      <w:r>
        <w:fldChar w:fldCharType="separate"/>
      </w:r>
      <w:r>
        <w:rPr>
          <w:szCs w:val="32"/>
        </w:rPr>
        <w:t>二、技术要求</w:t>
      </w:r>
      <w:r>
        <w:tab/>
      </w:r>
      <w:r>
        <w:fldChar w:fldCharType="begin"/>
      </w:r>
      <w:r>
        <w:instrText xml:space="preserve"> PAGEREF _Toc23582 \h </w:instrText>
      </w:r>
      <w:r>
        <w:fldChar w:fldCharType="separate"/>
      </w:r>
      <w:r>
        <w:t>3</w:t>
      </w:r>
      <w:r>
        <w:fldChar w:fldCharType="end"/>
      </w:r>
      <w:r>
        <w:fldChar w:fldCharType="end"/>
      </w:r>
    </w:p>
    <w:p>
      <w:pPr>
        <w:pStyle w:val="10"/>
        <w:tabs>
          <w:tab w:val="right" w:leader="dot" w:pos="8306"/>
        </w:tabs>
        <w:spacing w:before="118" w:after="118"/>
      </w:pPr>
      <w:r>
        <w:fldChar w:fldCharType="begin"/>
      </w:r>
      <w:r>
        <w:instrText xml:space="preserve"> HYPERLINK \l "_Toc1458" </w:instrText>
      </w:r>
      <w:r>
        <w:fldChar w:fldCharType="separate"/>
      </w:r>
      <w:r>
        <w:rPr>
          <w:szCs w:val="32"/>
        </w:rPr>
        <w:t>三、研究开发成果交付物</w:t>
      </w:r>
      <w:r>
        <w:tab/>
      </w:r>
      <w:r>
        <w:fldChar w:fldCharType="begin"/>
      </w:r>
      <w:r>
        <w:instrText xml:space="preserve"> PAGEREF _Toc1458 \h </w:instrText>
      </w:r>
      <w:r>
        <w:fldChar w:fldCharType="separate"/>
      </w:r>
      <w:r>
        <w:t>12</w:t>
      </w:r>
      <w:r>
        <w:fldChar w:fldCharType="end"/>
      </w:r>
      <w:r>
        <w:fldChar w:fldCharType="end"/>
      </w:r>
    </w:p>
    <w:p>
      <w:pPr>
        <w:pStyle w:val="10"/>
        <w:tabs>
          <w:tab w:val="right" w:leader="dot" w:pos="8306"/>
        </w:tabs>
        <w:spacing w:before="118" w:after="118"/>
      </w:pPr>
      <w:r>
        <w:fldChar w:fldCharType="begin"/>
      </w:r>
      <w:r>
        <w:instrText xml:space="preserve"> HYPERLINK \l "_Toc8077" </w:instrText>
      </w:r>
      <w:r>
        <w:fldChar w:fldCharType="separate"/>
      </w:r>
      <w:r>
        <w:rPr>
          <w:szCs w:val="32"/>
        </w:rPr>
        <w:t>四、项目进度</w:t>
      </w:r>
      <w:r>
        <w:tab/>
      </w:r>
      <w:r>
        <w:fldChar w:fldCharType="begin"/>
      </w:r>
      <w:r>
        <w:instrText xml:space="preserve"> PAGEREF _Toc8077 \h </w:instrText>
      </w:r>
      <w:r>
        <w:fldChar w:fldCharType="separate"/>
      </w:r>
      <w:r>
        <w:t>13</w:t>
      </w:r>
      <w:r>
        <w:fldChar w:fldCharType="end"/>
      </w:r>
      <w:r>
        <w:fldChar w:fldCharType="end"/>
      </w:r>
    </w:p>
    <w:p>
      <w:pPr>
        <w:pStyle w:val="10"/>
        <w:tabs>
          <w:tab w:val="right" w:leader="dot" w:pos="8306"/>
        </w:tabs>
        <w:spacing w:before="118" w:after="118"/>
      </w:pPr>
      <w:r>
        <w:fldChar w:fldCharType="begin"/>
      </w:r>
      <w:r>
        <w:instrText xml:space="preserve"> HYPERLINK \l "_Toc31926" </w:instrText>
      </w:r>
      <w:r>
        <w:fldChar w:fldCharType="separate"/>
      </w:r>
      <w:r>
        <w:rPr>
          <w:szCs w:val="32"/>
        </w:rPr>
        <w:t>五、开发人员</w:t>
      </w:r>
      <w:r>
        <w:tab/>
      </w:r>
      <w:r>
        <w:fldChar w:fldCharType="begin"/>
      </w:r>
      <w:r>
        <w:instrText xml:space="preserve"> PAGEREF _Toc31926 \h </w:instrText>
      </w:r>
      <w:r>
        <w:fldChar w:fldCharType="separate"/>
      </w:r>
      <w:r>
        <w:t>13</w:t>
      </w:r>
      <w:r>
        <w:fldChar w:fldCharType="end"/>
      </w:r>
      <w:r>
        <w:fldChar w:fldCharType="end"/>
      </w:r>
    </w:p>
    <w:p>
      <w:pPr>
        <w:pStyle w:val="10"/>
        <w:tabs>
          <w:tab w:val="right" w:leader="dot" w:pos="8306"/>
        </w:tabs>
        <w:spacing w:before="118" w:after="118"/>
      </w:pPr>
      <w:r>
        <w:fldChar w:fldCharType="begin"/>
      </w:r>
      <w:r>
        <w:instrText xml:space="preserve"> HYPERLINK \l "_Toc5693" </w:instrText>
      </w:r>
      <w:r>
        <w:fldChar w:fldCharType="separate"/>
      </w:r>
      <w:r>
        <w:rPr>
          <w:szCs w:val="32"/>
        </w:rPr>
        <w:t>六、投标技术文件编制要求</w:t>
      </w:r>
      <w:r>
        <w:tab/>
      </w:r>
      <w:r>
        <w:fldChar w:fldCharType="begin"/>
      </w:r>
      <w:r>
        <w:instrText xml:space="preserve"> PAGEREF _Toc5693 \h </w:instrText>
      </w:r>
      <w:r>
        <w:fldChar w:fldCharType="separate"/>
      </w:r>
      <w:r>
        <w:t>14</w:t>
      </w:r>
      <w:r>
        <w:fldChar w:fldCharType="end"/>
      </w:r>
      <w:r>
        <w:fldChar w:fldCharType="end"/>
      </w:r>
    </w:p>
    <w:p>
      <w:pPr>
        <w:pStyle w:val="10"/>
        <w:tabs>
          <w:tab w:val="right" w:leader="dot" w:pos="8306"/>
        </w:tabs>
        <w:spacing w:before="118" w:after="118"/>
      </w:pPr>
      <w:r>
        <w:fldChar w:fldCharType="begin"/>
      </w:r>
      <w:r>
        <w:instrText xml:space="preserve"> HYPERLINK \l "_Toc25365" </w:instrText>
      </w:r>
      <w:r>
        <w:fldChar w:fldCharType="separate"/>
      </w:r>
      <w:r>
        <w:rPr>
          <w:szCs w:val="32"/>
        </w:rPr>
        <w:t>七、技术资料和文件</w:t>
      </w:r>
      <w:r>
        <w:tab/>
      </w:r>
      <w:r>
        <w:fldChar w:fldCharType="begin"/>
      </w:r>
      <w:r>
        <w:instrText xml:space="preserve"> PAGEREF _Toc25365 \h </w:instrText>
      </w:r>
      <w:r>
        <w:fldChar w:fldCharType="separate"/>
      </w:r>
      <w:r>
        <w:t>15</w:t>
      </w:r>
      <w:r>
        <w:fldChar w:fldCharType="end"/>
      </w:r>
      <w:r>
        <w:fldChar w:fldCharType="end"/>
      </w:r>
    </w:p>
    <w:p>
      <w:pPr>
        <w:pStyle w:val="10"/>
        <w:tabs>
          <w:tab w:val="right" w:leader="dot" w:pos="8306"/>
        </w:tabs>
        <w:spacing w:before="118" w:after="118"/>
      </w:pPr>
      <w:r>
        <w:fldChar w:fldCharType="begin"/>
      </w:r>
      <w:r>
        <w:instrText xml:space="preserve"> HYPERLINK \l "_Toc27378" </w:instrText>
      </w:r>
      <w:r>
        <w:fldChar w:fldCharType="separate"/>
      </w:r>
      <w:r>
        <w:rPr>
          <w:szCs w:val="32"/>
        </w:rPr>
        <w:t>八、项目联络</w:t>
      </w:r>
      <w:r>
        <w:tab/>
      </w:r>
      <w:r>
        <w:fldChar w:fldCharType="begin"/>
      </w:r>
      <w:r>
        <w:instrText xml:space="preserve"> PAGEREF _Toc27378 \h </w:instrText>
      </w:r>
      <w:r>
        <w:fldChar w:fldCharType="separate"/>
      </w:r>
      <w:r>
        <w:t>16</w:t>
      </w:r>
      <w:r>
        <w:fldChar w:fldCharType="end"/>
      </w:r>
      <w:r>
        <w:fldChar w:fldCharType="end"/>
      </w:r>
    </w:p>
    <w:p>
      <w:pPr>
        <w:pStyle w:val="10"/>
        <w:tabs>
          <w:tab w:val="right" w:leader="dot" w:pos="8306"/>
        </w:tabs>
        <w:spacing w:before="118" w:after="118"/>
      </w:pPr>
      <w:r>
        <w:fldChar w:fldCharType="begin"/>
      </w:r>
      <w:r>
        <w:instrText xml:space="preserve"> HYPERLINK \l "_Toc6177" </w:instrText>
      </w:r>
      <w:r>
        <w:fldChar w:fldCharType="separate"/>
      </w:r>
      <w:r>
        <w:rPr>
          <w:szCs w:val="32"/>
        </w:rPr>
        <w:t>九、评审与验收</w:t>
      </w:r>
      <w:r>
        <w:tab/>
      </w:r>
      <w:r>
        <w:fldChar w:fldCharType="begin"/>
      </w:r>
      <w:r>
        <w:instrText xml:space="preserve"> PAGEREF _Toc6177 \h </w:instrText>
      </w:r>
      <w:r>
        <w:fldChar w:fldCharType="separate"/>
      </w:r>
      <w:r>
        <w:t>16</w:t>
      </w:r>
      <w:r>
        <w:fldChar w:fldCharType="end"/>
      </w:r>
      <w:r>
        <w:fldChar w:fldCharType="end"/>
      </w:r>
    </w:p>
    <w:p>
      <w:pPr>
        <w:pStyle w:val="10"/>
        <w:tabs>
          <w:tab w:val="right" w:leader="dot" w:pos="8306"/>
        </w:tabs>
        <w:spacing w:before="118" w:after="118"/>
      </w:pPr>
      <w:r>
        <w:fldChar w:fldCharType="begin"/>
      </w:r>
      <w:r>
        <w:instrText xml:space="preserve"> HYPERLINK \l "_Toc21104" </w:instrText>
      </w:r>
      <w:r>
        <w:fldChar w:fldCharType="separate"/>
      </w:r>
      <w:r>
        <w:rPr>
          <w:szCs w:val="32"/>
        </w:rPr>
        <w:t>十、售后服务</w:t>
      </w:r>
      <w:r>
        <w:tab/>
      </w:r>
      <w:r>
        <w:fldChar w:fldCharType="begin"/>
      </w:r>
      <w:r>
        <w:instrText xml:space="preserve"> PAGEREF _Toc21104 \h </w:instrText>
      </w:r>
      <w:r>
        <w:fldChar w:fldCharType="separate"/>
      </w:r>
      <w:r>
        <w:t>17</w:t>
      </w:r>
      <w:r>
        <w:fldChar w:fldCharType="end"/>
      </w:r>
      <w:r>
        <w:fldChar w:fldCharType="end"/>
      </w:r>
    </w:p>
    <w:p>
      <w:pPr>
        <w:pStyle w:val="10"/>
        <w:tabs>
          <w:tab w:val="right" w:leader="dot" w:pos="8306"/>
        </w:tabs>
        <w:spacing w:before="118" w:after="118"/>
      </w:pPr>
      <w:r>
        <w:fldChar w:fldCharType="begin"/>
      </w:r>
      <w:r>
        <w:instrText xml:space="preserve"> HYPERLINK \l "_Toc27995" </w:instrText>
      </w:r>
      <w:r>
        <w:fldChar w:fldCharType="separate"/>
      </w:r>
      <w:r>
        <w:rPr>
          <w:szCs w:val="32"/>
        </w:rPr>
        <w:t>十一、其他相关要求</w:t>
      </w:r>
      <w:r>
        <w:tab/>
      </w:r>
      <w:r>
        <w:fldChar w:fldCharType="begin"/>
      </w:r>
      <w:r>
        <w:instrText xml:space="preserve"> PAGEREF _Toc27995 \h </w:instrText>
      </w:r>
      <w:r>
        <w:fldChar w:fldCharType="separate"/>
      </w:r>
      <w:r>
        <w:t>17</w:t>
      </w:r>
      <w:r>
        <w:fldChar w:fldCharType="end"/>
      </w:r>
      <w:r>
        <w:fldChar w:fldCharType="end"/>
      </w:r>
    </w:p>
    <w:p>
      <w:pPr>
        <w:pStyle w:val="10"/>
        <w:tabs>
          <w:tab w:val="right" w:leader="dot" w:pos="8306"/>
        </w:tabs>
        <w:spacing w:before="118" w:after="118"/>
      </w:pPr>
      <w:r>
        <w:fldChar w:fldCharType="begin"/>
      </w:r>
      <w:r>
        <w:instrText xml:space="preserve"> HYPERLINK \l "_Toc20673" </w:instrText>
      </w:r>
      <w:r>
        <w:fldChar w:fldCharType="separate"/>
      </w:r>
      <w:r>
        <w:rPr>
          <w:szCs w:val="32"/>
        </w:rPr>
        <w:t>附件</w:t>
      </w:r>
      <w:r>
        <w:tab/>
      </w:r>
      <w:r>
        <w:fldChar w:fldCharType="begin"/>
      </w:r>
      <w:r>
        <w:instrText xml:space="preserve"> PAGEREF _Toc20673 \h </w:instrText>
      </w:r>
      <w:r>
        <w:fldChar w:fldCharType="separate"/>
      </w:r>
      <w:r>
        <w:t>19</w:t>
      </w:r>
      <w:r>
        <w:fldChar w:fldCharType="end"/>
      </w:r>
      <w:r>
        <w:fldChar w:fldCharType="end"/>
      </w:r>
    </w:p>
    <w:p>
      <w:pPr>
        <w:ind w:firstLine="480"/>
        <w:rPr>
          <w:rFonts w:ascii="Times New Roman" w:hAnsi="Times New Roman" w:cs="Times New Roman"/>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docGrid w:type="lines" w:linePitch="312" w:charSpace="0"/>
        </w:sectPr>
      </w:pPr>
      <w:r>
        <w:rPr>
          <w:rFonts w:ascii="Times New Roman" w:hAnsi="Times New Roman" w:cs="Times New Roman"/>
        </w:rPr>
        <w:fldChar w:fldCharType="end"/>
      </w:r>
    </w:p>
    <w:p>
      <w:pPr>
        <w:pStyle w:val="4"/>
        <w:numPr>
          <w:ilvl w:val="0"/>
          <w:numId w:val="0"/>
        </w:numPr>
        <w:spacing w:before="0" w:after="0" w:line="560" w:lineRule="exact"/>
        <w:rPr>
          <w:sz w:val="32"/>
          <w:szCs w:val="32"/>
        </w:rPr>
      </w:pPr>
      <w:bookmarkStart w:id="0" w:name="_Toc444945507"/>
      <w:bookmarkStart w:id="1" w:name="_Toc353939550"/>
      <w:bookmarkStart w:id="2" w:name="_Toc353940788"/>
      <w:bookmarkStart w:id="3" w:name="_Toc299606277"/>
      <w:bookmarkStart w:id="4" w:name="_Toc21762"/>
      <w:r>
        <w:rPr>
          <w:sz w:val="32"/>
          <w:szCs w:val="32"/>
        </w:rPr>
        <w:t>一、总则</w:t>
      </w:r>
      <w:bookmarkEnd w:id="0"/>
      <w:bookmarkEnd w:id="1"/>
      <w:bookmarkEnd w:id="2"/>
      <w:bookmarkEnd w:id="3"/>
      <w:bookmarkEnd w:id="4"/>
    </w:p>
    <w:p>
      <w:pPr>
        <w:pStyle w:val="5"/>
        <w:spacing w:before="0" w:after="0" w:line="560" w:lineRule="exact"/>
        <w:rPr>
          <w:rFonts w:ascii="Times New Roman" w:hAnsi="Times New Roman"/>
        </w:rPr>
      </w:pPr>
      <w:bookmarkStart w:id="5" w:name="_Toc318799924"/>
      <w:bookmarkStart w:id="6" w:name="_Toc2244"/>
      <w:bookmarkStart w:id="7" w:name="_Toc444945508"/>
      <w:r>
        <w:rPr>
          <w:rFonts w:ascii="Times New Roman" w:hAnsi="Times New Roman"/>
        </w:rPr>
        <w:t>1.1 一般要求</w:t>
      </w:r>
      <w:bookmarkEnd w:id="5"/>
      <w:bookmarkEnd w:id="6"/>
      <w:bookmarkEnd w:id="7"/>
    </w:p>
    <w:p>
      <w:pPr>
        <w:spacing w:line="560" w:lineRule="exact"/>
        <w:ind w:firstLine="480"/>
        <w:rPr>
          <w:rFonts w:ascii="Times New Roman" w:hAnsi="Times New Roman" w:cs="Times New Roman"/>
        </w:rPr>
      </w:pPr>
      <w:bookmarkStart w:id="8" w:name="_Toc299606280"/>
      <w:bookmarkStart w:id="9" w:name="_Toc353939553"/>
      <w:bookmarkStart w:id="10" w:name="_Toc444945511"/>
      <w:bookmarkStart w:id="11" w:name="_Toc353940791"/>
      <w:r>
        <w:rPr>
          <w:rFonts w:ascii="Times New Roman" w:hAnsi="Times New Roman" w:cs="Times New Roman"/>
        </w:rPr>
        <w:t>1.1.1 本技术条款主要描述</w:t>
      </w:r>
      <w:r>
        <w:rPr>
          <w:rFonts w:hint="eastAsia" w:ascii="Times New Roman" w:hAnsi="Times New Roman" w:cs="Times New Roman"/>
        </w:rPr>
        <w:t>“</w:t>
      </w:r>
      <w:r>
        <w:rPr>
          <w:rFonts w:hint="eastAsia" w:ascii="Times New Roman" w:hAnsi="Times New Roman" w:cs="Times New Roman"/>
          <w:bCs/>
          <w:u w:val="single"/>
        </w:rPr>
        <w:t>广西电网能源科技有限责任公司配电设备不停电激光除锈关键技术研究</w:t>
      </w:r>
      <w:r>
        <w:rPr>
          <w:rFonts w:hint="eastAsia" w:ascii="Times New Roman" w:hAnsi="Times New Roman" w:cs="Times New Roman"/>
        </w:rPr>
        <w:t>”</w:t>
      </w:r>
      <w:r>
        <w:rPr>
          <w:rFonts w:ascii="Times New Roman" w:hAnsi="Times New Roman" w:cs="Times New Roman"/>
        </w:rPr>
        <w:t>研究内容有关事项。投标方必须认真阅读本技术条款内容，以免造成投标失败。</w:t>
      </w:r>
    </w:p>
    <w:p>
      <w:pPr>
        <w:spacing w:line="560" w:lineRule="exact"/>
        <w:ind w:firstLine="480"/>
        <w:rPr>
          <w:rFonts w:ascii="Times New Roman" w:hAnsi="Times New Roman" w:cs="Times New Roman"/>
        </w:rPr>
      </w:pPr>
      <w:r>
        <w:rPr>
          <w:rFonts w:ascii="Times New Roman" w:hAnsi="Times New Roman" w:cs="Times New Roman"/>
        </w:rPr>
        <w:t>1.1.2 本技术规范书提出的是最低限度的技术要求, 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spacing w:line="560" w:lineRule="exact"/>
        <w:ind w:firstLine="480"/>
        <w:rPr>
          <w:rFonts w:ascii="Times New Roman" w:hAnsi="Times New Roman" w:cs="Times New Roman"/>
        </w:rPr>
      </w:pPr>
      <w:r>
        <w:rPr>
          <w:rFonts w:ascii="Times New Roman" w:hAnsi="Times New Roman" w:cs="Times New Roman"/>
        </w:rPr>
        <w:t>1.1.3 本规范书指标要求中，凡标有下划线或加“</w:t>
      </w:r>
      <w:r>
        <w:rPr>
          <w:rFonts w:ascii="Segoe UI Symbol" w:hAnsi="Segoe UI Symbol" w:cs="Segoe UI Symbol"/>
        </w:rPr>
        <w:t>★</w:t>
      </w:r>
      <w:r>
        <w:rPr>
          <w:rFonts w:ascii="Times New Roman" w:hAnsi="Times New Roman" w:cs="Times New Roman"/>
        </w:rPr>
        <w:t>”的地方均被视为重要的技术指标要求或性能要求。投标方要特别加以注意，必须完全满足这些要求。</w:t>
      </w:r>
    </w:p>
    <w:p>
      <w:pPr>
        <w:spacing w:line="560" w:lineRule="exact"/>
        <w:ind w:firstLine="480"/>
        <w:rPr>
          <w:rFonts w:ascii="Times New Roman" w:hAnsi="Times New Roman" w:cs="Times New Roman"/>
        </w:rPr>
      </w:pPr>
      <w:r>
        <w:rPr>
          <w:rFonts w:ascii="Times New Roman" w:hAnsi="Times New Roman" w:cs="Times New Roman"/>
        </w:rPr>
        <w:t>1.1.4 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spacing w:line="560" w:lineRule="exact"/>
        <w:ind w:firstLine="480"/>
        <w:rPr>
          <w:rFonts w:ascii="Times New Roman" w:hAnsi="Times New Roman" w:cs="Times New Roman"/>
        </w:rPr>
      </w:pPr>
      <w:r>
        <w:rPr>
          <w:rFonts w:ascii="Times New Roman" w:hAnsi="Times New Roman" w:cs="Times New Roman"/>
        </w:rPr>
        <w:t>1.1.5 如果投标方认为本技术条款所描述技术要求等存在不合理性或不明白的，可在响应原要求后陈述相关建议。</w:t>
      </w:r>
    </w:p>
    <w:p>
      <w:pPr>
        <w:spacing w:line="560" w:lineRule="exact"/>
        <w:ind w:firstLine="480"/>
        <w:rPr>
          <w:rFonts w:ascii="Times New Roman" w:hAnsi="Times New Roman" w:cs="Times New Roman"/>
        </w:rPr>
      </w:pPr>
      <w:r>
        <w:rPr>
          <w:rFonts w:ascii="Times New Roman" w:hAnsi="Times New Roman" w:cs="Times New Roman"/>
        </w:rPr>
        <w:t>1.1.6 投标方也可提出满足本技术规范书要求，且技术先进、成熟、价格合理的其他建议，供招标方选择。</w:t>
      </w:r>
    </w:p>
    <w:p>
      <w:pPr>
        <w:spacing w:line="560" w:lineRule="exact"/>
        <w:ind w:firstLine="480"/>
        <w:rPr>
          <w:rFonts w:ascii="Times New Roman" w:hAnsi="Times New Roman" w:cs="Times New Roman"/>
        </w:rPr>
      </w:pPr>
      <w:r>
        <w:rPr>
          <w:rFonts w:ascii="Times New Roman" w:hAnsi="Times New Roman" w:cs="Times New Roman"/>
        </w:rPr>
        <w:t>1.1.7 投标方应提供满足本技术规范书要求的完整的服务、工作产品，满足国家及用户提出的有关质量标准要求。所有工作产品必须具有在中国境内的合法使用权。</w:t>
      </w:r>
    </w:p>
    <w:p>
      <w:pPr>
        <w:spacing w:line="560" w:lineRule="exact"/>
        <w:ind w:firstLine="480"/>
        <w:rPr>
          <w:rFonts w:ascii="Times New Roman" w:hAnsi="Times New Roman" w:cs="Times New Roman"/>
        </w:rPr>
      </w:pPr>
      <w:r>
        <w:rPr>
          <w:rFonts w:ascii="Times New Roman" w:hAnsi="Times New Roman" w:cs="Times New Roman"/>
        </w:rPr>
        <w:t>1.1.8 本技术规范书所使用的标准如与投标方所执行的标准不一致，按较高标准执行。</w:t>
      </w:r>
    </w:p>
    <w:p>
      <w:pPr>
        <w:spacing w:line="560" w:lineRule="exact"/>
        <w:ind w:firstLine="480"/>
        <w:rPr>
          <w:rFonts w:ascii="Times New Roman" w:hAnsi="Times New Roman" w:cs="Times New Roman"/>
        </w:rPr>
      </w:pPr>
      <w:r>
        <w:rPr>
          <w:rFonts w:ascii="Times New Roman" w:hAnsi="Times New Roman" w:cs="Times New Roman"/>
        </w:rPr>
        <w:t>1.1.9 如果因为无法提供的原因而提供其他产品、服务，投标方应明确说明并提出质量保证承诺。</w:t>
      </w:r>
    </w:p>
    <w:p>
      <w:pPr>
        <w:spacing w:line="560" w:lineRule="exact"/>
        <w:ind w:firstLine="480"/>
        <w:rPr>
          <w:rFonts w:ascii="Times New Roman" w:hAnsi="Times New Roman" w:cs="Times New Roman"/>
        </w:rPr>
      </w:pPr>
      <w:r>
        <w:rPr>
          <w:rFonts w:ascii="Times New Roman" w:hAnsi="Times New Roman" w:cs="Times New Roman"/>
        </w:rPr>
        <w:t>1.1.10 投标方应保证为今后招标方开发的或招标方委托第三方开发的其他工作产品提供可靠的性能和兼容性。</w:t>
      </w:r>
    </w:p>
    <w:p>
      <w:pPr>
        <w:spacing w:line="560" w:lineRule="exact"/>
        <w:ind w:firstLine="480"/>
        <w:rPr>
          <w:rFonts w:ascii="Times New Roman" w:hAnsi="Times New Roman" w:cs="Times New Roman"/>
        </w:rPr>
      </w:pPr>
      <w:r>
        <w:rPr>
          <w:rFonts w:ascii="Times New Roman" w:hAnsi="Times New Roman" w:cs="Times New Roman"/>
        </w:rPr>
        <w:t>1.1.11 投标方应对本次投标所有文件保密，不得向其他单位公布或泄漏招标项目的有关信息。</w:t>
      </w:r>
    </w:p>
    <w:p>
      <w:pPr>
        <w:spacing w:line="560" w:lineRule="exact"/>
        <w:ind w:firstLine="480"/>
        <w:rPr>
          <w:rFonts w:ascii="Times New Roman" w:hAnsi="Times New Roman" w:cs="Times New Roman"/>
        </w:rPr>
      </w:pPr>
      <w:r>
        <w:rPr>
          <w:rFonts w:ascii="Times New Roman" w:hAnsi="Times New Roman" w:cs="Times New Roman"/>
        </w:rPr>
        <w:t>1.1.12 招标方保留技术规范书修改的权利，可以提出变更的意见和建议，最终签订的技术协议与合同具有同等效力。</w:t>
      </w:r>
    </w:p>
    <w:p>
      <w:pPr>
        <w:spacing w:line="560" w:lineRule="exact"/>
        <w:ind w:firstLine="480"/>
        <w:rPr>
          <w:rFonts w:ascii="Times New Roman" w:hAnsi="Times New Roman" w:cs="Times New Roman"/>
        </w:rPr>
      </w:pPr>
      <w:r>
        <w:rPr>
          <w:rFonts w:ascii="Times New Roman" w:hAnsi="Times New Roman" w:cs="Times New Roman"/>
        </w:rPr>
        <w:t>1.1.13 在不超出本技术规范书要求的情况下，投标方应对招标方提出的所有细化要求予以满足。</w:t>
      </w:r>
    </w:p>
    <w:p>
      <w:pPr>
        <w:spacing w:line="560" w:lineRule="exact"/>
        <w:ind w:firstLine="480"/>
        <w:rPr>
          <w:rFonts w:ascii="Times New Roman" w:hAnsi="Times New Roman" w:cs="Times New Roman"/>
        </w:rPr>
      </w:pPr>
      <w:r>
        <w:rPr>
          <w:rFonts w:ascii="Times New Roman" w:hAnsi="Times New Roman" w:cs="Times New Roman"/>
        </w:rPr>
        <w:t>1.1.14 有文件、图纸、通信的均使用中文。所有计算、说明、图纸文件、手册等使用国际单位制。</w:t>
      </w:r>
    </w:p>
    <w:p>
      <w:pPr>
        <w:pStyle w:val="5"/>
        <w:spacing w:before="0" w:after="0" w:line="560" w:lineRule="exact"/>
        <w:rPr>
          <w:rFonts w:ascii="Times New Roman" w:hAnsi="Times New Roman"/>
        </w:rPr>
      </w:pPr>
      <w:bookmarkStart w:id="12" w:name="_Toc261810243"/>
      <w:bookmarkStart w:id="13" w:name="_Toc4729"/>
      <w:bookmarkStart w:id="14" w:name="_Toc252485428"/>
      <w:bookmarkStart w:id="15" w:name="_Toc252486971"/>
      <w:bookmarkStart w:id="16" w:name="_Toc293665071"/>
      <w:bookmarkStart w:id="17" w:name="_Toc445194080"/>
      <w:bookmarkStart w:id="18" w:name="_Toc582"/>
      <w:bookmarkStart w:id="19" w:name="_Toc255894290"/>
      <w:bookmarkStart w:id="20" w:name="_Toc222711875"/>
      <w:r>
        <w:rPr>
          <w:rFonts w:ascii="Times New Roman" w:hAnsi="Times New Roman"/>
        </w:rPr>
        <w:t>1.2标准和规范</w:t>
      </w:r>
      <w:bookmarkEnd w:id="12"/>
      <w:bookmarkEnd w:id="13"/>
      <w:bookmarkEnd w:id="14"/>
      <w:bookmarkEnd w:id="15"/>
      <w:bookmarkEnd w:id="16"/>
      <w:bookmarkEnd w:id="17"/>
      <w:bookmarkEnd w:id="18"/>
      <w:bookmarkEnd w:id="19"/>
      <w:bookmarkEnd w:id="20"/>
    </w:p>
    <w:p>
      <w:pPr>
        <w:autoSpaceDE w:val="0"/>
        <w:autoSpaceDN w:val="0"/>
        <w:adjustRightInd w:val="0"/>
        <w:spacing w:line="560" w:lineRule="exact"/>
        <w:ind w:firstLine="480"/>
        <w:rPr>
          <w:rFonts w:ascii="Times New Roman" w:hAnsi="Times New Roman" w:cs="Times New Roman"/>
          <w:szCs w:val="21"/>
          <w:lang w:val="zh-CN"/>
        </w:rPr>
      </w:pPr>
      <w:r>
        <w:rPr>
          <w:rFonts w:ascii="Times New Roman" w:hAnsi="Times New Roman" w:cs="Times New Roman"/>
        </w:rPr>
        <w:t>本规范书中涉及的所有规范、标准或材料规格均应为最新版本，即以招标方发出本定单之日作为采用最新版本的截止日期。若发现本规范书与所列标准之间有不一致之处，投标方应向招标方指明，并由招标方确定采用哪一个规范。</w:t>
      </w:r>
    </w:p>
    <w:p>
      <w:pPr>
        <w:autoSpaceDE w:val="0"/>
        <w:autoSpaceDN w:val="0"/>
        <w:adjustRightInd w:val="0"/>
        <w:spacing w:line="560" w:lineRule="exact"/>
        <w:ind w:firstLine="480"/>
        <w:rPr>
          <w:rFonts w:ascii="Times New Roman" w:hAnsi="Times New Roman" w:cs="Times New Roman"/>
          <w:szCs w:val="21"/>
          <w:lang w:val="zh-CN"/>
        </w:rPr>
      </w:pPr>
      <w:r>
        <w:rPr>
          <w:rFonts w:ascii="Times New Roman" w:hAnsi="Times New Roman" w:cs="Times New Roman"/>
          <w:szCs w:val="21"/>
          <w:lang w:val="zh-CN"/>
        </w:rPr>
        <w:t>投标方如果采用自己的标准或规范，必须向招标方提供中文复印件并经招标方同意后方可采用，但不能低于</w:t>
      </w:r>
      <w:r>
        <w:rPr>
          <w:rFonts w:ascii="Times New Roman" w:hAnsi="Times New Roman" w:cs="Times New Roman"/>
          <w:szCs w:val="21"/>
        </w:rPr>
        <w:t>国家标准</w:t>
      </w:r>
      <w:r>
        <w:rPr>
          <w:rFonts w:ascii="Times New Roman" w:hAnsi="Times New Roman" w:cs="Times New Roman"/>
          <w:szCs w:val="21"/>
          <w:lang w:val="zh-CN"/>
        </w:rPr>
        <w:t>GB、</w:t>
      </w:r>
      <w:r>
        <w:rPr>
          <w:rFonts w:ascii="Times New Roman" w:hAnsi="Times New Roman" w:cs="Times New Roman"/>
          <w:szCs w:val="21"/>
        </w:rPr>
        <w:t>行业标准</w:t>
      </w:r>
      <w:r>
        <w:rPr>
          <w:rFonts w:ascii="Times New Roman" w:hAnsi="Times New Roman" w:cs="Times New Roman"/>
          <w:szCs w:val="21"/>
          <w:lang w:val="zh-CN"/>
        </w:rPr>
        <w:t>JB有关规定。</w:t>
      </w:r>
    </w:p>
    <w:p>
      <w:pPr>
        <w:autoSpaceDE w:val="0"/>
        <w:autoSpaceDN w:val="0"/>
        <w:adjustRightInd w:val="0"/>
        <w:spacing w:line="560" w:lineRule="exact"/>
        <w:ind w:firstLine="480"/>
        <w:rPr>
          <w:rFonts w:ascii="Times New Roman" w:hAnsi="Times New Roman" w:cs="Times New Roman"/>
          <w:szCs w:val="21"/>
          <w:lang w:val="zh-CN"/>
        </w:rPr>
      </w:pPr>
      <w:r>
        <w:rPr>
          <w:rFonts w:ascii="Times New Roman" w:hAnsi="Times New Roman" w:cs="Times New Roman"/>
          <w:szCs w:val="21"/>
          <w:lang w:val="zh-CN"/>
        </w:rPr>
        <w:t>下列标准所包括的条文，通过在本规定中引用而构成本规定的条文。本标准出版时所示版本均为有效。所有标准都会被修订，使用本标准的各方应探讨使用下列标准最新版本的可能性。</w:t>
      </w:r>
    </w:p>
    <w:p>
      <w:pPr>
        <w:pStyle w:val="2"/>
        <w:spacing w:line="560" w:lineRule="exact"/>
        <w:ind w:firstLine="480"/>
        <w:rPr>
          <w:rFonts w:ascii="Times New Roman" w:hAnsi="Times New Roman" w:cs="Times New Roman"/>
          <w:lang w:val="zh-CN"/>
        </w:rPr>
      </w:pPr>
      <w:r>
        <w:rPr>
          <w:rFonts w:hint="eastAsia" w:ascii="Times New Roman" w:hAnsi="Times New Roman" w:cs="Times New Roman"/>
          <w:lang w:val="zh-CN"/>
        </w:rPr>
        <w:t>GB 26860-2011 电力安全工作规程 发电厂和变电站电气部分</w:t>
      </w:r>
    </w:p>
    <w:p>
      <w:pPr>
        <w:pStyle w:val="2"/>
        <w:spacing w:line="560" w:lineRule="exact"/>
        <w:ind w:firstLine="480"/>
        <w:rPr>
          <w:rFonts w:ascii="Times New Roman" w:hAnsi="Times New Roman" w:cs="Times New Roman"/>
          <w:lang w:val="zh-CN"/>
        </w:rPr>
      </w:pPr>
      <w:r>
        <w:rPr>
          <w:rFonts w:hint="eastAsia" w:ascii="Times New Roman" w:hAnsi="Times New Roman" w:cs="Times New Roman"/>
          <w:lang w:val="zh-CN"/>
        </w:rPr>
        <w:t xml:space="preserve">GB/T 19436.1-2004 激光产品的安全 第1部分：设备分类、要求 </w:t>
      </w:r>
    </w:p>
    <w:p>
      <w:pPr>
        <w:pStyle w:val="2"/>
        <w:spacing w:line="560" w:lineRule="exact"/>
        <w:ind w:firstLine="480"/>
        <w:rPr>
          <w:rFonts w:ascii="Times New Roman" w:hAnsi="Times New Roman" w:cs="Times New Roman"/>
          <w:lang w:val="zh-CN"/>
        </w:rPr>
      </w:pPr>
      <w:r>
        <w:rPr>
          <w:rFonts w:hint="eastAsia" w:ascii="Times New Roman" w:hAnsi="Times New Roman" w:cs="Times New Roman"/>
          <w:lang w:val="zh-CN"/>
        </w:rPr>
        <w:t>DL/T 1466-2015 带电作业用绝缘工具试验导则</w:t>
      </w:r>
    </w:p>
    <w:p>
      <w:pPr>
        <w:pStyle w:val="2"/>
        <w:spacing w:line="560" w:lineRule="exact"/>
        <w:ind w:firstLine="480"/>
        <w:rPr>
          <w:rFonts w:ascii="Times New Roman" w:hAnsi="Times New Roman" w:cs="Times New Roman"/>
          <w:lang w:val="zh-CN"/>
        </w:rPr>
      </w:pPr>
      <w:r>
        <w:rPr>
          <w:rFonts w:hint="eastAsia" w:ascii="Times New Roman" w:hAnsi="Times New Roman" w:cs="Times New Roman"/>
          <w:lang w:val="zh-CN"/>
        </w:rPr>
        <w:t xml:space="preserve">DL/T 876-2015 配电线路带电作业技术导则 </w:t>
      </w:r>
    </w:p>
    <w:p>
      <w:pPr>
        <w:pStyle w:val="2"/>
        <w:spacing w:line="560" w:lineRule="exact"/>
        <w:ind w:firstLine="480"/>
        <w:rPr>
          <w:rFonts w:ascii="Times New Roman" w:hAnsi="Times New Roman" w:cs="Times New Roman"/>
          <w:lang w:val="zh-CN"/>
        </w:rPr>
      </w:pPr>
      <w:r>
        <w:rPr>
          <w:rFonts w:hint="eastAsia" w:ascii="Times New Roman" w:hAnsi="Times New Roman" w:cs="Times New Roman"/>
          <w:lang w:val="zh-CN"/>
        </w:rPr>
        <w:t>GB/T 30556.1-2014 电磁兼容 试验和测量技术 抗扰度试验总论</w:t>
      </w:r>
    </w:p>
    <w:p>
      <w:pPr>
        <w:pStyle w:val="2"/>
        <w:spacing w:line="560" w:lineRule="exact"/>
        <w:ind w:firstLine="480"/>
        <w:rPr>
          <w:rFonts w:ascii="Times New Roman" w:hAnsi="Times New Roman" w:cs="Times New Roman"/>
        </w:rPr>
      </w:pPr>
    </w:p>
    <w:bookmarkEnd w:id="8"/>
    <w:bookmarkEnd w:id="9"/>
    <w:bookmarkEnd w:id="10"/>
    <w:bookmarkEnd w:id="11"/>
    <w:p>
      <w:pPr>
        <w:pStyle w:val="4"/>
        <w:numPr>
          <w:ilvl w:val="0"/>
          <w:numId w:val="0"/>
        </w:numPr>
        <w:spacing w:before="0" w:after="0" w:line="560" w:lineRule="exact"/>
        <w:rPr>
          <w:sz w:val="32"/>
          <w:szCs w:val="32"/>
        </w:rPr>
      </w:pPr>
      <w:bookmarkStart w:id="21" w:name="_Toc23582"/>
      <w:bookmarkStart w:id="22" w:name="_Toc444945516"/>
      <w:r>
        <w:rPr>
          <w:sz w:val="32"/>
          <w:szCs w:val="32"/>
        </w:rPr>
        <w:t>二、技术要求</w:t>
      </w:r>
      <w:bookmarkEnd w:id="21"/>
      <w:bookmarkEnd w:id="22"/>
    </w:p>
    <w:p>
      <w:pPr>
        <w:pStyle w:val="5"/>
        <w:spacing w:before="0" w:after="0" w:line="560" w:lineRule="exact"/>
        <w:rPr>
          <w:rFonts w:ascii="Times New Roman" w:hAnsi="Times New Roman"/>
          <w:highlight w:val="yellow"/>
        </w:rPr>
      </w:pPr>
      <w:bookmarkStart w:id="23" w:name="_Toc444945517"/>
      <w:bookmarkStart w:id="24" w:name="_Toc437603900"/>
      <w:bookmarkStart w:id="25" w:name="_Toc2517"/>
      <w:r>
        <w:rPr>
          <w:rFonts w:ascii="Times New Roman" w:hAnsi="Times New Roman"/>
        </w:rPr>
        <w:t>2.1 项目</w:t>
      </w:r>
      <w:bookmarkEnd w:id="23"/>
      <w:bookmarkEnd w:id="24"/>
      <w:r>
        <w:rPr>
          <w:rFonts w:ascii="Times New Roman" w:hAnsi="Times New Roman"/>
        </w:rPr>
        <w:t>研究对象</w:t>
      </w:r>
      <w:bookmarkEnd w:id="25"/>
    </w:p>
    <w:p>
      <w:pPr>
        <w:pStyle w:val="2"/>
        <w:spacing w:line="560" w:lineRule="exact"/>
        <w:ind w:firstLine="480"/>
        <w:rPr>
          <w:rFonts w:ascii="Times New Roman" w:hAnsi="Times New Roman" w:cs="Times New Roman"/>
          <w:szCs w:val="24"/>
        </w:rPr>
      </w:pPr>
      <w:bookmarkStart w:id="26" w:name="_Toc437603901"/>
      <w:bookmarkStart w:id="27" w:name="_Toc25580"/>
      <w:bookmarkStart w:id="28" w:name="_Toc444945518"/>
      <w:r>
        <w:rPr>
          <w:rFonts w:hint="eastAsia" w:ascii="Times New Roman" w:hAnsi="Times New Roman" w:cs="Times New Roman"/>
          <w:szCs w:val="24"/>
        </w:rPr>
        <w:t>本项目旨在研制一种可带电使用的配电设备激光除锈仪，聚焦配电设备带电作业场景下的除锈需求，通过调节激光功率、脉冲宽度、扫描速度及光斑尺寸等核心参数，实现除锈深度与范围的精准控制，突破传统除锈方式在带电作业中的安全与效率瓶颈，全面提升配电网设备养护的安全性和高效性。</w:t>
      </w:r>
    </w:p>
    <w:p>
      <w:pPr>
        <w:pStyle w:val="5"/>
        <w:spacing w:before="0" w:after="0" w:line="560" w:lineRule="exact"/>
        <w:rPr>
          <w:rFonts w:ascii="Times New Roman" w:hAnsi="Times New Roman"/>
        </w:rPr>
      </w:pPr>
      <w:r>
        <w:rPr>
          <w:rFonts w:ascii="Times New Roman" w:hAnsi="Times New Roman"/>
        </w:rPr>
        <w:t>2.2项目研究内容</w:t>
      </w:r>
      <w:bookmarkEnd w:id="26"/>
      <w:bookmarkEnd w:id="27"/>
      <w:bookmarkEnd w:id="28"/>
    </w:p>
    <w:p>
      <w:pPr>
        <w:pStyle w:val="2"/>
        <w:spacing w:line="560" w:lineRule="exact"/>
        <w:ind w:firstLine="0" w:firstLineChars="0"/>
        <w:rPr>
          <w:rFonts w:ascii="Times New Roman" w:hAnsi="Times New Roman" w:cs="Times New Roman"/>
          <w:szCs w:val="24"/>
        </w:rPr>
      </w:pPr>
      <w:bookmarkStart w:id="29" w:name="_Toc444945519"/>
      <w:bookmarkStart w:id="30" w:name="_Toc437603902"/>
      <w:bookmarkStart w:id="31" w:name="_Toc25189"/>
      <w:r>
        <w:rPr>
          <w:rFonts w:ascii="Times New Roman" w:hAnsi="Times New Roman" w:cs="Times New Roman"/>
          <w:szCs w:val="24"/>
        </w:rPr>
        <w:t>2.2.1 激光除锈仪绝缘与轻量化结构设计</w:t>
      </w:r>
    </w:p>
    <w:p>
      <w:pPr>
        <w:pStyle w:val="3"/>
        <w:numPr>
          <w:ilvl w:val="0"/>
          <w:numId w:val="2"/>
        </w:numPr>
        <w:spacing w:before="0" w:line="560" w:lineRule="exact"/>
        <w:ind w:firstLine="480"/>
        <w:jc w:val="left"/>
        <w:rPr>
          <w:rFonts w:ascii="Times New Roman" w:hAnsi="Times New Roman" w:cs="Times New Roman"/>
          <w:b w:val="0"/>
          <w:bCs w:val="0"/>
          <w:sz w:val="24"/>
          <w:szCs w:val="24"/>
        </w:rPr>
      </w:pPr>
      <w:r>
        <w:rPr>
          <w:rFonts w:ascii="Times New Roman" w:hAnsi="Times New Roman" w:cs="Times New Roman"/>
          <w:b w:val="0"/>
          <w:bCs w:val="0"/>
          <w:sz w:val="24"/>
          <w:szCs w:val="24"/>
        </w:rPr>
        <w:t xml:space="preserve">开展激光头、光路传输系统、手持操作端的一体化绝缘结构设计，结合配电设备带电作业安全距离要求，选用高强度绝缘材料，优化结构布局，在保障激光光路传输效率的同时，杜绝高压电场下的电弧风险。 </w:t>
      </w:r>
    </w:p>
    <w:p>
      <w:pPr>
        <w:pStyle w:val="3"/>
        <w:numPr>
          <w:ilvl w:val="0"/>
          <w:numId w:val="2"/>
        </w:numPr>
        <w:spacing w:before="0" w:line="560" w:lineRule="exact"/>
        <w:ind w:firstLine="480"/>
        <w:jc w:val="left"/>
        <w:rPr>
          <w:rFonts w:ascii="Times New Roman" w:hAnsi="Times New Roman" w:cs="Times New Roman"/>
          <w:b w:val="0"/>
          <w:bCs w:val="0"/>
          <w:sz w:val="24"/>
          <w:szCs w:val="24"/>
        </w:rPr>
      </w:pPr>
      <w:r>
        <w:rPr>
          <w:rFonts w:ascii="Times New Roman" w:hAnsi="Times New Roman" w:cs="Times New Roman"/>
          <w:b w:val="0"/>
          <w:bCs w:val="0"/>
          <w:sz w:val="24"/>
          <w:szCs w:val="24"/>
        </w:rPr>
        <w:t>进行设备轻量化设计，采用轻量高强度外壳，整合内部组件布局，降低设备整体重量，适配高空带电作业的操作需求，减轻作业人员劳动强度。</w:t>
      </w:r>
    </w:p>
    <w:p>
      <w:pPr>
        <w:pStyle w:val="2"/>
        <w:spacing w:line="560" w:lineRule="exact"/>
        <w:ind w:firstLine="0" w:firstLineChars="0"/>
        <w:rPr>
          <w:rFonts w:ascii="Times New Roman" w:hAnsi="Times New Roman" w:cs="Times New Roman"/>
          <w:szCs w:val="24"/>
        </w:rPr>
      </w:pPr>
      <w:r>
        <w:rPr>
          <w:rFonts w:ascii="Times New Roman" w:hAnsi="Times New Roman" w:cs="Times New Roman"/>
          <w:szCs w:val="24"/>
        </w:rPr>
        <w:t>2.2.2 核心功能模块集成开发</w:t>
      </w:r>
    </w:p>
    <w:p>
      <w:pPr>
        <w:pStyle w:val="3"/>
        <w:numPr>
          <w:ilvl w:val="0"/>
          <w:numId w:val="3"/>
        </w:numPr>
        <w:spacing w:before="0" w:line="560" w:lineRule="exact"/>
        <w:ind w:firstLine="566" w:firstLineChars="236"/>
        <w:jc w:val="left"/>
        <w:rPr>
          <w:rFonts w:ascii="Times New Roman" w:hAnsi="Times New Roman" w:cs="Times New Roman"/>
          <w:b w:val="0"/>
          <w:bCs w:val="0"/>
          <w:sz w:val="24"/>
          <w:szCs w:val="24"/>
        </w:rPr>
      </w:pPr>
      <w:r>
        <w:rPr>
          <w:rFonts w:ascii="Times New Roman" w:hAnsi="Times New Roman" w:cs="Times New Roman"/>
          <w:b w:val="0"/>
          <w:bCs w:val="0"/>
          <w:sz w:val="24"/>
          <w:szCs w:val="24"/>
        </w:rPr>
        <w:t xml:space="preserve">集成微型激光器，根据带电作业场景的功率需求，优化激光器的输出稳定性与响应速度，确保激光能量输出精准可控。 </w:t>
      </w:r>
    </w:p>
    <w:p>
      <w:pPr>
        <w:pStyle w:val="3"/>
        <w:numPr>
          <w:ilvl w:val="0"/>
          <w:numId w:val="3"/>
        </w:numPr>
        <w:spacing w:before="0" w:line="560" w:lineRule="exact"/>
        <w:ind w:firstLine="566" w:firstLineChars="236"/>
        <w:jc w:val="left"/>
        <w:rPr>
          <w:rFonts w:ascii="Times New Roman" w:hAnsi="Times New Roman" w:cs="Times New Roman"/>
          <w:b w:val="0"/>
          <w:bCs w:val="0"/>
          <w:sz w:val="24"/>
          <w:szCs w:val="24"/>
        </w:rPr>
      </w:pPr>
      <w:r>
        <w:rPr>
          <w:rFonts w:ascii="Times New Roman" w:hAnsi="Times New Roman" w:cs="Times New Roman"/>
          <w:b w:val="0"/>
          <w:bCs w:val="0"/>
          <w:sz w:val="24"/>
          <w:szCs w:val="24"/>
        </w:rPr>
        <w:t xml:space="preserve">研发电磁屏蔽模块，针对配电设备带电运行产生的强电磁场，采用多层屏蔽结构与滤波技术，阻断电磁干扰路径，保障控制系统稳定运行。 </w:t>
      </w:r>
    </w:p>
    <w:p>
      <w:pPr>
        <w:pStyle w:val="3"/>
        <w:numPr>
          <w:ilvl w:val="0"/>
          <w:numId w:val="3"/>
        </w:numPr>
        <w:spacing w:before="0" w:line="560" w:lineRule="exact"/>
        <w:ind w:firstLine="566" w:firstLineChars="236"/>
        <w:jc w:val="left"/>
        <w:rPr>
          <w:rFonts w:ascii="Times New Roman" w:hAnsi="Times New Roman" w:cs="Times New Roman"/>
          <w:b w:val="0"/>
          <w:bCs w:val="0"/>
          <w:sz w:val="24"/>
          <w:szCs w:val="24"/>
        </w:rPr>
      </w:pPr>
      <w:r>
        <w:rPr>
          <w:rFonts w:ascii="Times New Roman" w:hAnsi="Times New Roman" w:cs="Times New Roman"/>
          <w:b w:val="0"/>
          <w:bCs w:val="0"/>
          <w:sz w:val="24"/>
          <w:szCs w:val="24"/>
        </w:rPr>
        <w:t>搭建激光参数智能调节硬件电路，实现激光功率、脉冲宽度、扫描速度及光斑尺寸的自动调节与精准控制，适配不同锈层厚度与带电作业安全距离。</w:t>
      </w:r>
    </w:p>
    <w:p>
      <w:pPr>
        <w:pStyle w:val="2"/>
        <w:spacing w:line="560" w:lineRule="exact"/>
        <w:ind w:firstLine="0" w:firstLineChars="0"/>
        <w:rPr>
          <w:rFonts w:ascii="Times New Roman" w:hAnsi="Times New Roman" w:cs="Times New Roman"/>
          <w:szCs w:val="24"/>
        </w:rPr>
      </w:pPr>
      <w:r>
        <w:rPr>
          <w:rFonts w:ascii="Times New Roman" w:hAnsi="Times New Roman" w:cs="Times New Roman"/>
          <w:szCs w:val="24"/>
        </w:rPr>
        <w:t>2.2.3 除锈精准控制技术研究</w:t>
      </w:r>
    </w:p>
    <w:p>
      <w:pPr>
        <w:pStyle w:val="3"/>
        <w:spacing w:before="0" w:line="560" w:lineRule="exact"/>
        <w:ind w:firstLine="480"/>
        <w:jc w:val="left"/>
        <w:rPr>
          <w:rFonts w:ascii="Times New Roman" w:hAnsi="Times New Roman" w:cs="Times New Roman"/>
          <w:b w:val="0"/>
          <w:bCs w:val="0"/>
          <w:sz w:val="24"/>
          <w:szCs w:val="24"/>
        </w:rPr>
      </w:pPr>
      <w:r>
        <w:rPr>
          <w:rFonts w:ascii="Times New Roman" w:hAnsi="Times New Roman" w:cs="Times New Roman"/>
          <w:b w:val="0"/>
          <w:bCs w:val="0"/>
          <w:sz w:val="24"/>
          <w:szCs w:val="24"/>
        </w:rPr>
        <w:t>依据激光与金属材料相互作用的热效应机理，构建激光参数与除锈深度、范围的关联数学模型，确定不同作业场景下的参数调节阈值，实现除锈过程的精准控制。</w:t>
      </w:r>
    </w:p>
    <w:p>
      <w:pPr>
        <w:pStyle w:val="5"/>
        <w:spacing w:before="0" w:after="0" w:line="560" w:lineRule="exact"/>
        <w:rPr>
          <w:rFonts w:ascii="Times New Roman" w:hAnsi="Times New Roman"/>
        </w:rPr>
      </w:pPr>
      <w:r>
        <w:rPr>
          <w:rFonts w:ascii="Times New Roman" w:hAnsi="Times New Roman"/>
        </w:rPr>
        <w:t>2.3</w:t>
      </w:r>
      <w:bookmarkEnd w:id="29"/>
      <w:bookmarkEnd w:id="30"/>
      <w:r>
        <w:rPr>
          <w:rFonts w:ascii="Times New Roman" w:hAnsi="Times New Roman"/>
        </w:rPr>
        <w:t>技术指标要求</w:t>
      </w:r>
      <w:bookmarkEnd w:id="31"/>
    </w:p>
    <w:p>
      <w:pPr>
        <w:pStyle w:val="5"/>
        <w:tabs>
          <w:tab w:val="left" w:pos="0"/>
        </w:tabs>
        <w:spacing w:before="0" w:after="0" w:line="560" w:lineRule="exact"/>
        <w:rPr>
          <w:rFonts w:ascii="Times New Roman" w:hAnsi="Times New Roman"/>
          <w:sz w:val="24"/>
          <w:szCs w:val="24"/>
        </w:rPr>
      </w:pPr>
      <w:bookmarkStart w:id="32" w:name="_Toc355594785"/>
      <w:bookmarkStart w:id="33" w:name="_Toc23916"/>
      <w:bookmarkStart w:id="34" w:name="_Toc30098"/>
      <w:bookmarkStart w:id="35" w:name="_Toc23044"/>
      <w:bookmarkStart w:id="36" w:name="_Toc279"/>
      <w:bookmarkStart w:id="37" w:name="_Toc20165"/>
      <w:bookmarkStart w:id="38" w:name="_Toc19025"/>
      <w:bookmarkStart w:id="39" w:name="_Toc8448"/>
      <w:bookmarkStart w:id="40" w:name="_Toc20274"/>
      <w:bookmarkStart w:id="41" w:name="_Toc528869043"/>
      <w:bookmarkStart w:id="42" w:name="_Toc31936"/>
      <w:r>
        <w:rPr>
          <w:rFonts w:ascii="Times New Roman" w:hAnsi="Times New Roman"/>
          <w:sz w:val="24"/>
          <w:szCs w:val="24"/>
        </w:rPr>
        <w:t>2.3.1</w:t>
      </w:r>
      <w:r>
        <w:rPr>
          <w:rFonts w:hint="eastAsia" w:ascii="Times New Roman" w:hAnsi="Times New Roman"/>
          <w:color w:val="000000"/>
          <w:sz w:val="24"/>
          <w:szCs w:val="24"/>
        </w:rPr>
        <w:t>可带电使用的配电设备激光除锈仪</w:t>
      </w:r>
      <w:r>
        <w:rPr>
          <w:rFonts w:ascii="Times New Roman" w:hAnsi="Times New Roman"/>
          <w:sz w:val="24"/>
          <w:szCs w:val="24"/>
        </w:rPr>
        <w:t>技术要求</w:t>
      </w:r>
      <w:bookmarkEnd w:id="32"/>
      <w:bookmarkEnd w:id="33"/>
      <w:bookmarkEnd w:id="34"/>
      <w:bookmarkEnd w:id="35"/>
      <w:bookmarkEnd w:id="36"/>
      <w:bookmarkEnd w:id="37"/>
      <w:bookmarkEnd w:id="38"/>
      <w:bookmarkEnd w:id="39"/>
      <w:bookmarkEnd w:id="40"/>
      <w:bookmarkEnd w:id="41"/>
      <w:bookmarkEnd w:id="42"/>
    </w:p>
    <w:p>
      <w:pPr>
        <w:keepNext/>
        <w:keepLines/>
        <w:tabs>
          <w:tab w:val="left" w:pos="0"/>
        </w:tabs>
        <w:spacing w:line="560" w:lineRule="exact"/>
        <w:ind w:firstLine="0" w:firstLineChars="0"/>
        <w:outlineLvl w:val="1"/>
        <w:rPr>
          <w:rFonts w:ascii="Times New Roman" w:hAnsi="Times New Roman" w:cs="Times New Roman"/>
          <w:b/>
          <w:bCs/>
          <w:szCs w:val="24"/>
        </w:rPr>
      </w:pPr>
      <w:bookmarkStart w:id="43" w:name="_Toc7868"/>
      <w:bookmarkStart w:id="44" w:name="_Toc24158"/>
      <w:bookmarkStart w:id="45" w:name="_Toc31874"/>
      <w:bookmarkStart w:id="46" w:name="_Toc9650"/>
      <w:bookmarkStart w:id="47" w:name="_Toc27264"/>
      <w:r>
        <w:rPr>
          <w:rFonts w:ascii="Times New Roman" w:hAnsi="Times New Roman" w:cs="Times New Roman"/>
          <w:b/>
          <w:bCs/>
          <w:szCs w:val="24"/>
        </w:rPr>
        <w:t>2.3.1.1</w:t>
      </w:r>
      <w:r>
        <w:rPr>
          <w:rFonts w:hint="eastAsia" w:ascii="Times New Roman" w:hAnsi="Times New Roman" w:cs="Times New Roman"/>
          <w:b/>
          <w:bCs/>
          <w:szCs w:val="24"/>
        </w:rPr>
        <w:t>功能要求</w:t>
      </w:r>
    </w:p>
    <w:p>
      <w:pPr>
        <w:pStyle w:val="3"/>
        <w:numPr>
          <w:ilvl w:val="0"/>
          <w:numId w:val="4"/>
        </w:numPr>
        <w:spacing w:before="0" w:line="560" w:lineRule="exact"/>
        <w:ind w:firstLine="480"/>
        <w:jc w:val="left"/>
        <w:rPr>
          <w:rFonts w:ascii="Times New Roman" w:hAnsi="Times New Roman" w:cs="Times New Roman"/>
          <w:b w:val="0"/>
          <w:bCs w:val="0"/>
          <w:sz w:val="24"/>
          <w:szCs w:val="24"/>
        </w:rPr>
      </w:pPr>
      <w:r>
        <w:rPr>
          <w:rFonts w:ascii="Times New Roman" w:hAnsi="Times New Roman" w:cs="Times New Roman"/>
          <w:b w:val="0"/>
          <w:bCs w:val="0"/>
          <w:sz w:val="24"/>
          <w:szCs w:val="24"/>
        </w:rPr>
        <w:t>‌</w:t>
      </w:r>
      <w:r>
        <w:rPr>
          <w:rFonts w:hint="eastAsia" w:ascii="Times New Roman" w:hAnsi="Times New Roman" w:cs="Times New Roman"/>
          <w:b w:val="0"/>
          <w:bCs w:val="0"/>
          <w:sz w:val="24"/>
          <w:szCs w:val="24"/>
        </w:rPr>
        <w:t>带电</w:t>
      </w:r>
      <w:r>
        <w:rPr>
          <w:rFonts w:ascii="Times New Roman" w:hAnsi="Times New Roman" w:cs="Times New Roman"/>
          <w:b w:val="0"/>
          <w:bCs w:val="0"/>
          <w:sz w:val="24"/>
          <w:szCs w:val="24"/>
        </w:rPr>
        <w:t>除锈</w:t>
      </w:r>
      <w:r>
        <w:rPr>
          <w:rFonts w:hint="eastAsia" w:ascii="Times New Roman" w:hAnsi="Times New Roman" w:cs="Times New Roman"/>
          <w:b w:val="0"/>
          <w:bCs w:val="0"/>
          <w:sz w:val="24"/>
          <w:szCs w:val="24"/>
        </w:rPr>
        <w:t>功能：可在配电设备不停电状态下开展除锈作业，满足带电作业安全规范要求。</w:t>
      </w:r>
    </w:p>
    <w:p>
      <w:pPr>
        <w:pStyle w:val="3"/>
        <w:numPr>
          <w:ilvl w:val="0"/>
          <w:numId w:val="4"/>
        </w:numPr>
        <w:spacing w:before="0" w:line="560" w:lineRule="exact"/>
        <w:ind w:firstLine="480"/>
        <w:jc w:val="left"/>
        <w:rPr>
          <w:rFonts w:ascii="Times New Roman" w:hAnsi="Times New Roman" w:cs="Times New Roman"/>
          <w:b w:val="0"/>
          <w:bCs w:val="0"/>
          <w:sz w:val="24"/>
          <w:szCs w:val="24"/>
        </w:rPr>
      </w:pPr>
      <w:r>
        <w:rPr>
          <w:rFonts w:ascii="Times New Roman" w:hAnsi="Times New Roman" w:cs="Times New Roman"/>
          <w:b w:val="0"/>
          <w:bCs w:val="0"/>
          <w:sz w:val="24"/>
          <w:szCs w:val="24"/>
        </w:rPr>
        <w:t xml:space="preserve">智能参数调节功能：可根据配电设备带电作业安全距离，自动或手动调节激光功率、脉冲宽度、扫描速度及光斑尺寸，实现除锈深度与范围的精准控制。 </w:t>
      </w:r>
    </w:p>
    <w:p>
      <w:pPr>
        <w:pStyle w:val="3"/>
        <w:numPr>
          <w:ilvl w:val="0"/>
          <w:numId w:val="4"/>
        </w:numPr>
        <w:spacing w:before="0" w:line="560" w:lineRule="exact"/>
        <w:ind w:firstLine="480"/>
        <w:jc w:val="left"/>
        <w:rPr>
          <w:rFonts w:ascii="Times New Roman" w:hAnsi="Times New Roman" w:cs="Times New Roman"/>
          <w:b w:val="0"/>
          <w:bCs w:val="0"/>
          <w:sz w:val="24"/>
          <w:szCs w:val="24"/>
        </w:rPr>
      </w:pPr>
      <w:r>
        <w:rPr>
          <w:rFonts w:ascii="Times New Roman" w:hAnsi="Times New Roman" w:cs="Times New Roman"/>
          <w:b w:val="0"/>
          <w:bCs w:val="0"/>
          <w:sz w:val="24"/>
          <w:szCs w:val="24"/>
        </w:rPr>
        <w:t xml:space="preserve">除锈效果反馈功能：通过内置传感器采集除锈区域表面数据，实时反馈除锈深度、清洁度等指标，辅助作业人员优化参数设置。 </w:t>
      </w:r>
    </w:p>
    <w:p>
      <w:pPr>
        <w:pStyle w:val="3"/>
        <w:numPr>
          <w:ilvl w:val="0"/>
          <w:numId w:val="4"/>
        </w:numPr>
        <w:spacing w:before="0" w:line="560" w:lineRule="exact"/>
        <w:ind w:firstLine="480"/>
        <w:jc w:val="left"/>
        <w:rPr>
          <w:rFonts w:ascii="Times New Roman" w:hAnsi="Times New Roman" w:cs="Times New Roman"/>
          <w:b w:val="0"/>
          <w:bCs w:val="0"/>
          <w:sz w:val="24"/>
          <w:szCs w:val="24"/>
        </w:rPr>
      </w:pPr>
      <w:r>
        <w:rPr>
          <w:rFonts w:ascii="Times New Roman" w:hAnsi="Times New Roman" w:cs="Times New Roman"/>
          <w:b w:val="0"/>
          <w:bCs w:val="0"/>
          <w:sz w:val="24"/>
          <w:szCs w:val="24"/>
        </w:rPr>
        <w:t xml:space="preserve">电磁干扰防护功能：具备强电磁场环境下的稳定运行能力，控制系统参数无漂移，设备无异常停机或误动作。 </w:t>
      </w:r>
    </w:p>
    <w:p>
      <w:pPr>
        <w:pStyle w:val="3"/>
        <w:numPr>
          <w:ilvl w:val="0"/>
          <w:numId w:val="4"/>
        </w:numPr>
        <w:spacing w:before="0" w:line="560" w:lineRule="exact"/>
        <w:ind w:firstLine="480"/>
        <w:jc w:val="left"/>
        <w:rPr>
          <w:rFonts w:ascii="Times New Roman" w:hAnsi="Times New Roman" w:cs="Times New Roman"/>
          <w:b w:val="0"/>
          <w:bCs w:val="0"/>
          <w:sz w:val="24"/>
          <w:szCs w:val="24"/>
        </w:rPr>
      </w:pPr>
      <w:r>
        <w:rPr>
          <w:rFonts w:ascii="Times New Roman" w:hAnsi="Times New Roman" w:cs="Times New Roman"/>
          <w:b w:val="0"/>
          <w:bCs w:val="0"/>
          <w:sz w:val="24"/>
          <w:szCs w:val="24"/>
        </w:rPr>
        <w:t>安全防护</w:t>
      </w:r>
      <w:r>
        <w:rPr>
          <w:rFonts w:hint="eastAsia" w:ascii="Times New Roman" w:hAnsi="Times New Roman" w:cs="Times New Roman"/>
          <w:b w:val="0"/>
          <w:bCs w:val="0"/>
          <w:sz w:val="24"/>
          <w:szCs w:val="24"/>
        </w:rPr>
        <w:t>功能：具备</w:t>
      </w:r>
      <w:r>
        <w:rPr>
          <w:rFonts w:ascii="Times New Roman" w:hAnsi="Times New Roman" w:cs="Times New Roman"/>
          <w:b w:val="0"/>
          <w:bCs w:val="0"/>
          <w:sz w:val="24"/>
          <w:szCs w:val="24"/>
        </w:rPr>
        <w:t>配过温保护、过载保护、紧急停机按钮‌等安全机制。</w:t>
      </w:r>
    </w:p>
    <w:p>
      <w:pPr>
        <w:pStyle w:val="3"/>
        <w:numPr>
          <w:ilvl w:val="0"/>
          <w:numId w:val="4"/>
        </w:numPr>
        <w:spacing w:before="0" w:line="560" w:lineRule="exact"/>
        <w:ind w:firstLine="480"/>
        <w:jc w:val="left"/>
        <w:rPr>
          <w:rFonts w:ascii="Times New Roman" w:hAnsi="Times New Roman" w:cs="Times New Roman"/>
          <w:b w:val="0"/>
          <w:bCs w:val="0"/>
          <w:sz w:val="24"/>
          <w:szCs w:val="24"/>
        </w:rPr>
      </w:pPr>
      <w:r>
        <w:rPr>
          <w:rFonts w:ascii="Times New Roman" w:hAnsi="Times New Roman" w:cs="Times New Roman"/>
          <w:b w:val="0"/>
          <w:bCs w:val="0"/>
          <w:sz w:val="24"/>
          <w:szCs w:val="24"/>
        </w:rPr>
        <w:t xml:space="preserve">轻量化操作功能：采用人体工学设计的手持操作端，开关及调节按钮布局合理，操作便捷。 </w:t>
      </w:r>
    </w:p>
    <w:p>
      <w:pPr>
        <w:keepNext/>
        <w:keepLines/>
        <w:tabs>
          <w:tab w:val="left" w:pos="0"/>
        </w:tabs>
        <w:spacing w:line="560" w:lineRule="exact"/>
        <w:ind w:firstLine="0" w:firstLineChars="0"/>
        <w:outlineLvl w:val="1"/>
        <w:rPr>
          <w:rFonts w:ascii="Times New Roman" w:hAnsi="Times New Roman" w:cs="Times New Roman"/>
          <w:b/>
          <w:bCs/>
          <w:szCs w:val="24"/>
        </w:rPr>
      </w:pPr>
      <w:r>
        <w:rPr>
          <w:rFonts w:ascii="Times New Roman" w:hAnsi="Times New Roman" w:cs="Times New Roman"/>
          <w:b/>
          <w:bCs/>
          <w:szCs w:val="24"/>
        </w:rPr>
        <w:t>2.3.1.2性能要求</w:t>
      </w:r>
    </w:p>
    <w:p>
      <w:pPr>
        <w:pStyle w:val="3"/>
        <w:spacing w:before="0" w:line="560" w:lineRule="exact"/>
        <w:ind w:firstLineChars="0"/>
        <w:jc w:val="left"/>
        <w:rPr>
          <w:rFonts w:ascii="Times New Roman" w:hAnsi="Times New Roman" w:cs="Times New Roman"/>
          <w:b w:val="0"/>
          <w:bCs w:val="0"/>
          <w:sz w:val="24"/>
          <w:szCs w:val="24"/>
        </w:rPr>
      </w:pPr>
      <w:r>
        <w:rPr>
          <w:rFonts w:ascii="Times New Roman" w:hAnsi="Times New Roman" w:cs="Times New Roman"/>
          <w:b w:val="0"/>
          <w:bCs w:val="0"/>
          <w:sz w:val="24"/>
          <w:szCs w:val="24"/>
        </w:rPr>
        <w:t>（1）激光功率调节：</w:t>
      </w:r>
      <w:r>
        <w:rPr>
          <w:rFonts w:hint="eastAsia" w:ascii="Times New Roman" w:hAnsi="Times New Roman" w:cs="Times New Roman"/>
          <w:b w:val="0"/>
          <w:bCs w:val="0"/>
          <w:sz w:val="24"/>
          <w:szCs w:val="24"/>
        </w:rPr>
        <w:t>功率</w:t>
      </w:r>
      <w:r>
        <w:rPr>
          <w:rFonts w:ascii="Times New Roman" w:hAnsi="Times New Roman" w:cs="Times New Roman"/>
          <w:b w:val="0"/>
          <w:bCs w:val="0"/>
          <w:sz w:val="24"/>
          <w:szCs w:val="24"/>
        </w:rPr>
        <w:t xml:space="preserve">可调，支持≥3档档位设置，适配0.7m~2m带电作业安全距离； </w:t>
      </w:r>
    </w:p>
    <w:p>
      <w:pPr>
        <w:pStyle w:val="3"/>
        <w:spacing w:before="0" w:line="560" w:lineRule="exact"/>
        <w:ind w:firstLineChars="0"/>
        <w:jc w:val="left"/>
        <w:rPr>
          <w:rFonts w:ascii="Times New Roman" w:hAnsi="Times New Roman" w:cs="Times New Roman"/>
          <w:b w:val="0"/>
          <w:bCs w:val="0"/>
          <w:sz w:val="24"/>
          <w:szCs w:val="24"/>
        </w:rPr>
      </w:pPr>
      <w:r>
        <w:rPr>
          <w:rFonts w:ascii="Times New Roman" w:hAnsi="Times New Roman" w:cs="Times New Roman"/>
          <w:b w:val="0"/>
          <w:bCs w:val="0"/>
          <w:sz w:val="24"/>
          <w:szCs w:val="24"/>
        </w:rPr>
        <w:t>（2）脉冲宽度调节范围：</w:t>
      </w:r>
      <w:r>
        <w:rPr>
          <w:rFonts w:hint="eastAsia" w:ascii="Times New Roman" w:hAnsi="Times New Roman" w:cs="Times New Roman"/>
          <w:b w:val="0"/>
          <w:bCs w:val="0"/>
          <w:sz w:val="24"/>
          <w:szCs w:val="24"/>
        </w:rPr>
        <w:t>具备多档位脉宽切换功能</w:t>
      </w:r>
      <w:r>
        <w:rPr>
          <w:rFonts w:ascii="Times New Roman" w:hAnsi="Times New Roman" w:cs="Times New Roman"/>
          <w:b w:val="0"/>
          <w:bCs w:val="0"/>
          <w:sz w:val="24"/>
          <w:szCs w:val="24"/>
        </w:rPr>
        <w:t>；</w:t>
      </w:r>
    </w:p>
    <w:p>
      <w:pPr>
        <w:pStyle w:val="3"/>
        <w:spacing w:before="0" w:line="560" w:lineRule="exact"/>
        <w:ind w:firstLineChars="0"/>
        <w:jc w:val="left"/>
        <w:rPr>
          <w:rFonts w:ascii="Times New Roman" w:hAnsi="Times New Roman" w:cs="Times New Roman"/>
          <w:b w:val="0"/>
          <w:bCs w:val="0"/>
          <w:sz w:val="24"/>
          <w:szCs w:val="24"/>
        </w:rPr>
      </w:pPr>
      <w:r>
        <w:rPr>
          <w:rFonts w:ascii="Times New Roman" w:hAnsi="Times New Roman" w:cs="Times New Roman"/>
          <w:b w:val="0"/>
          <w:bCs w:val="0"/>
          <w:sz w:val="24"/>
          <w:szCs w:val="24"/>
        </w:rPr>
        <w:t>（</w:t>
      </w:r>
      <w:r>
        <w:rPr>
          <w:rFonts w:hint="eastAsia" w:ascii="Times New Roman" w:hAnsi="Times New Roman" w:cs="Times New Roman"/>
          <w:b w:val="0"/>
          <w:bCs w:val="0"/>
          <w:sz w:val="24"/>
          <w:szCs w:val="24"/>
        </w:rPr>
        <w:t>3</w:t>
      </w:r>
      <w:r>
        <w:rPr>
          <w:rFonts w:ascii="Times New Roman" w:hAnsi="Times New Roman" w:cs="Times New Roman"/>
          <w:b w:val="0"/>
          <w:bCs w:val="0"/>
          <w:sz w:val="24"/>
          <w:szCs w:val="24"/>
        </w:rPr>
        <w:t>）除锈精度：</w:t>
      </w:r>
      <w:r>
        <w:rPr>
          <w:rFonts w:hint="eastAsia" w:ascii="Times New Roman" w:hAnsi="Times New Roman" w:cs="Times New Roman"/>
          <w:b w:val="0"/>
          <w:bCs w:val="0"/>
          <w:sz w:val="24"/>
          <w:szCs w:val="24"/>
        </w:rPr>
        <w:t>可精准控制除锈深度，不损伤设备金属基材</w:t>
      </w:r>
      <w:r>
        <w:rPr>
          <w:rFonts w:ascii="Times New Roman" w:hAnsi="Times New Roman" w:cs="Times New Roman"/>
          <w:b w:val="0"/>
          <w:bCs w:val="0"/>
          <w:sz w:val="24"/>
          <w:szCs w:val="24"/>
        </w:rPr>
        <w:t xml:space="preserve">； </w:t>
      </w:r>
    </w:p>
    <w:p>
      <w:pPr>
        <w:pStyle w:val="3"/>
        <w:spacing w:before="0" w:line="560" w:lineRule="exact"/>
        <w:ind w:firstLineChars="0"/>
        <w:jc w:val="left"/>
        <w:rPr>
          <w:rFonts w:ascii="Times New Roman" w:hAnsi="Times New Roman" w:cs="Times New Roman"/>
          <w:b w:val="0"/>
          <w:bCs w:val="0"/>
          <w:sz w:val="24"/>
          <w:szCs w:val="24"/>
        </w:rPr>
      </w:pPr>
      <w:r>
        <w:rPr>
          <w:rFonts w:ascii="Times New Roman" w:hAnsi="Times New Roman" w:cs="Times New Roman"/>
          <w:b w:val="0"/>
          <w:bCs w:val="0"/>
          <w:sz w:val="24"/>
          <w:szCs w:val="24"/>
        </w:rPr>
        <w:t>（4）绝缘性能：</w:t>
      </w:r>
      <w:r>
        <w:rPr>
          <w:rFonts w:hint="eastAsia" w:ascii="Times New Roman" w:hAnsi="Times New Roman" w:cs="Times New Roman"/>
          <w:b w:val="0"/>
          <w:bCs w:val="0"/>
          <w:sz w:val="24"/>
          <w:szCs w:val="24"/>
        </w:rPr>
        <w:t>绝缘防护满足配电设备带电作业安全规范要求</w:t>
      </w:r>
      <w:r>
        <w:rPr>
          <w:rFonts w:ascii="Times New Roman" w:hAnsi="Times New Roman" w:cs="Times New Roman"/>
          <w:b w:val="0"/>
          <w:bCs w:val="0"/>
          <w:sz w:val="24"/>
          <w:szCs w:val="24"/>
        </w:rPr>
        <w:t xml:space="preserve">； </w:t>
      </w:r>
    </w:p>
    <w:p>
      <w:pPr>
        <w:pStyle w:val="3"/>
        <w:spacing w:before="0" w:line="560" w:lineRule="exact"/>
        <w:ind w:firstLineChars="0"/>
        <w:jc w:val="left"/>
        <w:rPr>
          <w:rFonts w:ascii="Times New Roman" w:hAnsi="Times New Roman" w:cs="Times New Roman"/>
          <w:b w:val="0"/>
          <w:bCs w:val="0"/>
          <w:sz w:val="24"/>
          <w:szCs w:val="24"/>
        </w:rPr>
      </w:pPr>
      <w:r>
        <w:rPr>
          <w:rFonts w:ascii="Times New Roman" w:hAnsi="Times New Roman" w:cs="Times New Roman"/>
          <w:b w:val="0"/>
          <w:bCs w:val="0"/>
          <w:sz w:val="24"/>
          <w:szCs w:val="24"/>
        </w:rPr>
        <w:t>（5）抗电磁干扰能力：</w:t>
      </w:r>
      <w:r>
        <w:rPr>
          <w:rFonts w:hint="eastAsia" w:ascii="Times New Roman" w:hAnsi="Times New Roman" w:cs="Times New Roman"/>
          <w:b w:val="0"/>
          <w:bCs w:val="0"/>
          <w:sz w:val="24"/>
          <w:szCs w:val="24"/>
        </w:rPr>
        <w:t>可抵御配电设备带电运行强电磁场干扰，控制系统参数无漂移。</w:t>
      </w:r>
    </w:p>
    <w:p>
      <w:pPr>
        <w:ind w:firstLine="480"/>
      </w:pPr>
    </w:p>
    <w:bookmarkEnd w:id="43"/>
    <w:bookmarkEnd w:id="44"/>
    <w:bookmarkEnd w:id="45"/>
    <w:bookmarkEnd w:id="46"/>
    <w:bookmarkEnd w:id="47"/>
    <w:p>
      <w:pPr>
        <w:pStyle w:val="4"/>
        <w:numPr>
          <w:ilvl w:val="0"/>
          <w:numId w:val="0"/>
        </w:numPr>
        <w:spacing w:before="312" w:beforeLines="100" w:after="0" w:line="360" w:lineRule="auto"/>
        <w:rPr>
          <w:sz w:val="32"/>
          <w:szCs w:val="32"/>
        </w:rPr>
      </w:pPr>
      <w:bookmarkStart w:id="48" w:name="_Toc480800900"/>
      <w:bookmarkStart w:id="49" w:name="_Toc1458"/>
      <w:r>
        <w:rPr>
          <w:sz w:val="32"/>
          <w:szCs w:val="32"/>
        </w:rPr>
        <w:t>三、研究开发成果交付</w:t>
      </w:r>
      <w:bookmarkEnd w:id="48"/>
      <w:r>
        <w:rPr>
          <w:sz w:val="32"/>
          <w:szCs w:val="32"/>
        </w:rPr>
        <w:t>物</w:t>
      </w:r>
      <w:bookmarkEnd w:id="49"/>
    </w:p>
    <w:p>
      <w:pPr>
        <w:ind w:firstLine="480"/>
        <w:rPr>
          <w:rFonts w:ascii="Times New Roman" w:hAnsi="Times New Roman" w:cs="Times New Roman"/>
        </w:rPr>
      </w:pPr>
      <w:r>
        <w:rPr>
          <w:rFonts w:ascii="Times New Roman" w:hAnsi="Times New Roman" w:cs="Times New Roman"/>
        </w:rPr>
        <w:t>研究开发成果交付的形式和数量</w:t>
      </w:r>
      <w:r>
        <w:rPr>
          <w:rFonts w:hint="eastAsia" w:ascii="Times New Roman" w:hAnsi="Times New Roman" w:cs="Times New Roman"/>
        </w:rPr>
        <w:t>如下表所示。</w:t>
      </w:r>
    </w:p>
    <w:tbl>
      <w:tblPr>
        <w:tblStyle w:val="13"/>
        <w:tblW w:w="9196" w:type="dxa"/>
        <w:jc w:val="center"/>
        <w:tblLayout w:type="fixed"/>
        <w:tblCellMar>
          <w:top w:w="0" w:type="dxa"/>
          <w:left w:w="57" w:type="dxa"/>
          <w:bottom w:w="0" w:type="dxa"/>
          <w:right w:w="57" w:type="dxa"/>
        </w:tblCellMar>
      </w:tblPr>
      <w:tblGrid>
        <w:gridCol w:w="616"/>
        <w:gridCol w:w="3240"/>
        <w:gridCol w:w="1283"/>
        <w:gridCol w:w="767"/>
        <w:gridCol w:w="1200"/>
        <w:gridCol w:w="2090"/>
      </w:tblGrid>
      <w:tr>
        <w:tblPrEx>
          <w:tblCellMar>
            <w:top w:w="0" w:type="dxa"/>
            <w:left w:w="57" w:type="dxa"/>
            <w:bottom w:w="0" w:type="dxa"/>
            <w:right w:w="57" w:type="dxa"/>
          </w:tblCellMar>
        </w:tblPrEx>
        <w:trPr>
          <w:trHeight w:val="535" w:hRule="atLeast"/>
          <w:tblHeader/>
          <w:jc w:val="center"/>
        </w:trPr>
        <w:tc>
          <w:tcPr>
            <w:tcW w:w="616" w:type="dxa"/>
            <w:tcBorders>
              <w:top w:val="single" w:color="auto" w:sz="4" w:space="0"/>
              <w:left w:val="single" w:color="auto" w:sz="4" w:space="0"/>
              <w:bottom w:val="single" w:color="auto" w:sz="4" w:space="0"/>
              <w:right w:val="single" w:color="000000" w:sz="4" w:space="0"/>
            </w:tcBorders>
            <w:vAlign w:val="center"/>
          </w:tcPr>
          <w:p>
            <w:pPr>
              <w:ind w:firstLine="0" w:firstLineChars="0"/>
              <w:jc w:val="center"/>
              <w:rPr>
                <w:rFonts w:ascii="Times New Roman" w:hAnsi="Times New Roman" w:cs="Times New Roman"/>
                <w:szCs w:val="24"/>
              </w:rPr>
            </w:pPr>
            <w:r>
              <w:rPr>
                <w:rFonts w:ascii="Times New Roman" w:hAnsi="Times New Roman" w:cs="Times New Roman"/>
                <w:szCs w:val="24"/>
              </w:rPr>
              <w:t>序号</w:t>
            </w:r>
          </w:p>
        </w:tc>
        <w:tc>
          <w:tcPr>
            <w:tcW w:w="3240" w:type="dxa"/>
            <w:tcBorders>
              <w:top w:val="single" w:color="000000" w:sz="4" w:space="0"/>
              <w:left w:val="nil"/>
              <w:bottom w:val="single" w:color="auto" w:sz="4" w:space="0"/>
              <w:right w:val="single" w:color="000000" w:sz="4" w:space="0"/>
            </w:tcBorders>
            <w:vAlign w:val="center"/>
          </w:tcPr>
          <w:p>
            <w:pPr>
              <w:ind w:firstLine="0" w:firstLineChars="0"/>
              <w:jc w:val="center"/>
              <w:rPr>
                <w:rFonts w:ascii="Times New Roman" w:hAnsi="Times New Roman" w:cs="Times New Roman"/>
                <w:szCs w:val="24"/>
              </w:rPr>
            </w:pPr>
            <w:r>
              <w:rPr>
                <w:rFonts w:ascii="Times New Roman" w:hAnsi="Times New Roman" w:cs="Times New Roman"/>
                <w:szCs w:val="24"/>
              </w:rPr>
              <w:t>成果名称</w:t>
            </w:r>
          </w:p>
        </w:tc>
        <w:tc>
          <w:tcPr>
            <w:tcW w:w="1283" w:type="dxa"/>
            <w:tcBorders>
              <w:top w:val="single" w:color="000000" w:sz="4" w:space="0"/>
              <w:left w:val="single" w:color="auto" w:sz="4" w:space="0"/>
              <w:bottom w:val="single" w:color="auto" w:sz="4" w:space="0"/>
              <w:right w:val="nil"/>
            </w:tcBorders>
            <w:vAlign w:val="center"/>
          </w:tcPr>
          <w:p>
            <w:pPr>
              <w:ind w:firstLine="0" w:firstLineChars="0"/>
              <w:jc w:val="center"/>
              <w:rPr>
                <w:rFonts w:ascii="Times New Roman" w:hAnsi="Times New Roman" w:cs="Times New Roman"/>
                <w:szCs w:val="24"/>
              </w:rPr>
            </w:pPr>
            <w:r>
              <w:rPr>
                <w:rFonts w:ascii="Times New Roman" w:hAnsi="Times New Roman" w:cs="Times New Roman"/>
                <w:szCs w:val="24"/>
              </w:rPr>
              <w:t>型号规格</w:t>
            </w:r>
          </w:p>
          <w:p>
            <w:pPr>
              <w:ind w:firstLine="0" w:firstLineChars="0"/>
              <w:jc w:val="center"/>
              <w:rPr>
                <w:rFonts w:ascii="Times New Roman" w:hAnsi="Times New Roman" w:cs="Times New Roman"/>
                <w:szCs w:val="24"/>
              </w:rPr>
            </w:pPr>
            <w:r>
              <w:rPr>
                <w:rFonts w:ascii="Times New Roman" w:hAnsi="Times New Roman" w:cs="Times New Roman"/>
                <w:szCs w:val="24"/>
              </w:rPr>
              <w:t>（如有）</w:t>
            </w:r>
          </w:p>
        </w:tc>
        <w:tc>
          <w:tcPr>
            <w:tcW w:w="767"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Times New Roman" w:hAnsi="Times New Roman" w:cs="Times New Roman"/>
                <w:szCs w:val="24"/>
              </w:rPr>
            </w:pPr>
            <w:r>
              <w:rPr>
                <w:rFonts w:ascii="Times New Roman" w:hAnsi="Times New Roman" w:cs="Times New Roman"/>
                <w:szCs w:val="24"/>
              </w:rPr>
              <w:t>数量</w:t>
            </w:r>
          </w:p>
        </w:tc>
        <w:tc>
          <w:tcPr>
            <w:tcW w:w="120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Times New Roman" w:hAnsi="Times New Roman" w:cs="Times New Roman"/>
                <w:szCs w:val="24"/>
              </w:rPr>
            </w:pPr>
            <w:r>
              <w:rPr>
                <w:rFonts w:ascii="Times New Roman" w:hAnsi="Times New Roman" w:cs="Times New Roman"/>
                <w:szCs w:val="24"/>
              </w:rPr>
              <w:t>交付地点</w:t>
            </w:r>
          </w:p>
        </w:tc>
        <w:tc>
          <w:tcPr>
            <w:tcW w:w="209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Times New Roman" w:hAnsi="Times New Roman" w:cs="Times New Roman"/>
                <w:szCs w:val="24"/>
              </w:rPr>
            </w:pPr>
            <w:r>
              <w:rPr>
                <w:rFonts w:ascii="Times New Roman" w:hAnsi="Times New Roman" w:cs="Times New Roman"/>
                <w:szCs w:val="24"/>
              </w:rPr>
              <w:t>备注</w:t>
            </w:r>
          </w:p>
        </w:tc>
      </w:tr>
      <w:tr>
        <w:tblPrEx>
          <w:tblCellMar>
            <w:top w:w="0" w:type="dxa"/>
            <w:left w:w="57" w:type="dxa"/>
            <w:bottom w:w="0" w:type="dxa"/>
            <w:right w:w="57" w:type="dxa"/>
          </w:tblCellMar>
        </w:tblPrEx>
        <w:trPr>
          <w:cantSplit/>
          <w:trHeight w:val="564" w:hRule="atLeast"/>
          <w:jc w:val="center"/>
        </w:trPr>
        <w:tc>
          <w:tcPr>
            <w:tcW w:w="61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Times New Roman" w:hAnsi="Times New Roman" w:cs="Times New Roman"/>
                <w:szCs w:val="24"/>
              </w:rPr>
            </w:pPr>
            <w:r>
              <w:rPr>
                <w:rFonts w:hint="eastAsia" w:ascii="Times New Roman" w:hAnsi="Times New Roman" w:cs="Times New Roman"/>
                <w:szCs w:val="24"/>
              </w:rPr>
              <w:t>1</w:t>
            </w:r>
          </w:p>
        </w:tc>
        <w:tc>
          <w:tcPr>
            <w:tcW w:w="324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Times New Roman" w:hAnsi="Times New Roman" w:cs="Times New Roman"/>
                <w:szCs w:val="24"/>
              </w:rPr>
            </w:pPr>
            <w:r>
              <w:rPr>
                <w:rFonts w:hint="eastAsia" w:ascii="Times New Roman" w:hAnsi="Times New Roman"/>
                <w:color w:val="000000"/>
                <w:szCs w:val="24"/>
              </w:rPr>
              <w:t>可带电使用的配电设备激光除锈仪</w:t>
            </w:r>
          </w:p>
        </w:tc>
        <w:tc>
          <w:tcPr>
            <w:tcW w:w="128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Times New Roman" w:hAnsi="Times New Roman" w:cs="Times New Roman"/>
                <w:szCs w:val="24"/>
              </w:rPr>
            </w:pPr>
          </w:p>
        </w:tc>
        <w:tc>
          <w:tcPr>
            <w:tcW w:w="767"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Times New Roman" w:hAnsi="Times New Roman" w:cs="Times New Roman"/>
                <w:szCs w:val="24"/>
              </w:rPr>
            </w:pPr>
            <w:r>
              <w:rPr>
                <w:rFonts w:hint="eastAsia" w:ascii="Times New Roman" w:hAnsi="Times New Roman" w:cs="Times New Roman"/>
                <w:szCs w:val="24"/>
              </w:rPr>
              <w:t>1台</w:t>
            </w:r>
          </w:p>
        </w:tc>
        <w:tc>
          <w:tcPr>
            <w:tcW w:w="1200" w:type="dxa"/>
            <w:tcBorders>
              <w:top w:val="single" w:color="auto" w:sz="4" w:space="0"/>
              <w:left w:val="single" w:color="auto" w:sz="4" w:space="0"/>
              <w:bottom w:val="single" w:color="auto" w:sz="4" w:space="0"/>
              <w:right w:val="single" w:color="auto" w:sz="4" w:space="0"/>
            </w:tcBorders>
            <w:vAlign w:val="center"/>
          </w:tcPr>
          <w:p>
            <w:pPr>
              <w:adjustRightInd w:val="0"/>
              <w:ind w:firstLine="0" w:firstLineChars="0"/>
              <w:jc w:val="center"/>
              <w:rPr>
                <w:rFonts w:ascii="Times New Roman" w:hAnsi="Times New Roman" w:cs="Times New Roman"/>
                <w:szCs w:val="24"/>
              </w:rPr>
            </w:pPr>
            <w:r>
              <w:rPr>
                <w:rFonts w:hint="eastAsia" w:ascii="Times New Roman" w:hAnsi="Times New Roman" w:cs="Times New Roman"/>
                <w:szCs w:val="24"/>
              </w:rPr>
              <w:t>招标方指定地址</w:t>
            </w:r>
          </w:p>
        </w:tc>
        <w:tc>
          <w:tcPr>
            <w:tcW w:w="2090" w:type="dxa"/>
            <w:tcBorders>
              <w:top w:val="single" w:color="auto" w:sz="4" w:space="0"/>
              <w:left w:val="single" w:color="auto" w:sz="4" w:space="0"/>
              <w:bottom w:val="single" w:color="auto" w:sz="4" w:space="0"/>
              <w:right w:val="single" w:color="auto" w:sz="4" w:space="0"/>
            </w:tcBorders>
            <w:vAlign w:val="center"/>
          </w:tcPr>
          <w:p>
            <w:pPr>
              <w:adjustRightInd w:val="0"/>
              <w:ind w:firstLine="0" w:firstLineChars="0"/>
              <w:jc w:val="center"/>
              <w:rPr>
                <w:rFonts w:ascii="Times New Roman" w:hAnsi="Times New Roman" w:cs="Times New Roman"/>
                <w:szCs w:val="24"/>
              </w:rPr>
            </w:pPr>
          </w:p>
        </w:tc>
      </w:tr>
      <w:tr>
        <w:tblPrEx>
          <w:tblCellMar>
            <w:top w:w="0" w:type="dxa"/>
            <w:left w:w="57" w:type="dxa"/>
            <w:bottom w:w="0" w:type="dxa"/>
            <w:right w:w="57" w:type="dxa"/>
          </w:tblCellMar>
        </w:tblPrEx>
        <w:trPr>
          <w:cantSplit/>
          <w:trHeight w:val="564" w:hRule="atLeast"/>
          <w:jc w:val="center"/>
        </w:trPr>
        <w:tc>
          <w:tcPr>
            <w:tcW w:w="616"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ascii="Times New Roman" w:hAnsi="Times New Roman" w:cs="Times New Roman"/>
                <w:szCs w:val="24"/>
              </w:rPr>
            </w:pPr>
            <w:r>
              <w:rPr>
                <w:rFonts w:ascii="Times New Roman" w:hAnsi="Times New Roman" w:cs="Times New Roman"/>
                <w:szCs w:val="24"/>
              </w:rPr>
              <w:t>2</w:t>
            </w:r>
          </w:p>
        </w:tc>
        <w:tc>
          <w:tcPr>
            <w:tcW w:w="324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Times New Roman" w:hAnsi="Times New Roman" w:cs="Times New Roman"/>
                <w:szCs w:val="24"/>
              </w:rPr>
            </w:pPr>
            <w:r>
              <w:rPr>
                <w:rFonts w:hint="eastAsia" w:ascii="Times New Roman" w:hAnsi="Times New Roman" w:cs="Times New Roman"/>
                <w:szCs w:val="24"/>
              </w:rPr>
              <w:t>工作总结</w:t>
            </w:r>
          </w:p>
        </w:tc>
        <w:tc>
          <w:tcPr>
            <w:tcW w:w="128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Times New Roman" w:hAnsi="Times New Roman" w:cs="Times New Roman"/>
                <w:szCs w:val="24"/>
              </w:rPr>
            </w:pPr>
          </w:p>
        </w:tc>
        <w:tc>
          <w:tcPr>
            <w:tcW w:w="767"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Times New Roman" w:hAnsi="Times New Roman" w:cs="Times New Roman"/>
                <w:szCs w:val="24"/>
              </w:rPr>
            </w:pPr>
            <w:r>
              <w:rPr>
                <w:rFonts w:hint="eastAsia" w:ascii="Times New Roman" w:hAnsi="Times New Roman" w:cs="Times New Roman"/>
                <w:szCs w:val="24"/>
              </w:rPr>
              <w:t>1份</w:t>
            </w:r>
          </w:p>
        </w:tc>
        <w:tc>
          <w:tcPr>
            <w:tcW w:w="1200" w:type="dxa"/>
            <w:tcBorders>
              <w:top w:val="single" w:color="auto" w:sz="4" w:space="0"/>
              <w:left w:val="single" w:color="auto" w:sz="4" w:space="0"/>
              <w:bottom w:val="single" w:color="auto" w:sz="4" w:space="0"/>
              <w:right w:val="single" w:color="auto" w:sz="4" w:space="0"/>
            </w:tcBorders>
            <w:vAlign w:val="center"/>
          </w:tcPr>
          <w:p>
            <w:pPr>
              <w:adjustRightInd w:val="0"/>
              <w:ind w:firstLine="0" w:firstLineChars="0"/>
              <w:jc w:val="center"/>
              <w:rPr>
                <w:rFonts w:ascii="Times New Roman" w:hAnsi="Times New Roman" w:cs="Times New Roman"/>
                <w:szCs w:val="24"/>
              </w:rPr>
            </w:pPr>
          </w:p>
        </w:tc>
        <w:tc>
          <w:tcPr>
            <w:tcW w:w="2090" w:type="dxa"/>
            <w:tcBorders>
              <w:top w:val="single" w:color="auto" w:sz="4" w:space="0"/>
              <w:left w:val="single" w:color="auto" w:sz="4" w:space="0"/>
              <w:bottom w:val="single" w:color="auto" w:sz="4" w:space="0"/>
              <w:right w:val="single" w:color="auto" w:sz="4" w:space="0"/>
            </w:tcBorders>
            <w:vAlign w:val="center"/>
          </w:tcPr>
          <w:p>
            <w:pPr>
              <w:adjustRightInd w:val="0"/>
              <w:ind w:firstLine="0" w:firstLineChars="0"/>
              <w:jc w:val="center"/>
              <w:rPr>
                <w:rFonts w:ascii="Times New Roman" w:hAnsi="Times New Roman" w:cs="Times New Roman"/>
                <w:szCs w:val="24"/>
              </w:rPr>
            </w:pPr>
          </w:p>
        </w:tc>
      </w:tr>
      <w:tr>
        <w:tblPrEx>
          <w:tblCellMar>
            <w:top w:w="0" w:type="dxa"/>
            <w:left w:w="57" w:type="dxa"/>
            <w:bottom w:w="0" w:type="dxa"/>
            <w:right w:w="57" w:type="dxa"/>
          </w:tblCellMar>
        </w:tblPrEx>
        <w:trPr>
          <w:cantSplit/>
          <w:trHeight w:val="564" w:hRule="atLeast"/>
          <w:jc w:val="center"/>
        </w:trPr>
        <w:tc>
          <w:tcPr>
            <w:tcW w:w="616"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ascii="Times New Roman" w:hAnsi="Times New Roman" w:cs="Times New Roman"/>
                <w:szCs w:val="24"/>
              </w:rPr>
            </w:pPr>
            <w:r>
              <w:rPr>
                <w:rFonts w:hint="eastAsia" w:ascii="Times New Roman" w:hAnsi="Times New Roman" w:cs="Times New Roman"/>
                <w:szCs w:val="24"/>
              </w:rPr>
              <w:t>3</w:t>
            </w:r>
          </w:p>
        </w:tc>
        <w:tc>
          <w:tcPr>
            <w:tcW w:w="3240" w:type="dxa"/>
            <w:tcBorders>
              <w:top w:val="single" w:color="auto" w:sz="4" w:space="0"/>
              <w:bottom w:val="single" w:color="auto" w:sz="4" w:space="0"/>
            </w:tcBorders>
            <w:vAlign w:val="center"/>
          </w:tcPr>
          <w:p>
            <w:pPr>
              <w:ind w:firstLine="0" w:firstLineChars="0"/>
              <w:jc w:val="center"/>
              <w:rPr>
                <w:rFonts w:ascii="Times New Roman" w:hAnsi="Times New Roman" w:cs="Times New Roman"/>
                <w:szCs w:val="24"/>
              </w:rPr>
            </w:pPr>
            <w:r>
              <w:rPr>
                <w:rFonts w:hint="eastAsia" w:ascii="Times New Roman" w:hAnsi="Times New Roman" w:cs="Times New Roman"/>
                <w:szCs w:val="24"/>
              </w:rPr>
              <w:t>技术报告</w:t>
            </w:r>
          </w:p>
        </w:tc>
        <w:tc>
          <w:tcPr>
            <w:tcW w:w="128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Times New Roman" w:hAnsi="Times New Roman" w:cs="Times New Roman"/>
                <w:szCs w:val="24"/>
              </w:rPr>
            </w:pPr>
          </w:p>
        </w:tc>
        <w:tc>
          <w:tcPr>
            <w:tcW w:w="767"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Times New Roman" w:hAnsi="Times New Roman" w:cs="Times New Roman"/>
                <w:szCs w:val="24"/>
              </w:rPr>
            </w:pPr>
            <w:r>
              <w:rPr>
                <w:rFonts w:hint="eastAsia" w:ascii="Times New Roman" w:hAnsi="Times New Roman" w:cs="Times New Roman"/>
                <w:szCs w:val="24"/>
              </w:rPr>
              <w:t>1份</w:t>
            </w:r>
          </w:p>
        </w:tc>
        <w:tc>
          <w:tcPr>
            <w:tcW w:w="1200" w:type="dxa"/>
            <w:tcBorders>
              <w:top w:val="single" w:color="auto" w:sz="4" w:space="0"/>
              <w:left w:val="single" w:color="auto" w:sz="4" w:space="0"/>
              <w:bottom w:val="single" w:color="auto" w:sz="4" w:space="0"/>
              <w:right w:val="single" w:color="auto" w:sz="4" w:space="0"/>
            </w:tcBorders>
            <w:vAlign w:val="center"/>
          </w:tcPr>
          <w:p>
            <w:pPr>
              <w:adjustRightInd w:val="0"/>
              <w:ind w:firstLine="0" w:firstLineChars="0"/>
              <w:jc w:val="center"/>
              <w:rPr>
                <w:rFonts w:ascii="Times New Roman" w:hAnsi="Times New Roman" w:cs="Times New Roman"/>
                <w:szCs w:val="24"/>
              </w:rPr>
            </w:pPr>
          </w:p>
        </w:tc>
        <w:tc>
          <w:tcPr>
            <w:tcW w:w="2090" w:type="dxa"/>
            <w:tcBorders>
              <w:top w:val="single" w:color="auto" w:sz="4" w:space="0"/>
              <w:left w:val="single" w:color="auto" w:sz="4" w:space="0"/>
              <w:bottom w:val="single" w:color="auto" w:sz="4" w:space="0"/>
              <w:right w:val="single" w:color="auto" w:sz="4" w:space="0"/>
            </w:tcBorders>
            <w:vAlign w:val="center"/>
          </w:tcPr>
          <w:p>
            <w:pPr>
              <w:adjustRightInd w:val="0"/>
              <w:ind w:firstLine="0" w:firstLineChars="0"/>
              <w:jc w:val="center"/>
              <w:rPr>
                <w:rFonts w:ascii="Times New Roman" w:hAnsi="Times New Roman" w:cs="Times New Roman"/>
                <w:szCs w:val="24"/>
              </w:rPr>
            </w:pPr>
          </w:p>
        </w:tc>
      </w:tr>
      <w:tr>
        <w:tblPrEx>
          <w:tblCellMar>
            <w:top w:w="0" w:type="dxa"/>
            <w:left w:w="57" w:type="dxa"/>
            <w:bottom w:w="0" w:type="dxa"/>
            <w:right w:w="57" w:type="dxa"/>
          </w:tblCellMar>
        </w:tblPrEx>
        <w:trPr>
          <w:cantSplit/>
          <w:trHeight w:val="564" w:hRule="atLeast"/>
          <w:jc w:val="center"/>
        </w:trPr>
        <w:tc>
          <w:tcPr>
            <w:tcW w:w="616"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ascii="Times New Roman" w:hAnsi="Times New Roman" w:cs="Times New Roman"/>
                <w:szCs w:val="24"/>
              </w:rPr>
            </w:pPr>
            <w:r>
              <w:rPr>
                <w:rFonts w:hint="eastAsia" w:ascii="Times New Roman" w:hAnsi="Times New Roman" w:cs="Times New Roman"/>
                <w:szCs w:val="24"/>
              </w:rPr>
              <w:t>4</w:t>
            </w:r>
          </w:p>
        </w:tc>
        <w:tc>
          <w:tcPr>
            <w:tcW w:w="3240" w:type="dxa"/>
            <w:tcBorders>
              <w:top w:val="single" w:color="auto" w:sz="4" w:space="0"/>
            </w:tcBorders>
            <w:vAlign w:val="center"/>
          </w:tcPr>
          <w:p>
            <w:pPr>
              <w:ind w:firstLine="0" w:firstLineChars="0"/>
              <w:jc w:val="center"/>
              <w:rPr>
                <w:rFonts w:ascii="Times New Roman" w:hAnsi="Times New Roman" w:cs="Times New Roman"/>
                <w:szCs w:val="24"/>
              </w:rPr>
            </w:pPr>
            <w:r>
              <w:rPr>
                <w:rFonts w:hint="eastAsia" w:ascii="Times New Roman" w:hAnsi="Times New Roman" w:cs="Times New Roman"/>
                <w:szCs w:val="24"/>
              </w:rPr>
              <w:t>产品第三方检测报告</w:t>
            </w:r>
          </w:p>
        </w:tc>
        <w:tc>
          <w:tcPr>
            <w:tcW w:w="128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Times New Roman" w:hAnsi="Times New Roman" w:cs="Times New Roman"/>
                <w:szCs w:val="24"/>
              </w:rPr>
            </w:pPr>
          </w:p>
        </w:tc>
        <w:tc>
          <w:tcPr>
            <w:tcW w:w="767"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Times New Roman" w:hAnsi="Times New Roman" w:cs="Times New Roman"/>
                <w:szCs w:val="24"/>
              </w:rPr>
            </w:pPr>
            <w:r>
              <w:rPr>
                <w:rFonts w:hint="eastAsia" w:ascii="Times New Roman" w:hAnsi="Times New Roman" w:cs="Times New Roman"/>
                <w:szCs w:val="24"/>
              </w:rPr>
              <w:t>1份</w:t>
            </w:r>
          </w:p>
        </w:tc>
        <w:tc>
          <w:tcPr>
            <w:tcW w:w="1200" w:type="dxa"/>
            <w:tcBorders>
              <w:top w:val="single" w:color="auto" w:sz="4" w:space="0"/>
              <w:left w:val="single" w:color="auto" w:sz="4" w:space="0"/>
              <w:bottom w:val="single" w:color="auto" w:sz="4" w:space="0"/>
              <w:right w:val="single" w:color="auto" w:sz="4" w:space="0"/>
            </w:tcBorders>
            <w:vAlign w:val="center"/>
          </w:tcPr>
          <w:p>
            <w:pPr>
              <w:adjustRightInd w:val="0"/>
              <w:ind w:firstLine="0" w:firstLineChars="0"/>
              <w:jc w:val="center"/>
              <w:rPr>
                <w:rFonts w:ascii="Times New Roman" w:hAnsi="Times New Roman" w:cs="Times New Roman"/>
                <w:szCs w:val="24"/>
              </w:rPr>
            </w:pPr>
          </w:p>
        </w:tc>
        <w:tc>
          <w:tcPr>
            <w:tcW w:w="2090" w:type="dxa"/>
            <w:tcBorders>
              <w:top w:val="single" w:color="auto" w:sz="4" w:space="0"/>
              <w:left w:val="single" w:color="auto" w:sz="4" w:space="0"/>
              <w:bottom w:val="single" w:color="auto" w:sz="4" w:space="0"/>
              <w:right w:val="single" w:color="auto" w:sz="4" w:space="0"/>
            </w:tcBorders>
            <w:vAlign w:val="center"/>
          </w:tcPr>
          <w:p>
            <w:pPr>
              <w:adjustRightInd w:val="0"/>
              <w:ind w:firstLine="0" w:firstLineChars="0"/>
              <w:rPr>
                <w:rFonts w:ascii="Times New Roman" w:hAnsi="Times New Roman" w:cs="Times New Roman"/>
                <w:spacing w:val="-6"/>
                <w:szCs w:val="24"/>
              </w:rPr>
            </w:pPr>
          </w:p>
        </w:tc>
      </w:tr>
      <w:tr>
        <w:tblPrEx>
          <w:tblCellMar>
            <w:top w:w="0" w:type="dxa"/>
            <w:left w:w="57" w:type="dxa"/>
            <w:bottom w:w="0" w:type="dxa"/>
            <w:right w:w="57" w:type="dxa"/>
          </w:tblCellMar>
        </w:tblPrEx>
        <w:trPr>
          <w:cantSplit/>
          <w:trHeight w:val="481" w:hRule="atLeast"/>
          <w:jc w:val="center"/>
        </w:trPr>
        <w:tc>
          <w:tcPr>
            <w:tcW w:w="616"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ascii="Times New Roman" w:hAnsi="Times New Roman" w:cs="Times New Roman"/>
                <w:szCs w:val="24"/>
              </w:rPr>
            </w:pPr>
            <w:r>
              <w:rPr>
                <w:rFonts w:hint="eastAsia" w:ascii="Times New Roman" w:hAnsi="Times New Roman" w:cs="Times New Roman"/>
                <w:szCs w:val="24"/>
              </w:rPr>
              <w:t>5</w:t>
            </w:r>
          </w:p>
        </w:tc>
        <w:tc>
          <w:tcPr>
            <w:tcW w:w="324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Times New Roman" w:hAnsi="Times New Roman" w:cs="Times New Roman"/>
                <w:szCs w:val="24"/>
              </w:rPr>
            </w:pPr>
            <w:r>
              <w:rPr>
                <w:rFonts w:hint="eastAsia" w:ascii="Times New Roman" w:hAnsi="Times New Roman" w:cs="Times New Roman"/>
                <w:szCs w:val="24"/>
              </w:rPr>
              <w:t>发明专利（专利应为带电激光除锈智能控制等方向）</w:t>
            </w:r>
          </w:p>
        </w:tc>
        <w:tc>
          <w:tcPr>
            <w:tcW w:w="128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Times New Roman" w:hAnsi="Times New Roman" w:cs="Times New Roman"/>
                <w:szCs w:val="24"/>
              </w:rPr>
            </w:pPr>
          </w:p>
        </w:tc>
        <w:tc>
          <w:tcPr>
            <w:tcW w:w="767"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Times New Roman" w:hAnsi="Times New Roman" w:cs="Times New Roman"/>
                <w:szCs w:val="24"/>
              </w:rPr>
            </w:pPr>
            <w:r>
              <w:rPr>
                <w:rFonts w:ascii="Times New Roman" w:hAnsi="Times New Roman" w:cs="Times New Roman"/>
                <w:szCs w:val="24"/>
              </w:rPr>
              <w:t>1</w:t>
            </w:r>
            <w:r>
              <w:rPr>
                <w:rFonts w:hint="eastAsia" w:ascii="Times New Roman" w:hAnsi="Times New Roman" w:cs="Times New Roman"/>
                <w:szCs w:val="24"/>
              </w:rPr>
              <w:t>份</w:t>
            </w:r>
          </w:p>
        </w:tc>
        <w:tc>
          <w:tcPr>
            <w:tcW w:w="120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Times New Roman" w:hAnsi="Times New Roman" w:cs="Times New Roman"/>
                <w:szCs w:val="24"/>
              </w:rPr>
            </w:pPr>
          </w:p>
        </w:tc>
        <w:tc>
          <w:tcPr>
            <w:tcW w:w="2090" w:type="dxa"/>
            <w:tcBorders>
              <w:top w:val="single" w:color="auto" w:sz="4" w:space="0"/>
              <w:left w:val="single" w:color="auto" w:sz="4" w:space="0"/>
              <w:bottom w:val="single" w:color="auto" w:sz="4" w:space="0"/>
              <w:right w:val="single" w:color="auto" w:sz="4" w:space="0"/>
            </w:tcBorders>
            <w:vAlign w:val="center"/>
          </w:tcPr>
          <w:p>
            <w:pPr>
              <w:ind w:firstLine="0" w:firstLineChars="0"/>
              <w:rPr>
                <w:rFonts w:ascii="Times New Roman" w:hAnsi="Times New Roman" w:cs="Times New Roman"/>
                <w:szCs w:val="24"/>
              </w:rPr>
            </w:pPr>
            <w:r>
              <w:rPr>
                <w:rFonts w:hint="eastAsia" w:ascii="Times New Roman" w:hAnsi="Times New Roman" w:cs="Times New Roman"/>
                <w:szCs w:val="24"/>
              </w:rPr>
              <w:t>获得受理通知书</w:t>
            </w:r>
          </w:p>
        </w:tc>
      </w:tr>
    </w:tbl>
    <w:p>
      <w:pPr>
        <w:ind w:firstLine="480"/>
        <w:rPr>
          <w:rFonts w:ascii="Times New Roman" w:hAnsi="Times New Roman" w:cs="Times New Roman"/>
          <w:bCs/>
          <w:szCs w:val="24"/>
        </w:rPr>
      </w:pPr>
      <w:r>
        <w:rPr>
          <w:rFonts w:hint="eastAsia" w:ascii="Times New Roman" w:hAnsi="Times New Roman" w:cs="Times New Roman"/>
          <w:bCs/>
          <w:szCs w:val="24"/>
        </w:rPr>
        <w:t>注：交付的技术报告，应包括但不限于结构图纸、电路图、PCB制图、前期研究论证的DEMO原型（视频+文字材料）等，并提供关键器件清单。</w:t>
      </w:r>
    </w:p>
    <w:p>
      <w:pPr>
        <w:pStyle w:val="4"/>
        <w:numPr>
          <w:ilvl w:val="0"/>
          <w:numId w:val="0"/>
        </w:numPr>
        <w:spacing w:before="312" w:beforeLines="100" w:after="0" w:line="360" w:lineRule="auto"/>
        <w:rPr>
          <w:sz w:val="32"/>
          <w:szCs w:val="32"/>
        </w:rPr>
      </w:pPr>
      <w:bookmarkStart w:id="50" w:name="_Toc8077"/>
      <w:r>
        <w:rPr>
          <w:sz w:val="32"/>
          <w:szCs w:val="32"/>
        </w:rPr>
        <w:t>四、项目进度</w:t>
      </w:r>
      <w:bookmarkEnd w:id="50"/>
      <w:r>
        <w:rPr>
          <w:sz w:val="32"/>
          <w:szCs w:val="32"/>
        </w:rPr>
        <w:t xml:space="preserve"> </w:t>
      </w:r>
    </w:p>
    <w:tbl>
      <w:tblPr>
        <w:tblStyle w:val="13"/>
        <w:tblW w:w="9176"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1584"/>
        <w:gridCol w:w="1871"/>
        <w:gridCol w:w="5721"/>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42" w:hRule="atLeast"/>
          <w:tblHeader/>
          <w:jc w:val="center"/>
        </w:trPr>
        <w:tc>
          <w:tcPr>
            <w:tcW w:w="1584" w:type="dxa"/>
            <w:tcBorders>
              <w:top w:val="single" w:color="000000" w:sz="8" w:space="0"/>
              <w:left w:val="single" w:color="000000" w:sz="8" w:space="0"/>
              <w:bottom w:val="single" w:color="000000" w:sz="8" w:space="0"/>
              <w:right w:val="single" w:color="000000" w:sz="8" w:space="0"/>
            </w:tcBorders>
            <w:vAlign w:val="center"/>
          </w:tcPr>
          <w:p>
            <w:pPr>
              <w:spacing w:before="156" w:beforeLines="50" w:after="156" w:afterLines="50"/>
              <w:ind w:firstLine="0" w:firstLineChars="0"/>
              <w:jc w:val="center"/>
              <w:rPr>
                <w:rFonts w:ascii="Times New Roman" w:hAnsi="Times New Roman" w:cs="Times New Roman"/>
                <w:b/>
                <w:szCs w:val="21"/>
              </w:rPr>
            </w:pPr>
            <w:r>
              <w:rPr>
                <w:rFonts w:ascii="Times New Roman" w:hAnsi="Times New Roman" w:cs="Times New Roman"/>
                <w:b/>
                <w:szCs w:val="21"/>
              </w:rPr>
              <w:t>时间安排</w:t>
            </w:r>
          </w:p>
        </w:tc>
        <w:tc>
          <w:tcPr>
            <w:tcW w:w="1871" w:type="dxa"/>
            <w:tcBorders>
              <w:top w:val="single" w:color="000000" w:sz="8" w:space="0"/>
              <w:left w:val="single" w:color="000000" w:sz="8" w:space="0"/>
              <w:bottom w:val="single" w:color="000000" w:sz="8" w:space="0"/>
              <w:right w:val="single" w:color="000000" w:sz="8" w:space="0"/>
            </w:tcBorders>
            <w:vAlign w:val="center"/>
          </w:tcPr>
          <w:p>
            <w:pPr>
              <w:spacing w:before="156" w:beforeLines="50" w:after="156" w:afterLines="50"/>
              <w:ind w:firstLine="0" w:firstLineChars="0"/>
              <w:jc w:val="center"/>
              <w:rPr>
                <w:rFonts w:ascii="Times New Roman" w:hAnsi="Times New Roman" w:cs="Times New Roman"/>
                <w:b/>
                <w:szCs w:val="21"/>
              </w:rPr>
            </w:pPr>
            <w:r>
              <w:rPr>
                <w:rFonts w:ascii="Times New Roman" w:hAnsi="Times New Roman" w:cs="Times New Roman"/>
                <w:b/>
                <w:szCs w:val="21"/>
              </w:rPr>
              <w:t>主要节点</w:t>
            </w:r>
          </w:p>
        </w:tc>
        <w:tc>
          <w:tcPr>
            <w:tcW w:w="5721" w:type="dxa"/>
            <w:tcBorders>
              <w:top w:val="single" w:color="000000" w:sz="8" w:space="0"/>
              <w:left w:val="single" w:color="000000" w:sz="8" w:space="0"/>
              <w:bottom w:val="single" w:color="000000" w:sz="8" w:space="0"/>
              <w:right w:val="single" w:color="000000" w:sz="8" w:space="0"/>
            </w:tcBorders>
            <w:vAlign w:val="center"/>
          </w:tcPr>
          <w:p>
            <w:pPr>
              <w:spacing w:before="156" w:beforeLines="50" w:after="156" w:afterLines="50"/>
              <w:ind w:firstLine="0" w:firstLineChars="0"/>
              <w:jc w:val="center"/>
              <w:rPr>
                <w:rFonts w:ascii="Times New Roman" w:hAnsi="Times New Roman" w:cs="Times New Roman"/>
                <w:b/>
                <w:szCs w:val="21"/>
              </w:rPr>
            </w:pPr>
            <w:r>
              <w:rPr>
                <w:rFonts w:ascii="Times New Roman" w:hAnsi="Times New Roman" w:cs="Times New Roman"/>
                <w:b/>
                <w:szCs w:val="21"/>
              </w:rPr>
              <w:t>主要工作内容及成果交付物</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864" w:hRule="atLeast"/>
          <w:jc w:val="center"/>
        </w:trPr>
        <w:tc>
          <w:tcPr>
            <w:tcW w:w="1584" w:type="dxa"/>
            <w:tcBorders>
              <w:top w:val="single" w:color="000000" w:sz="8" w:space="0"/>
              <w:left w:val="single" w:color="000000" w:sz="8" w:space="0"/>
              <w:bottom w:val="single" w:color="000000" w:sz="8" w:space="0"/>
              <w:right w:val="single" w:color="000000" w:sz="8" w:space="0"/>
            </w:tcBorders>
            <w:vAlign w:val="center"/>
          </w:tcPr>
          <w:p>
            <w:pPr>
              <w:spacing w:line="288" w:lineRule="auto"/>
              <w:ind w:firstLine="0" w:firstLineChars="0"/>
              <w:jc w:val="center"/>
              <w:rPr>
                <w:rFonts w:ascii="Times New Roman" w:hAnsi="Times New Roman" w:cs="Times New Roman"/>
                <w:szCs w:val="21"/>
              </w:rPr>
            </w:pPr>
            <w:r>
              <w:rPr>
                <w:rFonts w:hint="eastAsia" w:ascii="Times New Roman" w:hAnsi="Times New Roman" w:cs="Times New Roman"/>
                <w:szCs w:val="21"/>
              </w:rPr>
              <w:t>2026年</w:t>
            </w:r>
            <w:r>
              <w:rPr>
                <w:rFonts w:hint="eastAsia" w:ascii="Times New Roman" w:hAnsi="Times New Roman" w:cs="Times New Roman"/>
                <w:szCs w:val="21"/>
                <w:lang w:val="en-US" w:eastAsia="zh-CN"/>
              </w:rPr>
              <w:t>8</w:t>
            </w:r>
            <w:r>
              <w:rPr>
                <w:rFonts w:hint="eastAsia" w:ascii="Times New Roman" w:hAnsi="Times New Roman" w:cs="Times New Roman"/>
                <w:szCs w:val="21"/>
              </w:rPr>
              <w:t>月</w:t>
            </w:r>
          </w:p>
        </w:tc>
        <w:tc>
          <w:tcPr>
            <w:tcW w:w="1871" w:type="dxa"/>
            <w:tcBorders>
              <w:top w:val="single" w:color="000000" w:sz="8" w:space="0"/>
              <w:left w:val="single" w:color="000000" w:sz="8" w:space="0"/>
              <w:bottom w:val="single" w:color="000000" w:sz="8" w:space="0"/>
              <w:right w:val="single" w:color="000000" w:sz="8" w:space="0"/>
            </w:tcBorders>
            <w:vAlign w:val="center"/>
          </w:tcPr>
          <w:p>
            <w:pPr>
              <w:spacing w:line="288" w:lineRule="auto"/>
              <w:ind w:firstLine="0" w:firstLineChars="0"/>
              <w:jc w:val="center"/>
              <w:rPr>
                <w:rFonts w:ascii="Times New Roman" w:hAnsi="Times New Roman" w:cs="Times New Roman"/>
                <w:szCs w:val="21"/>
              </w:rPr>
            </w:pPr>
            <w:r>
              <w:rPr>
                <w:rFonts w:hint="eastAsia" w:ascii="Times New Roman" w:hAnsi="Times New Roman" w:cs="Times New Roman"/>
                <w:szCs w:val="21"/>
              </w:rPr>
              <w:t>方案设计</w:t>
            </w:r>
          </w:p>
        </w:tc>
        <w:tc>
          <w:tcPr>
            <w:tcW w:w="5721" w:type="dxa"/>
            <w:tcBorders>
              <w:top w:val="single" w:color="000000" w:sz="8" w:space="0"/>
              <w:left w:val="single" w:color="000000" w:sz="8" w:space="0"/>
              <w:bottom w:val="single" w:color="000000" w:sz="8" w:space="0"/>
              <w:right w:val="single" w:color="000000" w:sz="8" w:space="0"/>
            </w:tcBorders>
            <w:vAlign w:val="center"/>
          </w:tcPr>
          <w:p>
            <w:pPr>
              <w:spacing w:line="288" w:lineRule="auto"/>
              <w:ind w:firstLine="0" w:firstLineChars="0"/>
              <w:rPr>
                <w:rFonts w:ascii="Times New Roman" w:hAnsi="Times New Roman" w:cs="Times New Roman"/>
                <w:szCs w:val="21"/>
              </w:rPr>
            </w:pPr>
            <w:r>
              <w:rPr>
                <w:rFonts w:ascii="Times New Roman" w:hAnsi="Times New Roman" w:cs="Times New Roman"/>
                <w:szCs w:val="21"/>
              </w:rPr>
              <w:t>主要内容：</w:t>
            </w:r>
            <w:r>
              <w:rPr>
                <w:rFonts w:hint="eastAsia" w:ascii="Times New Roman" w:hAnsi="Times New Roman" w:cs="Times New Roman"/>
                <w:szCs w:val="21"/>
              </w:rPr>
              <w:t>配电设备不停电激光除锈关键技术研究</w:t>
            </w:r>
          </w:p>
          <w:p>
            <w:pPr>
              <w:spacing w:line="288" w:lineRule="auto"/>
              <w:ind w:firstLine="0" w:firstLineChars="0"/>
              <w:rPr>
                <w:rFonts w:ascii="Times New Roman" w:hAnsi="Times New Roman" w:cs="Times New Roman"/>
                <w:szCs w:val="21"/>
              </w:rPr>
            </w:pPr>
            <w:r>
              <w:rPr>
                <w:rFonts w:ascii="Times New Roman" w:hAnsi="Times New Roman" w:cs="Times New Roman"/>
                <w:szCs w:val="21"/>
              </w:rPr>
              <w:t>交付项：</w:t>
            </w:r>
            <w:r>
              <w:rPr>
                <w:rFonts w:hint="eastAsia" w:ascii="Times New Roman" w:hAnsi="Times New Roman" w:cs="Times New Roman"/>
                <w:szCs w:val="21"/>
              </w:rPr>
              <w:t>装置设计方案</w:t>
            </w:r>
            <w:r>
              <w:rPr>
                <w:rFonts w:ascii="Times New Roman" w:hAnsi="Times New Roman" w:cs="Times New Roman"/>
              </w:rPr>
              <w:t>。</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834" w:hRule="atLeast"/>
          <w:jc w:val="center"/>
        </w:trPr>
        <w:tc>
          <w:tcPr>
            <w:tcW w:w="1584" w:type="dxa"/>
            <w:tcBorders>
              <w:top w:val="single" w:color="000000" w:sz="8" w:space="0"/>
              <w:left w:val="single" w:color="000000" w:sz="8" w:space="0"/>
              <w:bottom w:val="single" w:color="000000" w:sz="8" w:space="0"/>
              <w:right w:val="single" w:color="000000" w:sz="8" w:space="0"/>
            </w:tcBorders>
            <w:vAlign w:val="center"/>
          </w:tcPr>
          <w:p>
            <w:pPr>
              <w:spacing w:line="288" w:lineRule="auto"/>
              <w:ind w:firstLine="0" w:firstLineChars="0"/>
              <w:jc w:val="center"/>
              <w:rPr>
                <w:rFonts w:hint="default" w:ascii="Times New Roman" w:hAnsi="Times New Roman" w:eastAsia="宋体" w:cs="Times New Roman"/>
                <w:szCs w:val="21"/>
                <w:lang w:val="en-US" w:eastAsia="zh-CN"/>
              </w:rPr>
            </w:pPr>
            <w:r>
              <w:rPr>
                <w:rFonts w:hint="eastAsia" w:ascii="Times New Roman" w:hAnsi="Times New Roman" w:cs="Times New Roman"/>
                <w:szCs w:val="21"/>
              </w:rPr>
              <w:t>2026年</w:t>
            </w:r>
            <w:r>
              <w:rPr>
                <w:rFonts w:hint="eastAsia" w:ascii="Times New Roman" w:hAnsi="Times New Roman" w:cs="Times New Roman"/>
                <w:szCs w:val="21"/>
                <w:lang w:val="en-US" w:eastAsia="zh-CN"/>
              </w:rPr>
              <w:t>9</w:t>
            </w:r>
            <w:r>
              <w:rPr>
                <w:rFonts w:hint="eastAsia" w:ascii="Times New Roman" w:hAnsi="Times New Roman" w:cs="Times New Roman"/>
                <w:szCs w:val="21"/>
              </w:rPr>
              <w:t>月</w:t>
            </w:r>
            <w:r>
              <w:rPr>
                <w:rFonts w:hint="eastAsia" w:ascii="Times New Roman" w:hAnsi="Times New Roman" w:cs="Times New Roman"/>
                <w:szCs w:val="21"/>
                <w:lang w:val="en-US" w:eastAsia="zh-CN"/>
              </w:rPr>
              <w:t>-2026年10月</w:t>
            </w:r>
          </w:p>
        </w:tc>
        <w:tc>
          <w:tcPr>
            <w:tcW w:w="1871" w:type="dxa"/>
            <w:tcBorders>
              <w:top w:val="single" w:color="000000" w:sz="8" w:space="0"/>
              <w:left w:val="single" w:color="000000" w:sz="8" w:space="0"/>
              <w:bottom w:val="single" w:color="000000" w:sz="8" w:space="0"/>
              <w:right w:val="single" w:color="000000" w:sz="8" w:space="0"/>
            </w:tcBorders>
            <w:vAlign w:val="center"/>
          </w:tcPr>
          <w:p>
            <w:pPr>
              <w:spacing w:line="288" w:lineRule="auto"/>
              <w:ind w:firstLine="0" w:firstLineChars="0"/>
              <w:jc w:val="center"/>
              <w:rPr>
                <w:rFonts w:ascii="Times New Roman" w:hAnsi="Times New Roman" w:cs="Times New Roman"/>
                <w:szCs w:val="21"/>
              </w:rPr>
            </w:pPr>
            <w:r>
              <w:rPr>
                <w:rFonts w:hint="eastAsia" w:ascii="Times New Roman" w:hAnsi="Times New Roman" w:cs="Times New Roman"/>
                <w:szCs w:val="21"/>
              </w:rPr>
              <w:t>装置开发</w:t>
            </w:r>
          </w:p>
        </w:tc>
        <w:tc>
          <w:tcPr>
            <w:tcW w:w="5721" w:type="dxa"/>
            <w:tcBorders>
              <w:top w:val="single" w:color="000000" w:sz="8" w:space="0"/>
              <w:left w:val="single" w:color="000000" w:sz="8" w:space="0"/>
              <w:bottom w:val="single" w:color="000000" w:sz="8" w:space="0"/>
              <w:right w:val="single" w:color="000000" w:sz="8" w:space="0"/>
            </w:tcBorders>
            <w:vAlign w:val="center"/>
          </w:tcPr>
          <w:p>
            <w:pPr>
              <w:pStyle w:val="2"/>
              <w:ind w:firstLine="0" w:firstLineChars="0"/>
            </w:pPr>
            <w:r>
              <w:rPr>
                <w:rFonts w:hint="eastAsia"/>
              </w:rPr>
              <w:t>主要内容：可带电使用的配电设备激光除锈仪研制</w:t>
            </w:r>
          </w:p>
          <w:p>
            <w:pPr>
              <w:pStyle w:val="2"/>
              <w:ind w:firstLine="0" w:firstLineChars="0"/>
            </w:pPr>
            <w:r>
              <w:t>交付项：1</w:t>
            </w:r>
            <w:r>
              <w:rPr>
                <w:rFonts w:hint="eastAsia"/>
              </w:rPr>
              <w:t>项发明专利相关材料、可带电使用的配电设备激光除锈仪样机一套。</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834" w:hRule="atLeast"/>
          <w:jc w:val="center"/>
        </w:trPr>
        <w:tc>
          <w:tcPr>
            <w:tcW w:w="1584" w:type="dxa"/>
            <w:tcBorders>
              <w:top w:val="single" w:color="000000" w:sz="8" w:space="0"/>
              <w:left w:val="single" w:color="000000" w:sz="8" w:space="0"/>
              <w:bottom w:val="single" w:color="000000" w:sz="8" w:space="0"/>
              <w:right w:val="single" w:color="000000" w:sz="8" w:space="0"/>
            </w:tcBorders>
            <w:vAlign w:val="center"/>
          </w:tcPr>
          <w:p>
            <w:pPr>
              <w:spacing w:line="288" w:lineRule="auto"/>
              <w:ind w:firstLine="0" w:firstLineChars="0"/>
              <w:jc w:val="center"/>
              <w:rPr>
                <w:rFonts w:ascii="Times New Roman" w:hAnsi="Times New Roman" w:cs="Times New Roman"/>
                <w:szCs w:val="21"/>
              </w:rPr>
            </w:pPr>
            <w:r>
              <w:rPr>
                <w:rFonts w:hint="eastAsia" w:ascii="Times New Roman" w:hAnsi="Times New Roman" w:cs="Times New Roman"/>
                <w:szCs w:val="21"/>
              </w:rPr>
              <w:t>2026年</w:t>
            </w:r>
            <w:r>
              <w:rPr>
                <w:rFonts w:hint="eastAsia" w:ascii="Times New Roman" w:hAnsi="Times New Roman" w:cs="Times New Roman"/>
                <w:szCs w:val="21"/>
                <w:lang w:val="en-US" w:eastAsia="zh-CN"/>
              </w:rPr>
              <w:t>11</w:t>
            </w:r>
            <w:r>
              <w:rPr>
                <w:rFonts w:hint="eastAsia" w:ascii="Times New Roman" w:hAnsi="Times New Roman" w:cs="Times New Roman"/>
                <w:szCs w:val="21"/>
              </w:rPr>
              <w:t>月</w:t>
            </w:r>
            <w:bookmarkStart w:id="70" w:name="_GoBack"/>
            <w:bookmarkEnd w:id="70"/>
          </w:p>
        </w:tc>
        <w:tc>
          <w:tcPr>
            <w:tcW w:w="1871" w:type="dxa"/>
            <w:tcBorders>
              <w:top w:val="single" w:color="000000" w:sz="8" w:space="0"/>
              <w:left w:val="single" w:color="000000" w:sz="8" w:space="0"/>
              <w:bottom w:val="single" w:color="000000" w:sz="8" w:space="0"/>
              <w:right w:val="single" w:color="000000" w:sz="8" w:space="0"/>
            </w:tcBorders>
            <w:vAlign w:val="center"/>
          </w:tcPr>
          <w:p>
            <w:pPr>
              <w:spacing w:line="288" w:lineRule="auto"/>
              <w:ind w:firstLine="0" w:firstLineChars="0"/>
              <w:jc w:val="center"/>
              <w:rPr>
                <w:rFonts w:ascii="Times New Roman" w:hAnsi="Times New Roman" w:cs="Times New Roman"/>
                <w:szCs w:val="21"/>
              </w:rPr>
            </w:pPr>
            <w:r>
              <w:rPr>
                <w:rFonts w:hint="eastAsia" w:ascii="Times New Roman" w:hAnsi="Times New Roman" w:cs="Times New Roman"/>
                <w:szCs w:val="21"/>
              </w:rPr>
              <w:t>示范应用</w:t>
            </w:r>
          </w:p>
        </w:tc>
        <w:tc>
          <w:tcPr>
            <w:tcW w:w="5721" w:type="dxa"/>
            <w:tcBorders>
              <w:top w:val="single" w:color="000000" w:sz="8" w:space="0"/>
              <w:left w:val="single" w:color="000000" w:sz="8" w:space="0"/>
              <w:bottom w:val="single" w:color="000000" w:sz="8" w:space="0"/>
              <w:right w:val="single" w:color="000000" w:sz="8" w:space="0"/>
            </w:tcBorders>
            <w:vAlign w:val="center"/>
          </w:tcPr>
          <w:p>
            <w:pPr>
              <w:spacing w:line="288" w:lineRule="auto"/>
              <w:ind w:firstLine="0" w:firstLineChars="0"/>
              <w:rPr>
                <w:rFonts w:ascii="Times New Roman" w:hAnsi="Times New Roman" w:cs="Times New Roman"/>
                <w:szCs w:val="21"/>
              </w:rPr>
            </w:pPr>
            <w:r>
              <w:rPr>
                <w:rFonts w:hint="eastAsia" w:ascii="Times New Roman" w:hAnsi="Times New Roman" w:cs="Times New Roman"/>
                <w:szCs w:val="21"/>
              </w:rPr>
              <w:t>主要内容：开展现场示范应用</w:t>
            </w:r>
          </w:p>
          <w:p>
            <w:pPr>
              <w:spacing w:line="288" w:lineRule="auto"/>
              <w:ind w:firstLine="0" w:firstLineChars="0"/>
              <w:rPr>
                <w:rFonts w:ascii="Times New Roman" w:hAnsi="Times New Roman" w:cs="Times New Roman"/>
                <w:szCs w:val="21"/>
              </w:rPr>
            </w:pPr>
            <w:r>
              <w:t>交付项：</w:t>
            </w:r>
            <w:r>
              <w:rPr>
                <w:rFonts w:hint="eastAsia"/>
              </w:rPr>
              <w:t>第三方检测报告</w:t>
            </w:r>
            <w:r>
              <w:rPr>
                <w:rFonts w:hint="eastAsia" w:ascii="Times New Roman" w:hAnsi="Times New Roman" w:cs="Times New Roman"/>
                <w:szCs w:val="21"/>
              </w:rPr>
              <w:t>、</w:t>
            </w:r>
            <w:r>
              <w:rPr>
                <w:rFonts w:hint="eastAsia"/>
              </w:rPr>
              <w:t>1份论文相关材料</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584" w:type="dxa"/>
            <w:tcBorders>
              <w:top w:val="single" w:color="000000" w:sz="8" w:space="0"/>
              <w:left w:val="single" w:color="000000" w:sz="8" w:space="0"/>
              <w:bottom w:val="single" w:color="000000" w:sz="8" w:space="0"/>
              <w:right w:val="single" w:color="000000" w:sz="8" w:space="0"/>
            </w:tcBorders>
            <w:vAlign w:val="center"/>
          </w:tcPr>
          <w:p>
            <w:pPr>
              <w:spacing w:line="288" w:lineRule="auto"/>
              <w:ind w:firstLine="0" w:firstLineChars="0"/>
              <w:jc w:val="center"/>
              <w:rPr>
                <w:rFonts w:ascii="Times New Roman" w:hAnsi="Times New Roman" w:cs="Times New Roman"/>
                <w:szCs w:val="21"/>
              </w:rPr>
            </w:pPr>
            <w:r>
              <w:rPr>
                <w:rFonts w:hint="eastAsia" w:ascii="Times New Roman" w:hAnsi="Times New Roman" w:cs="Times New Roman"/>
                <w:szCs w:val="21"/>
              </w:rPr>
              <w:t>202</w:t>
            </w:r>
            <w:r>
              <w:rPr>
                <w:rFonts w:ascii="Times New Roman" w:hAnsi="Times New Roman" w:cs="Times New Roman"/>
                <w:szCs w:val="21"/>
              </w:rPr>
              <w:t>6</w:t>
            </w:r>
            <w:r>
              <w:rPr>
                <w:rFonts w:hint="eastAsia" w:ascii="Times New Roman" w:hAnsi="Times New Roman" w:cs="Times New Roman"/>
                <w:szCs w:val="21"/>
              </w:rPr>
              <w:t>年</w:t>
            </w:r>
            <w:r>
              <w:rPr>
                <w:rFonts w:hint="eastAsia" w:ascii="Times New Roman" w:hAnsi="Times New Roman" w:cs="Times New Roman"/>
                <w:szCs w:val="21"/>
                <w:lang w:val="en-US" w:eastAsia="zh-CN"/>
              </w:rPr>
              <w:t>12</w:t>
            </w:r>
            <w:r>
              <w:rPr>
                <w:rFonts w:hint="eastAsia" w:ascii="Times New Roman" w:hAnsi="Times New Roman" w:cs="Times New Roman"/>
                <w:szCs w:val="21"/>
              </w:rPr>
              <w:t>月</w:t>
            </w:r>
          </w:p>
        </w:tc>
        <w:tc>
          <w:tcPr>
            <w:tcW w:w="1871" w:type="dxa"/>
            <w:tcBorders>
              <w:top w:val="single" w:color="000000" w:sz="8" w:space="0"/>
              <w:left w:val="single" w:color="000000" w:sz="8" w:space="0"/>
              <w:bottom w:val="single" w:color="000000" w:sz="8" w:space="0"/>
              <w:right w:val="single" w:color="000000" w:sz="8" w:space="0"/>
            </w:tcBorders>
            <w:vAlign w:val="center"/>
          </w:tcPr>
          <w:p>
            <w:pPr>
              <w:spacing w:line="288" w:lineRule="auto"/>
              <w:ind w:firstLine="0" w:firstLineChars="0"/>
              <w:jc w:val="center"/>
              <w:rPr>
                <w:rFonts w:ascii="Times New Roman" w:hAnsi="Times New Roman" w:cs="Times New Roman"/>
                <w:szCs w:val="21"/>
              </w:rPr>
            </w:pPr>
            <w:r>
              <w:rPr>
                <w:rFonts w:hint="eastAsia" w:ascii="Times New Roman" w:hAnsi="Times New Roman" w:cs="Times New Roman"/>
                <w:szCs w:val="21"/>
              </w:rPr>
              <w:t>合同验收</w:t>
            </w:r>
          </w:p>
        </w:tc>
        <w:tc>
          <w:tcPr>
            <w:tcW w:w="5721" w:type="dxa"/>
            <w:tcBorders>
              <w:top w:val="single" w:color="000000" w:sz="8" w:space="0"/>
              <w:left w:val="single" w:color="000000" w:sz="8" w:space="0"/>
              <w:bottom w:val="single" w:color="000000" w:sz="8" w:space="0"/>
              <w:right w:val="single" w:color="000000" w:sz="8" w:space="0"/>
            </w:tcBorders>
            <w:vAlign w:val="center"/>
          </w:tcPr>
          <w:p>
            <w:pPr>
              <w:spacing w:line="288" w:lineRule="auto"/>
              <w:ind w:firstLine="0" w:firstLineChars="0"/>
              <w:rPr>
                <w:rFonts w:ascii="Times New Roman" w:hAnsi="Times New Roman" w:cs="Times New Roman"/>
                <w:szCs w:val="21"/>
              </w:rPr>
            </w:pPr>
            <w:r>
              <w:rPr>
                <w:rFonts w:hint="eastAsia" w:ascii="Times New Roman" w:hAnsi="Times New Roman" w:cs="Times New Roman"/>
                <w:szCs w:val="21"/>
              </w:rPr>
              <w:t>主要内容：完成合同验收。</w:t>
            </w:r>
          </w:p>
          <w:p>
            <w:pPr>
              <w:pStyle w:val="2"/>
              <w:ind w:firstLine="0" w:firstLineChars="0"/>
            </w:pPr>
            <w:r>
              <w:rPr>
                <w:rFonts w:hint="eastAsia" w:ascii="Times New Roman" w:hAnsi="Times New Roman" w:cs="Times New Roman"/>
                <w:szCs w:val="21"/>
              </w:rPr>
              <w:t>交付项：提交工作总结、技术报告及验收所需材料。</w:t>
            </w:r>
          </w:p>
        </w:tc>
      </w:tr>
    </w:tbl>
    <w:p>
      <w:pPr>
        <w:pStyle w:val="4"/>
        <w:numPr>
          <w:ilvl w:val="0"/>
          <w:numId w:val="0"/>
        </w:numPr>
        <w:spacing w:before="312" w:beforeLines="100" w:after="0" w:line="360" w:lineRule="auto"/>
        <w:rPr>
          <w:sz w:val="32"/>
          <w:szCs w:val="32"/>
        </w:rPr>
      </w:pPr>
      <w:bookmarkStart w:id="51" w:name="_Toc31926"/>
      <w:r>
        <w:rPr>
          <w:sz w:val="32"/>
          <w:szCs w:val="32"/>
        </w:rPr>
        <w:t>五、开发人员</w:t>
      </w:r>
      <w:bookmarkEnd w:id="51"/>
    </w:p>
    <w:p>
      <w:pPr>
        <w:pStyle w:val="11"/>
        <w:ind w:firstLine="480"/>
        <w:rPr>
          <w:rFonts w:ascii="Times New Roman" w:hAnsi="Times New Roman" w:cs="Times New Roman"/>
        </w:rPr>
      </w:pPr>
      <w:bookmarkStart w:id="52" w:name="_Toc444945521"/>
      <w:r>
        <w:rPr>
          <w:rFonts w:hint="eastAsia" w:ascii="Times New Roman" w:hAnsi="Times New Roman" w:cs="Times New Roman"/>
        </w:rPr>
        <w:t>投标方需承诺项目核心开发人员稳定性，如需更换，需提前15日书面通知甲方并经同意。擅自更换导致项目延误的，中标方需承担违约责任。逾期未整改的，招标方有权暂停付款或解除合同，且中标方不得以此为由主张额外费用。</w:t>
      </w:r>
    </w:p>
    <w:p>
      <w:pPr>
        <w:pStyle w:val="11"/>
        <w:ind w:firstLine="480"/>
        <w:rPr>
          <w:rFonts w:ascii="Times New Roman" w:hAnsi="Times New Roman" w:cs="Times New Roman"/>
        </w:rPr>
      </w:pPr>
      <w:r>
        <w:rPr>
          <w:rFonts w:hint="eastAsia" w:ascii="Times New Roman" w:hAnsi="Times New Roman" w:cs="Times New Roman"/>
        </w:rPr>
        <w:t>招标方有权指派研发人员全程参与项目研发，包括但不限于需求确认、技术路线审核、代码审查、测试验收等关键环节。中标方应为招标方研发人员提供必要的工作条件，并配合其履行监督职责。中标方未按要求配合时，招标方有权暂停付款或解除合同。</w:t>
      </w:r>
    </w:p>
    <w:p>
      <w:pPr>
        <w:pStyle w:val="4"/>
        <w:numPr>
          <w:ilvl w:val="0"/>
          <w:numId w:val="0"/>
        </w:numPr>
        <w:spacing w:before="312" w:beforeLines="100" w:after="0" w:line="360" w:lineRule="auto"/>
        <w:rPr>
          <w:sz w:val="32"/>
          <w:szCs w:val="32"/>
        </w:rPr>
      </w:pPr>
      <w:bookmarkStart w:id="53" w:name="_Toc5693"/>
      <w:r>
        <w:rPr>
          <w:sz w:val="32"/>
          <w:szCs w:val="32"/>
        </w:rPr>
        <w:t>六、投标技术文件编制要求</w:t>
      </w:r>
      <w:bookmarkEnd w:id="52"/>
      <w:bookmarkEnd w:id="53"/>
    </w:p>
    <w:p>
      <w:pPr>
        <w:pStyle w:val="16"/>
        <w:spacing w:line="360" w:lineRule="auto"/>
        <w:ind w:firstLine="480"/>
        <w:rPr>
          <w:rFonts w:eastAsia="宋体" w:cs="Times New Roman"/>
          <w:szCs w:val="24"/>
        </w:rPr>
      </w:pPr>
      <w:r>
        <w:rPr>
          <w:rFonts w:eastAsia="宋体" w:cs="Times New Roman"/>
          <w:szCs w:val="24"/>
        </w:rPr>
        <w:t>投标方可以到现场实地考察，并根据科技项目研发总体目标和招标技术文件提出自己的技术研究方案、工程施工方案、工程进度表和商务报价，技术文件应包含（不仅限于）以下内容：</w:t>
      </w:r>
    </w:p>
    <w:p>
      <w:pPr>
        <w:ind w:firstLine="482"/>
        <w:rPr>
          <w:rFonts w:ascii="Times New Roman" w:hAnsi="Times New Roman" w:cs="Times New Roman"/>
          <w:b/>
          <w:bCs/>
          <w:szCs w:val="24"/>
        </w:rPr>
      </w:pPr>
      <w:r>
        <w:rPr>
          <w:rFonts w:ascii="Times New Roman" w:hAnsi="Times New Roman" w:cs="Times New Roman"/>
          <w:b/>
          <w:bCs/>
          <w:szCs w:val="24"/>
        </w:rPr>
        <w:t>6.1 研究内容</w:t>
      </w:r>
    </w:p>
    <w:p>
      <w:pPr>
        <w:pStyle w:val="17"/>
        <w:numPr>
          <w:ilvl w:val="0"/>
          <w:numId w:val="5"/>
        </w:numPr>
        <w:ind w:left="0" w:firstLine="480"/>
        <w:rPr>
          <w:szCs w:val="24"/>
        </w:rPr>
      </w:pPr>
      <w:r>
        <w:rPr>
          <w:szCs w:val="24"/>
        </w:rPr>
        <w:t>国内外相关技术研究现状、发展趋势</w:t>
      </w:r>
    </w:p>
    <w:p>
      <w:pPr>
        <w:pStyle w:val="17"/>
        <w:numPr>
          <w:ilvl w:val="0"/>
          <w:numId w:val="5"/>
        </w:numPr>
        <w:ind w:left="0" w:firstLine="480"/>
        <w:rPr>
          <w:szCs w:val="24"/>
        </w:rPr>
      </w:pPr>
      <w:r>
        <w:rPr>
          <w:szCs w:val="24"/>
        </w:rPr>
        <w:t>招标项目需解决的关键技术问题</w:t>
      </w:r>
    </w:p>
    <w:p>
      <w:pPr>
        <w:ind w:firstLine="482"/>
        <w:rPr>
          <w:rFonts w:ascii="Times New Roman" w:hAnsi="Times New Roman" w:cs="Times New Roman"/>
          <w:b/>
          <w:bCs/>
          <w:szCs w:val="24"/>
        </w:rPr>
      </w:pPr>
      <w:r>
        <w:rPr>
          <w:rFonts w:ascii="Times New Roman" w:hAnsi="Times New Roman" w:cs="Times New Roman"/>
          <w:b/>
          <w:bCs/>
          <w:szCs w:val="24"/>
        </w:rPr>
        <w:t>6.2 研究思路与技术路线</w:t>
      </w:r>
    </w:p>
    <w:p>
      <w:pPr>
        <w:pStyle w:val="17"/>
        <w:numPr>
          <w:ilvl w:val="0"/>
          <w:numId w:val="6"/>
        </w:numPr>
        <w:ind w:left="0" w:firstLine="480"/>
        <w:rPr>
          <w:szCs w:val="24"/>
        </w:rPr>
      </w:pPr>
      <w:r>
        <w:rPr>
          <w:szCs w:val="24"/>
        </w:rPr>
        <w:t>研究思路</w:t>
      </w:r>
    </w:p>
    <w:p>
      <w:pPr>
        <w:pStyle w:val="17"/>
        <w:numPr>
          <w:ilvl w:val="0"/>
          <w:numId w:val="6"/>
        </w:numPr>
        <w:ind w:left="0" w:firstLine="480"/>
        <w:rPr>
          <w:szCs w:val="24"/>
        </w:rPr>
      </w:pPr>
      <w:r>
        <w:rPr>
          <w:szCs w:val="24"/>
        </w:rPr>
        <w:t>技术路线</w:t>
      </w:r>
    </w:p>
    <w:p>
      <w:pPr>
        <w:ind w:firstLine="480"/>
        <w:rPr>
          <w:rFonts w:ascii="Times New Roman" w:hAnsi="Times New Roman" w:cs="Times New Roman"/>
          <w:szCs w:val="24"/>
        </w:rPr>
      </w:pPr>
      <w:r>
        <w:rPr>
          <w:rFonts w:hint="eastAsia" w:ascii="宋体" w:hAnsi="宋体" w:cs="宋体"/>
          <w:szCs w:val="24"/>
        </w:rPr>
        <w:t>①</w:t>
      </w:r>
      <w:r>
        <w:rPr>
          <w:rFonts w:ascii="Times New Roman" w:hAnsi="Times New Roman" w:cs="Times New Roman"/>
          <w:szCs w:val="24"/>
        </w:rPr>
        <w:t xml:space="preserve"> 研究开发技术路线的选定</w:t>
      </w:r>
    </w:p>
    <w:p>
      <w:pPr>
        <w:ind w:firstLine="480"/>
        <w:rPr>
          <w:rFonts w:ascii="Times New Roman" w:hAnsi="Times New Roman" w:cs="Times New Roman"/>
          <w:szCs w:val="24"/>
        </w:rPr>
      </w:pPr>
      <w:r>
        <w:rPr>
          <w:rFonts w:ascii="Times New Roman" w:hAnsi="Times New Roman" w:cs="Times New Roman"/>
          <w:szCs w:val="24"/>
        </w:rPr>
        <w:t>详细描述项目的技术路线(可加图示)；分析比较不同技术路线在工艺、技术、经济方面等情况，确定最佳技术路线。</w:t>
      </w:r>
    </w:p>
    <w:p>
      <w:pPr>
        <w:ind w:firstLine="480"/>
        <w:rPr>
          <w:rFonts w:ascii="Times New Roman" w:hAnsi="Times New Roman" w:cs="Times New Roman"/>
          <w:szCs w:val="24"/>
        </w:rPr>
      </w:pPr>
      <w:r>
        <w:rPr>
          <w:rFonts w:hint="eastAsia" w:ascii="宋体" w:hAnsi="宋体" w:cs="宋体"/>
          <w:szCs w:val="24"/>
        </w:rPr>
        <w:t>②</w:t>
      </w:r>
      <w:r>
        <w:rPr>
          <w:rFonts w:ascii="Times New Roman" w:hAnsi="Times New Roman" w:cs="Times New Roman"/>
          <w:szCs w:val="24"/>
        </w:rPr>
        <w:t xml:space="preserve"> 研究开发技术方案的制定</w:t>
      </w:r>
    </w:p>
    <w:p>
      <w:pPr>
        <w:ind w:firstLine="480"/>
        <w:rPr>
          <w:rFonts w:ascii="Times New Roman" w:hAnsi="Times New Roman" w:cs="Times New Roman"/>
          <w:szCs w:val="24"/>
        </w:rPr>
      </w:pPr>
      <w:r>
        <w:rPr>
          <w:rFonts w:ascii="Times New Roman" w:hAnsi="Times New Roman" w:cs="Times New Roman"/>
          <w:szCs w:val="24"/>
        </w:rPr>
        <w:t>技术方案是为实现所确定的技术路线而采取的具体技术方法、工艺流程和预计实现的技术参数，包括相关工艺、设备配备方案等。</w:t>
      </w:r>
    </w:p>
    <w:p>
      <w:pPr>
        <w:ind w:firstLine="480"/>
        <w:rPr>
          <w:rFonts w:ascii="Times New Roman" w:hAnsi="Times New Roman" w:cs="Times New Roman"/>
          <w:szCs w:val="24"/>
        </w:rPr>
      </w:pPr>
      <w:r>
        <w:rPr>
          <w:rFonts w:hint="eastAsia" w:ascii="宋体" w:hAnsi="宋体" w:cs="宋体"/>
          <w:szCs w:val="24"/>
        </w:rPr>
        <w:t>③</w:t>
      </w:r>
      <w:r>
        <w:rPr>
          <w:rFonts w:ascii="Times New Roman" w:hAnsi="Times New Roman" w:cs="Times New Roman"/>
          <w:szCs w:val="24"/>
        </w:rPr>
        <w:t xml:space="preserve"> 关键技术的解决途径</w:t>
      </w:r>
    </w:p>
    <w:p>
      <w:pPr>
        <w:ind w:firstLine="480"/>
        <w:rPr>
          <w:rFonts w:ascii="Times New Roman" w:hAnsi="Times New Roman" w:cs="Times New Roman"/>
          <w:szCs w:val="24"/>
        </w:rPr>
      </w:pPr>
      <w:r>
        <w:rPr>
          <w:rFonts w:ascii="Times New Roman" w:hAnsi="Times New Roman" w:cs="Times New Roman"/>
          <w:szCs w:val="24"/>
        </w:rPr>
        <w:t>详细说明在投标项目研究中可能存在的技术关键问题，在示范工程等研究中可能存在的关键(瓶颈)问题和项目研究存在的风险，以及为解决这些关键问题所设计的方案、途径，规避风险的措施。</w:t>
      </w:r>
    </w:p>
    <w:p>
      <w:pPr>
        <w:ind w:firstLine="482"/>
        <w:rPr>
          <w:rFonts w:ascii="Times New Roman" w:hAnsi="Times New Roman" w:cs="Times New Roman"/>
          <w:b/>
          <w:bCs/>
          <w:szCs w:val="24"/>
        </w:rPr>
      </w:pPr>
      <w:r>
        <w:rPr>
          <w:rFonts w:ascii="Times New Roman" w:hAnsi="Times New Roman" w:cs="Times New Roman"/>
          <w:b/>
          <w:bCs/>
          <w:szCs w:val="24"/>
        </w:rPr>
        <w:t>6.3 研究进度目标及指标</w:t>
      </w:r>
    </w:p>
    <w:p>
      <w:pPr>
        <w:ind w:firstLine="480"/>
        <w:rPr>
          <w:rFonts w:ascii="Times New Roman" w:hAnsi="Times New Roman" w:cs="Times New Roman"/>
          <w:szCs w:val="24"/>
        </w:rPr>
      </w:pPr>
      <w:r>
        <w:rPr>
          <w:rFonts w:ascii="Times New Roman" w:hAnsi="Times New Roman" w:cs="Times New Roman"/>
          <w:szCs w:val="24"/>
        </w:rPr>
        <w:t>描述项目各项工作的进展计划，并明确标出完成各项工作预计所需时间及达到的阶段目标及项目结束时所要达到的总目标。</w:t>
      </w:r>
    </w:p>
    <w:p>
      <w:pPr>
        <w:ind w:firstLine="480"/>
        <w:rPr>
          <w:rFonts w:ascii="Times New Roman" w:hAnsi="Times New Roman" w:cs="Times New Roman"/>
          <w:szCs w:val="24"/>
        </w:rPr>
      </w:pPr>
      <w:r>
        <w:rPr>
          <w:rFonts w:ascii="Times New Roman" w:hAnsi="Times New Roman" w:cs="Times New Roman"/>
          <w:szCs w:val="24"/>
        </w:rPr>
        <w:t>指标：与招标方提出的功能要求、主要技术经济指标的响应情况。</w:t>
      </w:r>
    </w:p>
    <w:p>
      <w:pPr>
        <w:spacing w:before="156" w:beforeLines="50" w:line="300" w:lineRule="auto"/>
        <w:ind w:firstLine="480"/>
        <w:jc w:val="center"/>
        <w:rPr>
          <w:rFonts w:ascii="Times New Roman" w:hAnsi="Times New Roman" w:cs="Times New Roman"/>
          <w:szCs w:val="21"/>
        </w:rPr>
      </w:pPr>
      <w:r>
        <w:rPr>
          <w:rFonts w:ascii="Times New Roman" w:hAnsi="Times New Roman" w:cs="Times New Roman"/>
          <w:szCs w:val="21"/>
        </w:rPr>
        <w:t>技术参数响应表</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4"/>
        <w:gridCol w:w="1704"/>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tcPr>
          <w:p>
            <w:pPr>
              <w:ind w:firstLine="0" w:firstLineChars="0"/>
              <w:jc w:val="center"/>
              <w:rPr>
                <w:rFonts w:ascii="Times New Roman" w:hAnsi="Times New Roman" w:cs="Times New Roman"/>
                <w:szCs w:val="21"/>
              </w:rPr>
            </w:pPr>
            <w:r>
              <w:rPr>
                <w:rFonts w:ascii="Times New Roman" w:hAnsi="Times New Roman" w:cs="Times New Roman"/>
                <w:kern w:val="1"/>
                <w:sz w:val="18"/>
                <w:szCs w:val="18"/>
              </w:rPr>
              <w:t>序号</w:t>
            </w:r>
          </w:p>
        </w:tc>
        <w:tc>
          <w:tcPr>
            <w:tcW w:w="1704" w:type="dxa"/>
          </w:tcPr>
          <w:p>
            <w:pPr>
              <w:ind w:firstLine="0" w:firstLineChars="0"/>
              <w:jc w:val="center"/>
              <w:rPr>
                <w:rFonts w:ascii="Times New Roman" w:hAnsi="Times New Roman" w:cs="Times New Roman"/>
                <w:szCs w:val="21"/>
              </w:rPr>
            </w:pPr>
            <w:r>
              <w:rPr>
                <w:rFonts w:ascii="Times New Roman" w:hAnsi="Times New Roman" w:cs="Times New Roman"/>
                <w:kern w:val="1"/>
                <w:sz w:val="18"/>
                <w:szCs w:val="18"/>
              </w:rPr>
              <w:t>交付成果名称</w:t>
            </w:r>
          </w:p>
        </w:tc>
        <w:tc>
          <w:tcPr>
            <w:tcW w:w="1704" w:type="dxa"/>
          </w:tcPr>
          <w:p>
            <w:pPr>
              <w:ind w:firstLine="0" w:firstLineChars="0"/>
              <w:jc w:val="center"/>
              <w:rPr>
                <w:rFonts w:ascii="Times New Roman" w:hAnsi="Times New Roman" w:cs="Times New Roman"/>
                <w:szCs w:val="21"/>
              </w:rPr>
            </w:pPr>
            <w:r>
              <w:rPr>
                <w:rFonts w:ascii="Times New Roman" w:hAnsi="Times New Roman" w:cs="Times New Roman"/>
                <w:kern w:val="1"/>
                <w:sz w:val="18"/>
                <w:szCs w:val="18"/>
              </w:rPr>
              <w:t>招标人要求值</w:t>
            </w:r>
          </w:p>
        </w:tc>
        <w:tc>
          <w:tcPr>
            <w:tcW w:w="1705" w:type="dxa"/>
          </w:tcPr>
          <w:p>
            <w:pPr>
              <w:ind w:firstLine="0" w:firstLineChars="0"/>
              <w:jc w:val="center"/>
              <w:rPr>
                <w:rFonts w:ascii="Times New Roman" w:hAnsi="Times New Roman" w:cs="Times New Roman"/>
                <w:szCs w:val="21"/>
              </w:rPr>
            </w:pPr>
            <w:r>
              <w:rPr>
                <w:rFonts w:ascii="Times New Roman" w:hAnsi="Times New Roman" w:cs="Times New Roman"/>
                <w:kern w:val="1"/>
                <w:sz w:val="18"/>
                <w:szCs w:val="18"/>
              </w:rPr>
              <w:t>投标人保证值</w:t>
            </w:r>
          </w:p>
        </w:tc>
        <w:tc>
          <w:tcPr>
            <w:tcW w:w="1705" w:type="dxa"/>
          </w:tcPr>
          <w:p>
            <w:pPr>
              <w:ind w:firstLine="0" w:firstLineChars="0"/>
              <w:jc w:val="center"/>
              <w:rPr>
                <w:rFonts w:ascii="Times New Roman" w:hAnsi="Times New Roman" w:cs="Times New Roman"/>
                <w:szCs w:val="21"/>
              </w:rPr>
            </w:pPr>
            <w:r>
              <w:rPr>
                <w:rFonts w:ascii="Times New Roman" w:hAnsi="Times New Roman" w:cs="Times New Roman"/>
                <w:kern w:val="1"/>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tcPr>
          <w:p>
            <w:pPr>
              <w:ind w:firstLine="0" w:firstLineChars="0"/>
              <w:jc w:val="center"/>
              <w:rPr>
                <w:rFonts w:ascii="Times New Roman" w:hAnsi="Times New Roman" w:cs="Times New Roman"/>
                <w:szCs w:val="21"/>
              </w:rPr>
            </w:pPr>
          </w:p>
        </w:tc>
        <w:tc>
          <w:tcPr>
            <w:tcW w:w="1704" w:type="dxa"/>
          </w:tcPr>
          <w:p>
            <w:pPr>
              <w:ind w:firstLine="0" w:firstLineChars="0"/>
              <w:jc w:val="center"/>
              <w:rPr>
                <w:rFonts w:ascii="Times New Roman" w:hAnsi="Times New Roman" w:cs="Times New Roman"/>
                <w:szCs w:val="21"/>
              </w:rPr>
            </w:pPr>
          </w:p>
        </w:tc>
        <w:tc>
          <w:tcPr>
            <w:tcW w:w="1704" w:type="dxa"/>
          </w:tcPr>
          <w:p>
            <w:pPr>
              <w:ind w:firstLine="0" w:firstLineChars="0"/>
              <w:jc w:val="center"/>
              <w:rPr>
                <w:rFonts w:ascii="Times New Roman" w:hAnsi="Times New Roman" w:cs="Times New Roman"/>
                <w:szCs w:val="21"/>
              </w:rPr>
            </w:pPr>
          </w:p>
        </w:tc>
        <w:tc>
          <w:tcPr>
            <w:tcW w:w="1705" w:type="dxa"/>
          </w:tcPr>
          <w:p>
            <w:pPr>
              <w:ind w:firstLine="0" w:firstLineChars="0"/>
              <w:jc w:val="center"/>
              <w:rPr>
                <w:rFonts w:ascii="Times New Roman" w:hAnsi="Times New Roman" w:cs="Times New Roman"/>
                <w:szCs w:val="21"/>
              </w:rPr>
            </w:pPr>
          </w:p>
        </w:tc>
        <w:tc>
          <w:tcPr>
            <w:tcW w:w="1705" w:type="dxa"/>
          </w:tcPr>
          <w:p>
            <w:pPr>
              <w:ind w:firstLine="0" w:firstLineChars="0"/>
              <w:jc w:val="center"/>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tcPr>
          <w:p>
            <w:pPr>
              <w:ind w:firstLine="0" w:firstLineChars="0"/>
              <w:jc w:val="center"/>
              <w:rPr>
                <w:rFonts w:ascii="Times New Roman" w:hAnsi="Times New Roman" w:cs="Times New Roman"/>
                <w:szCs w:val="21"/>
              </w:rPr>
            </w:pPr>
          </w:p>
        </w:tc>
        <w:tc>
          <w:tcPr>
            <w:tcW w:w="1704" w:type="dxa"/>
          </w:tcPr>
          <w:p>
            <w:pPr>
              <w:ind w:firstLine="0" w:firstLineChars="0"/>
              <w:jc w:val="center"/>
              <w:rPr>
                <w:rFonts w:ascii="Times New Roman" w:hAnsi="Times New Roman" w:cs="Times New Roman"/>
                <w:szCs w:val="21"/>
              </w:rPr>
            </w:pPr>
          </w:p>
        </w:tc>
        <w:tc>
          <w:tcPr>
            <w:tcW w:w="1704" w:type="dxa"/>
          </w:tcPr>
          <w:p>
            <w:pPr>
              <w:ind w:firstLine="0" w:firstLineChars="0"/>
              <w:jc w:val="center"/>
              <w:rPr>
                <w:rFonts w:ascii="Times New Roman" w:hAnsi="Times New Roman" w:cs="Times New Roman"/>
                <w:szCs w:val="21"/>
              </w:rPr>
            </w:pPr>
          </w:p>
        </w:tc>
        <w:tc>
          <w:tcPr>
            <w:tcW w:w="1705" w:type="dxa"/>
          </w:tcPr>
          <w:p>
            <w:pPr>
              <w:ind w:firstLine="0" w:firstLineChars="0"/>
              <w:jc w:val="center"/>
              <w:rPr>
                <w:rFonts w:ascii="Times New Roman" w:hAnsi="Times New Roman" w:cs="Times New Roman"/>
                <w:szCs w:val="21"/>
              </w:rPr>
            </w:pPr>
          </w:p>
        </w:tc>
        <w:tc>
          <w:tcPr>
            <w:tcW w:w="1705" w:type="dxa"/>
          </w:tcPr>
          <w:p>
            <w:pPr>
              <w:ind w:firstLine="0" w:firstLineChars="0"/>
              <w:jc w:val="center"/>
              <w:rPr>
                <w:rFonts w:ascii="Times New Roman" w:hAnsi="Times New Roman" w:cs="Times New Roman"/>
                <w:szCs w:val="21"/>
              </w:rPr>
            </w:pPr>
          </w:p>
        </w:tc>
      </w:tr>
    </w:tbl>
    <w:p>
      <w:pPr>
        <w:ind w:firstLine="482"/>
        <w:rPr>
          <w:rFonts w:ascii="Times New Roman" w:hAnsi="Times New Roman" w:cs="Times New Roman"/>
          <w:b/>
          <w:bCs/>
          <w:szCs w:val="24"/>
        </w:rPr>
      </w:pPr>
      <w:r>
        <w:rPr>
          <w:rFonts w:ascii="Times New Roman" w:hAnsi="Times New Roman" w:cs="Times New Roman"/>
          <w:b/>
          <w:bCs/>
          <w:szCs w:val="24"/>
        </w:rPr>
        <w:t>6.4 项目实施的组织、管理</w:t>
      </w:r>
    </w:p>
    <w:p>
      <w:pPr>
        <w:ind w:firstLine="480"/>
        <w:rPr>
          <w:rFonts w:ascii="Times New Roman" w:hAnsi="Times New Roman" w:cs="Times New Roman"/>
          <w:szCs w:val="24"/>
        </w:rPr>
      </w:pPr>
      <w:r>
        <w:rPr>
          <w:rFonts w:ascii="Times New Roman" w:hAnsi="Times New Roman" w:cs="Times New Roman"/>
          <w:szCs w:val="24"/>
        </w:rPr>
        <w:t>描述保障项目的顺利实施的组织形式和管理措施。</w:t>
      </w:r>
    </w:p>
    <w:p>
      <w:pPr>
        <w:ind w:firstLine="482"/>
        <w:rPr>
          <w:rFonts w:ascii="Times New Roman" w:hAnsi="Times New Roman" w:cs="Times New Roman"/>
          <w:b/>
          <w:bCs/>
          <w:szCs w:val="24"/>
        </w:rPr>
      </w:pPr>
      <w:r>
        <w:rPr>
          <w:rFonts w:ascii="Times New Roman" w:hAnsi="Times New Roman" w:cs="Times New Roman"/>
          <w:b/>
          <w:bCs/>
          <w:szCs w:val="24"/>
        </w:rPr>
        <w:t>6.5 承担能力说明</w:t>
      </w:r>
    </w:p>
    <w:p>
      <w:pPr>
        <w:pStyle w:val="17"/>
        <w:numPr>
          <w:ilvl w:val="0"/>
          <w:numId w:val="7"/>
        </w:numPr>
        <w:ind w:left="0" w:firstLine="480"/>
        <w:rPr>
          <w:szCs w:val="24"/>
        </w:rPr>
      </w:pPr>
      <w:r>
        <w:rPr>
          <w:szCs w:val="24"/>
        </w:rPr>
        <w:t>单位基本情况</w:t>
      </w:r>
    </w:p>
    <w:p>
      <w:pPr>
        <w:tabs>
          <w:tab w:val="left" w:pos="1145"/>
        </w:tabs>
        <w:ind w:firstLine="480"/>
        <w:rPr>
          <w:rFonts w:ascii="Times New Roman" w:hAnsi="Times New Roman" w:cs="Times New Roman"/>
          <w:szCs w:val="24"/>
        </w:rPr>
      </w:pPr>
      <w:r>
        <w:rPr>
          <w:rFonts w:hint="eastAsia" w:ascii="宋体" w:hAnsi="宋体" w:cs="宋体"/>
          <w:szCs w:val="24"/>
        </w:rPr>
        <w:t>①</w:t>
      </w:r>
      <w:r>
        <w:rPr>
          <w:rFonts w:ascii="Times New Roman" w:hAnsi="Times New Roman" w:cs="Times New Roman"/>
          <w:szCs w:val="24"/>
        </w:rPr>
        <w:t>单位基本情况介绍情况(包括资质、资信情况)</w:t>
      </w:r>
    </w:p>
    <w:p>
      <w:pPr>
        <w:tabs>
          <w:tab w:val="left" w:pos="1145"/>
        </w:tabs>
        <w:ind w:firstLine="480"/>
        <w:rPr>
          <w:rFonts w:ascii="Times New Roman" w:hAnsi="Times New Roman" w:cs="Times New Roman"/>
          <w:szCs w:val="24"/>
        </w:rPr>
      </w:pPr>
      <w:r>
        <w:rPr>
          <w:rFonts w:hint="eastAsia" w:ascii="宋体" w:hAnsi="宋体" w:cs="宋体"/>
          <w:szCs w:val="24"/>
        </w:rPr>
        <w:t>②</w:t>
      </w:r>
      <w:r>
        <w:rPr>
          <w:rFonts w:ascii="Times New Roman" w:hAnsi="Times New Roman" w:cs="Times New Roman"/>
          <w:szCs w:val="24"/>
        </w:rPr>
        <w:t>单位的财务状况(限企业提供)</w:t>
      </w:r>
    </w:p>
    <w:p>
      <w:pPr>
        <w:tabs>
          <w:tab w:val="left" w:pos="1145"/>
        </w:tabs>
        <w:ind w:firstLine="480"/>
        <w:rPr>
          <w:rFonts w:ascii="Times New Roman" w:hAnsi="Times New Roman" w:cs="Times New Roman"/>
          <w:szCs w:val="24"/>
        </w:rPr>
      </w:pPr>
      <w:r>
        <w:rPr>
          <w:rFonts w:hint="eastAsia" w:ascii="宋体" w:hAnsi="宋体" w:cs="宋体"/>
          <w:szCs w:val="24"/>
        </w:rPr>
        <w:t>③</w:t>
      </w:r>
      <w:r>
        <w:rPr>
          <w:rFonts w:ascii="Times New Roman" w:hAnsi="Times New Roman" w:cs="Times New Roman"/>
          <w:szCs w:val="24"/>
        </w:rPr>
        <w:t>承担国家、省、市科技计划项目及其它项目的完成情况</w:t>
      </w:r>
    </w:p>
    <w:p>
      <w:pPr>
        <w:pStyle w:val="17"/>
        <w:numPr>
          <w:ilvl w:val="0"/>
          <w:numId w:val="7"/>
        </w:numPr>
        <w:ind w:left="0" w:firstLine="480"/>
        <w:rPr>
          <w:szCs w:val="24"/>
        </w:rPr>
      </w:pPr>
      <w:r>
        <w:rPr>
          <w:szCs w:val="24"/>
        </w:rPr>
        <w:t>项目承担能力说明</w:t>
      </w:r>
    </w:p>
    <w:p>
      <w:pPr>
        <w:tabs>
          <w:tab w:val="left" w:pos="995"/>
        </w:tabs>
        <w:ind w:firstLine="480"/>
        <w:rPr>
          <w:rFonts w:ascii="Times New Roman" w:hAnsi="Times New Roman" w:cs="Times New Roman"/>
          <w:szCs w:val="24"/>
        </w:rPr>
      </w:pPr>
      <w:r>
        <w:rPr>
          <w:rFonts w:hint="eastAsia" w:ascii="宋体" w:hAnsi="宋体" w:cs="宋体"/>
          <w:szCs w:val="24"/>
        </w:rPr>
        <w:t>①</w:t>
      </w:r>
      <w:r>
        <w:rPr>
          <w:rFonts w:ascii="Times New Roman" w:hAnsi="Times New Roman" w:cs="Times New Roman"/>
          <w:szCs w:val="24"/>
        </w:rPr>
        <w:t>从事与投标项目的背景基础</w:t>
      </w:r>
    </w:p>
    <w:p>
      <w:pPr>
        <w:tabs>
          <w:tab w:val="left" w:pos="995"/>
        </w:tabs>
        <w:ind w:firstLine="480"/>
        <w:rPr>
          <w:rFonts w:ascii="Times New Roman" w:hAnsi="Times New Roman" w:cs="Times New Roman"/>
          <w:szCs w:val="24"/>
        </w:rPr>
      </w:pPr>
      <w:r>
        <w:rPr>
          <w:rFonts w:ascii="Times New Roman" w:hAnsi="Times New Roman" w:cs="Times New Roman"/>
          <w:szCs w:val="24"/>
        </w:rPr>
        <w:t>投标方有能力履行合同设备维护保养、修理及其他服务义务的文件。</w:t>
      </w:r>
    </w:p>
    <w:p>
      <w:pPr>
        <w:tabs>
          <w:tab w:val="left" w:pos="995"/>
        </w:tabs>
        <w:ind w:firstLine="480"/>
        <w:rPr>
          <w:rFonts w:ascii="Times New Roman" w:hAnsi="Times New Roman" w:cs="Times New Roman"/>
          <w:szCs w:val="24"/>
        </w:rPr>
      </w:pPr>
      <w:r>
        <w:rPr>
          <w:rFonts w:ascii="Times New Roman" w:hAnsi="Times New Roman" w:cs="Times New Roman"/>
          <w:szCs w:val="24"/>
        </w:rPr>
        <w:t>投标方在与本项目研究方面开展的相关前期研究情况及研究成果介绍及证明。</w:t>
      </w:r>
    </w:p>
    <w:p>
      <w:pPr>
        <w:ind w:firstLine="480"/>
        <w:rPr>
          <w:rFonts w:ascii="Times New Roman" w:hAnsi="Times New Roman" w:cs="Times New Roman"/>
          <w:szCs w:val="24"/>
        </w:rPr>
      </w:pPr>
      <w:r>
        <w:rPr>
          <w:rFonts w:hint="eastAsia" w:ascii="宋体" w:hAnsi="宋体" w:cs="宋体"/>
          <w:szCs w:val="24"/>
        </w:rPr>
        <w:t>②</w:t>
      </w:r>
      <w:r>
        <w:rPr>
          <w:rFonts w:ascii="Times New Roman" w:hAnsi="Times New Roman" w:cs="Times New Roman"/>
          <w:szCs w:val="24"/>
        </w:rPr>
        <w:t>项目开发人员总数、专业、职称、年龄构成，与本项目相关的技术储备等。</w:t>
      </w:r>
    </w:p>
    <w:p>
      <w:pPr>
        <w:ind w:firstLine="480"/>
        <w:rPr>
          <w:rFonts w:ascii="Times New Roman" w:hAnsi="Times New Roman" w:cs="Times New Roman"/>
          <w:szCs w:val="24"/>
        </w:rPr>
      </w:pPr>
      <w:r>
        <w:rPr>
          <w:rFonts w:hint="eastAsia" w:ascii="宋体" w:hAnsi="宋体" w:cs="宋体"/>
          <w:szCs w:val="24"/>
        </w:rPr>
        <w:t>③</w:t>
      </w:r>
      <w:r>
        <w:rPr>
          <w:rFonts w:ascii="Times New Roman" w:hAnsi="Times New Roman" w:cs="Times New Roman"/>
          <w:szCs w:val="24"/>
        </w:rPr>
        <w:t>研究开发场地、现有科研设施与仪器和相关配套设备等情况。</w:t>
      </w:r>
    </w:p>
    <w:p>
      <w:pPr>
        <w:pStyle w:val="17"/>
        <w:numPr>
          <w:ilvl w:val="0"/>
          <w:numId w:val="7"/>
        </w:numPr>
        <w:ind w:left="0" w:firstLine="480"/>
        <w:rPr>
          <w:szCs w:val="24"/>
        </w:rPr>
      </w:pPr>
      <w:r>
        <w:rPr>
          <w:szCs w:val="24"/>
        </w:rPr>
        <w:t>联合投标单位基本情况及配套条件、责任与义务</w:t>
      </w:r>
    </w:p>
    <w:p>
      <w:pPr>
        <w:pStyle w:val="17"/>
        <w:numPr>
          <w:ilvl w:val="0"/>
          <w:numId w:val="7"/>
        </w:numPr>
        <w:ind w:left="0" w:firstLine="480"/>
        <w:rPr>
          <w:szCs w:val="24"/>
        </w:rPr>
      </w:pPr>
      <w:r>
        <w:rPr>
          <w:szCs w:val="24"/>
        </w:rPr>
        <w:t>其它需要说明的情况</w:t>
      </w:r>
    </w:p>
    <w:p>
      <w:pPr>
        <w:pStyle w:val="17"/>
        <w:ind w:firstLine="482"/>
        <w:rPr>
          <w:b/>
          <w:bCs/>
          <w:szCs w:val="24"/>
        </w:rPr>
      </w:pPr>
      <w:r>
        <w:rPr>
          <w:b/>
          <w:bCs/>
          <w:szCs w:val="24"/>
        </w:rPr>
        <w:t>6.6 成果产生的数量、形式</w:t>
      </w:r>
    </w:p>
    <w:p>
      <w:pPr>
        <w:pStyle w:val="17"/>
        <w:numPr>
          <w:ilvl w:val="0"/>
          <w:numId w:val="8"/>
        </w:numPr>
        <w:ind w:left="0" w:firstLine="480"/>
        <w:rPr>
          <w:szCs w:val="24"/>
        </w:rPr>
      </w:pPr>
      <w:r>
        <w:rPr>
          <w:szCs w:val="24"/>
        </w:rPr>
        <w:t>成果获得的可能性</w:t>
      </w:r>
    </w:p>
    <w:p>
      <w:pPr>
        <w:pStyle w:val="17"/>
        <w:numPr>
          <w:ilvl w:val="0"/>
          <w:numId w:val="8"/>
        </w:numPr>
        <w:ind w:left="0" w:firstLine="480"/>
        <w:rPr>
          <w:szCs w:val="24"/>
        </w:rPr>
      </w:pPr>
      <w:r>
        <w:rPr>
          <w:szCs w:val="24"/>
        </w:rPr>
        <w:t>成果的形式(如专利、软件著作权、论文等)和数量</w:t>
      </w:r>
    </w:p>
    <w:p>
      <w:pPr>
        <w:pStyle w:val="17"/>
        <w:numPr>
          <w:ilvl w:val="0"/>
          <w:numId w:val="8"/>
        </w:numPr>
        <w:ind w:left="0" w:firstLine="480"/>
        <w:rPr>
          <w:szCs w:val="24"/>
        </w:rPr>
      </w:pPr>
      <w:r>
        <w:rPr>
          <w:szCs w:val="24"/>
        </w:rPr>
        <w:t>职务技术成果权益承诺、成果向社会转化方式</w:t>
      </w:r>
    </w:p>
    <w:p>
      <w:pPr>
        <w:ind w:firstLine="482"/>
        <w:rPr>
          <w:rFonts w:ascii="Times New Roman" w:hAnsi="Times New Roman" w:cs="Times New Roman"/>
          <w:b/>
          <w:bCs/>
          <w:szCs w:val="24"/>
        </w:rPr>
      </w:pPr>
      <w:r>
        <w:rPr>
          <w:rFonts w:ascii="Times New Roman" w:hAnsi="Times New Roman" w:cs="Times New Roman"/>
          <w:b/>
          <w:bCs/>
          <w:szCs w:val="24"/>
        </w:rPr>
        <w:t>6 .7技术方案中涉及技术秘密的申明</w:t>
      </w:r>
    </w:p>
    <w:p>
      <w:pPr>
        <w:ind w:firstLine="482"/>
        <w:rPr>
          <w:rFonts w:ascii="Times New Roman" w:hAnsi="Times New Roman" w:cs="Times New Roman"/>
          <w:b/>
          <w:bCs/>
          <w:szCs w:val="24"/>
        </w:rPr>
      </w:pPr>
      <w:r>
        <w:rPr>
          <w:rFonts w:ascii="Times New Roman" w:hAnsi="Times New Roman" w:cs="Times New Roman"/>
          <w:b/>
          <w:bCs/>
          <w:szCs w:val="24"/>
        </w:rPr>
        <w:t>6.8 售后服务承诺</w:t>
      </w:r>
    </w:p>
    <w:p>
      <w:pPr>
        <w:ind w:firstLine="480"/>
        <w:rPr>
          <w:rFonts w:ascii="Times New Roman" w:hAnsi="Times New Roman" w:cs="Times New Roman"/>
        </w:rPr>
      </w:pPr>
      <w:r>
        <w:rPr>
          <w:rFonts w:ascii="Times New Roman" w:hAnsi="Times New Roman" w:cs="Times New Roman"/>
        </w:rPr>
        <w:t>1）投标方维护服务管理体系，须在招标方当地有专业维护人员，能按要求及时响应。</w:t>
      </w:r>
    </w:p>
    <w:p>
      <w:pPr>
        <w:ind w:firstLine="480"/>
        <w:rPr>
          <w:rFonts w:ascii="Times New Roman" w:hAnsi="Times New Roman" w:cs="Times New Roman"/>
        </w:rPr>
      </w:pPr>
      <w:r>
        <w:rPr>
          <w:rFonts w:ascii="Times New Roman" w:hAnsi="Times New Roman" w:cs="Times New Roman"/>
        </w:rPr>
        <w:t>2）提出保修期后每年的收费维修、维护内容，费用和服务方式、范围（产品、技术、模块、部件），供招标方选择。</w:t>
      </w:r>
    </w:p>
    <w:p>
      <w:pPr>
        <w:ind w:firstLine="480"/>
        <w:rPr>
          <w:rFonts w:ascii="Times New Roman" w:hAnsi="Times New Roman" w:cs="Times New Roman"/>
          <w:szCs w:val="24"/>
        </w:rPr>
      </w:pPr>
      <w:r>
        <w:rPr>
          <w:rFonts w:ascii="Times New Roman" w:hAnsi="Times New Roman" w:cs="Times New Roman"/>
          <w:szCs w:val="24"/>
        </w:rPr>
        <w:t>3）按照本技术规范第十条售后服务要求的响应情况进行说明。</w:t>
      </w:r>
    </w:p>
    <w:p>
      <w:pPr>
        <w:pStyle w:val="4"/>
        <w:numPr>
          <w:ilvl w:val="0"/>
          <w:numId w:val="0"/>
        </w:numPr>
        <w:spacing w:before="312" w:beforeLines="100" w:after="0" w:line="360" w:lineRule="auto"/>
        <w:rPr>
          <w:sz w:val="32"/>
          <w:szCs w:val="32"/>
        </w:rPr>
      </w:pPr>
      <w:bookmarkStart w:id="54" w:name="_Toc25365"/>
      <w:r>
        <w:rPr>
          <w:sz w:val="32"/>
          <w:szCs w:val="32"/>
        </w:rPr>
        <w:t>七、技术资料和文件</w:t>
      </w:r>
      <w:bookmarkEnd w:id="54"/>
      <w:r>
        <w:rPr>
          <w:sz w:val="32"/>
          <w:szCs w:val="32"/>
        </w:rPr>
        <w:t xml:space="preserve"> </w:t>
      </w:r>
    </w:p>
    <w:p>
      <w:pPr>
        <w:pStyle w:val="18"/>
        <w:ind w:firstLineChars="0"/>
        <w:rPr>
          <w:szCs w:val="24"/>
        </w:rPr>
      </w:pPr>
      <w:r>
        <w:rPr>
          <w:szCs w:val="21"/>
        </w:rPr>
        <w:t>7.1</w:t>
      </w:r>
      <w:r>
        <w:rPr>
          <w:szCs w:val="21"/>
          <w:lang w:val="zh-CN"/>
        </w:rPr>
        <w:t>在合同签字后</w:t>
      </w:r>
      <w:r>
        <w:rPr>
          <w:szCs w:val="21"/>
          <w:u w:val="single"/>
        </w:rPr>
        <w:t xml:space="preserve"> 15日  </w:t>
      </w:r>
      <w:r>
        <w:rPr>
          <w:szCs w:val="21"/>
          <w:lang w:val="zh-CN"/>
        </w:rPr>
        <w:t>内，</w:t>
      </w:r>
      <w:r>
        <w:rPr>
          <w:szCs w:val="24"/>
          <w:lang w:val="zh-CN"/>
        </w:rPr>
        <w:t>中标方</w:t>
      </w:r>
      <w:r>
        <w:rPr>
          <w:szCs w:val="21"/>
          <w:lang w:val="zh-CN"/>
        </w:rPr>
        <w:t>应提供详细的技术研究方案和工程进度表</w:t>
      </w:r>
      <w:r>
        <w:rPr>
          <w:szCs w:val="24"/>
        </w:rPr>
        <w:t>。</w:t>
      </w:r>
    </w:p>
    <w:p>
      <w:pPr>
        <w:pStyle w:val="18"/>
        <w:ind w:firstLineChars="0"/>
        <w:rPr>
          <w:szCs w:val="24"/>
        </w:rPr>
      </w:pPr>
      <w:r>
        <w:rPr>
          <w:szCs w:val="21"/>
        </w:rPr>
        <w:t xml:space="preserve">7.2 </w:t>
      </w:r>
      <w:r>
        <w:rPr>
          <w:szCs w:val="21"/>
          <w:lang w:val="zh-CN"/>
        </w:rPr>
        <w:t>项目研究过程中，中标方应提供相关理论研究报告、设计方案、试验数据、图谱、研究成果、研究报告、工作总结报告等</w:t>
      </w:r>
      <w:r>
        <w:rPr>
          <w:szCs w:val="24"/>
        </w:rPr>
        <w:t>。</w:t>
      </w:r>
    </w:p>
    <w:p>
      <w:pPr>
        <w:pStyle w:val="4"/>
        <w:numPr>
          <w:ilvl w:val="0"/>
          <w:numId w:val="0"/>
        </w:numPr>
        <w:spacing w:before="312" w:beforeLines="100" w:after="0" w:line="360" w:lineRule="auto"/>
        <w:rPr>
          <w:sz w:val="32"/>
          <w:szCs w:val="32"/>
        </w:rPr>
      </w:pPr>
      <w:bookmarkStart w:id="55" w:name="_Toc27378"/>
      <w:r>
        <w:rPr>
          <w:sz w:val="32"/>
          <w:szCs w:val="32"/>
        </w:rPr>
        <w:t>八、项目联络</w:t>
      </w:r>
      <w:bookmarkEnd w:id="55"/>
    </w:p>
    <w:p>
      <w:pPr>
        <w:ind w:firstLine="480"/>
        <w:rPr>
          <w:rFonts w:ascii="Times New Roman" w:hAnsi="Times New Roman" w:cs="Times New Roman"/>
        </w:rPr>
      </w:pPr>
      <w:r>
        <w:rPr>
          <w:rFonts w:ascii="Times New Roman" w:hAnsi="Times New Roman" w:cs="Times New Roman"/>
        </w:rPr>
        <w:t>8.1 为审查和确认本项目的工作方案，便于合同按期执行，在项目开发、建设过程中需召开多次联络会。根据项目实际需要，招标方与投标方均可向对方提出要求召开项目联络会，时间和地点由双方商量决定。</w:t>
      </w:r>
    </w:p>
    <w:p>
      <w:pPr>
        <w:ind w:firstLine="480"/>
        <w:rPr>
          <w:rFonts w:ascii="Times New Roman" w:hAnsi="Times New Roman" w:cs="Times New Roman"/>
        </w:rPr>
      </w:pPr>
      <w:r>
        <w:rPr>
          <w:rFonts w:ascii="Times New Roman" w:hAnsi="Times New Roman" w:cs="Times New Roman"/>
        </w:rPr>
        <w:t>8.2 联络会的内容如下：</w:t>
      </w:r>
    </w:p>
    <w:p>
      <w:pPr>
        <w:numPr>
          <w:ilvl w:val="0"/>
          <w:numId w:val="9"/>
        </w:numPr>
        <w:tabs>
          <w:tab w:val="left" w:pos="900"/>
          <w:tab w:val="clear" w:pos="420"/>
        </w:tabs>
        <w:ind w:left="480" w:leftChars="200" w:firstLine="480"/>
        <w:rPr>
          <w:rFonts w:ascii="Times New Roman" w:hAnsi="Times New Roman" w:cs="Times New Roman"/>
        </w:rPr>
      </w:pPr>
      <w:r>
        <w:rPr>
          <w:rFonts w:ascii="Times New Roman" w:hAnsi="Times New Roman" w:cs="Times New Roman"/>
        </w:rPr>
        <w:t>确认服务、工作产品的性能是否满足规范书要求。</w:t>
      </w:r>
    </w:p>
    <w:p>
      <w:pPr>
        <w:numPr>
          <w:ilvl w:val="0"/>
          <w:numId w:val="9"/>
        </w:numPr>
        <w:tabs>
          <w:tab w:val="left" w:pos="900"/>
          <w:tab w:val="clear" w:pos="420"/>
        </w:tabs>
        <w:ind w:left="480" w:leftChars="200" w:firstLine="480"/>
        <w:rPr>
          <w:rFonts w:ascii="Times New Roman" w:hAnsi="Times New Roman" w:cs="Times New Roman"/>
        </w:rPr>
      </w:pPr>
      <w:r>
        <w:rPr>
          <w:rFonts w:ascii="Times New Roman" w:hAnsi="Times New Roman" w:cs="Times New Roman"/>
        </w:rPr>
        <w:t>确认服务、工作产品的实施方案。</w:t>
      </w:r>
    </w:p>
    <w:p>
      <w:pPr>
        <w:numPr>
          <w:ilvl w:val="0"/>
          <w:numId w:val="9"/>
        </w:numPr>
        <w:tabs>
          <w:tab w:val="left" w:pos="900"/>
          <w:tab w:val="clear" w:pos="420"/>
        </w:tabs>
        <w:ind w:left="480" w:leftChars="200" w:firstLine="480"/>
        <w:rPr>
          <w:rFonts w:ascii="Times New Roman" w:hAnsi="Times New Roman" w:cs="Times New Roman"/>
        </w:rPr>
      </w:pPr>
      <w:r>
        <w:rPr>
          <w:rFonts w:ascii="Times New Roman" w:hAnsi="Times New Roman" w:cs="Times New Roman"/>
        </w:rPr>
        <w:t>检查、确认投标方提供的技术文件和图纸。</w:t>
      </w:r>
    </w:p>
    <w:p>
      <w:pPr>
        <w:numPr>
          <w:ilvl w:val="0"/>
          <w:numId w:val="9"/>
        </w:numPr>
        <w:tabs>
          <w:tab w:val="left" w:pos="900"/>
          <w:tab w:val="clear" w:pos="420"/>
        </w:tabs>
        <w:ind w:left="480" w:leftChars="200" w:firstLine="480"/>
        <w:rPr>
          <w:rFonts w:ascii="Times New Roman" w:hAnsi="Times New Roman" w:cs="Times New Roman"/>
        </w:rPr>
      </w:pPr>
      <w:r>
        <w:rPr>
          <w:rFonts w:ascii="Times New Roman" w:hAnsi="Times New Roman" w:cs="Times New Roman"/>
        </w:rPr>
        <w:t>讨论、确定培训计划（包括课程安排、教材、进度）。</w:t>
      </w:r>
    </w:p>
    <w:p>
      <w:pPr>
        <w:numPr>
          <w:ilvl w:val="0"/>
          <w:numId w:val="9"/>
        </w:numPr>
        <w:tabs>
          <w:tab w:val="left" w:pos="900"/>
          <w:tab w:val="clear" w:pos="420"/>
        </w:tabs>
        <w:ind w:left="480" w:leftChars="200" w:firstLine="480"/>
        <w:rPr>
          <w:rFonts w:ascii="Times New Roman" w:hAnsi="Times New Roman" w:cs="Times New Roman"/>
        </w:rPr>
      </w:pPr>
      <w:r>
        <w:rPr>
          <w:rFonts w:ascii="Times New Roman" w:hAnsi="Times New Roman" w:cs="Times New Roman"/>
        </w:rPr>
        <w:t>其他有关事项。</w:t>
      </w:r>
    </w:p>
    <w:p>
      <w:pPr>
        <w:pStyle w:val="4"/>
        <w:numPr>
          <w:ilvl w:val="0"/>
          <w:numId w:val="0"/>
        </w:numPr>
        <w:spacing w:before="312" w:beforeLines="100" w:after="0" w:line="360" w:lineRule="auto"/>
        <w:rPr>
          <w:sz w:val="32"/>
          <w:szCs w:val="32"/>
        </w:rPr>
      </w:pPr>
      <w:bookmarkStart w:id="56" w:name="_Toc6177"/>
      <w:r>
        <w:rPr>
          <w:sz w:val="32"/>
          <w:szCs w:val="32"/>
        </w:rPr>
        <w:t>九、评审与验收</w:t>
      </w:r>
      <w:bookmarkEnd w:id="56"/>
    </w:p>
    <w:p>
      <w:pPr>
        <w:ind w:firstLine="480"/>
        <w:rPr>
          <w:rFonts w:ascii="Times New Roman" w:hAnsi="Times New Roman" w:cs="Times New Roman"/>
        </w:rPr>
      </w:pPr>
      <w:r>
        <w:rPr>
          <w:rFonts w:ascii="Segoe UI Symbol" w:hAnsi="Segoe UI Symbol" w:cs="Segoe UI Symbol"/>
        </w:rPr>
        <w:t>★</w:t>
      </w:r>
      <w:r>
        <w:rPr>
          <w:rFonts w:ascii="Times New Roman" w:hAnsi="Times New Roman" w:cs="Times New Roman"/>
          <w:kern w:val="21"/>
        </w:rPr>
        <w:t>9.1</w:t>
      </w:r>
      <w:r>
        <w:rPr>
          <w:rFonts w:ascii="Times New Roman" w:hAnsi="Times New Roman" w:cs="Times New Roman"/>
        </w:rPr>
        <w:t>投标方应负责在项目验收前完成本规范列技术资料（数据）、文件，将项目的全部有关技术文件、资料、测试、验收报告等文档汇集成册交付给招标方。招标方可根据合同及招标书和招标方的有关规定进行修改和补充, 经双方确认后形成验收文件。</w:t>
      </w:r>
    </w:p>
    <w:p>
      <w:pPr>
        <w:topLinePunct/>
        <w:ind w:firstLine="480"/>
        <w:rPr>
          <w:rFonts w:ascii="Times New Roman" w:hAnsi="Times New Roman" w:cs="Times New Roman"/>
          <w:kern w:val="21"/>
        </w:rPr>
      </w:pPr>
      <w:r>
        <w:rPr>
          <w:rFonts w:ascii="Times New Roman" w:hAnsi="Times New Roman" w:cs="Times New Roman"/>
          <w:kern w:val="21"/>
        </w:rPr>
        <w:t>9.2验收方式</w:t>
      </w:r>
    </w:p>
    <w:p>
      <w:pPr>
        <w:topLinePunct/>
        <w:ind w:firstLine="480"/>
        <w:rPr>
          <w:rFonts w:ascii="Times New Roman" w:hAnsi="Times New Roman" w:cs="Times New Roman"/>
        </w:rPr>
      </w:pPr>
      <w:r>
        <w:rPr>
          <w:rFonts w:ascii="Times New Roman" w:hAnsi="Times New Roman" w:cs="Times New Roman"/>
        </w:rPr>
        <w:t>(1) 项目成果经招标方和中标方共同确认满足验收条件后，由招标方组织专家对所有项目材料和相关成果进行评审，开展合同验收。</w:t>
      </w:r>
    </w:p>
    <w:p>
      <w:pPr>
        <w:topLinePunct/>
        <w:ind w:firstLine="480"/>
        <w:rPr>
          <w:rFonts w:ascii="Times New Roman" w:hAnsi="Times New Roman" w:cs="Times New Roman"/>
        </w:rPr>
      </w:pPr>
      <w:r>
        <w:rPr>
          <w:rFonts w:ascii="Times New Roman" w:hAnsi="Times New Roman" w:cs="Times New Roman"/>
        </w:rPr>
        <w:t>(2) 项目验收按照招标方制定的验收方案具体实施，方案将包括验收内容、验收标准、验收人员等；项目验收后，验收人员将根据实际情况提出验收报告。如若有需要整改的内容，中标方在项目验收后应主动配合招标方严格按照整改意见进行整改完善。</w:t>
      </w:r>
    </w:p>
    <w:p>
      <w:pPr>
        <w:ind w:firstLine="480"/>
        <w:rPr>
          <w:rFonts w:ascii="Times New Roman" w:hAnsi="Times New Roman" w:cs="Times New Roman"/>
        </w:rPr>
      </w:pPr>
      <w:r>
        <w:rPr>
          <w:rFonts w:ascii="Times New Roman" w:hAnsi="Times New Roman" w:cs="Times New Roman"/>
        </w:rPr>
        <w:t>9.3如果在签署最终验收文件后</w:t>
      </w:r>
      <w:r>
        <w:rPr>
          <w:rFonts w:ascii="Times New Roman" w:hAnsi="Times New Roman" w:cs="Times New Roman"/>
          <w:u w:val="single"/>
        </w:rPr>
        <w:t>12周</w:t>
      </w:r>
      <w:r>
        <w:rPr>
          <w:rFonts w:ascii="Times New Roman" w:hAnsi="Times New Roman" w:cs="Times New Roman"/>
        </w:rPr>
        <w:t>内，由于投标方的原因，该项目有一条或多条达不到规定的技术要求时，投标方应在附加的</w:t>
      </w:r>
      <w:r>
        <w:rPr>
          <w:rFonts w:ascii="Times New Roman" w:hAnsi="Times New Roman" w:cs="Times New Roman"/>
          <w:u w:val="single"/>
        </w:rPr>
        <w:t>4周</w:t>
      </w:r>
      <w:r>
        <w:rPr>
          <w:rFonts w:ascii="Times New Roman" w:hAnsi="Times New Roman" w:cs="Times New Roman"/>
        </w:rPr>
        <w:t>内采取有效措施，使该项目完全达到规定的技术要求，在此期间的一切费用由投标方承担，如在此期间内仍达不到规定的技术性能要求时，将按合同中相应商务条款执行。</w:t>
      </w:r>
    </w:p>
    <w:p>
      <w:pPr>
        <w:pStyle w:val="4"/>
        <w:numPr>
          <w:ilvl w:val="0"/>
          <w:numId w:val="0"/>
        </w:numPr>
        <w:spacing w:before="312" w:beforeLines="100" w:after="0" w:line="360" w:lineRule="auto"/>
        <w:rPr>
          <w:sz w:val="32"/>
          <w:szCs w:val="32"/>
        </w:rPr>
      </w:pPr>
      <w:bookmarkStart w:id="57" w:name="_Toc21104"/>
      <w:r>
        <w:rPr>
          <w:sz w:val="32"/>
          <w:szCs w:val="32"/>
        </w:rPr>
        <w:t>十、售后服务</w:t>
      </w:r>
      <w:bookmarkEnd w:id="57"/>
      <w:r>
        <w:rPr>
          <w:sz w:val="32"/>
          <w:szCs w:val="32"/>
        </w:rPr>
        <w:t xml:space="preserve"> </w:t>
      </w:r>
    </w:p>
    <w:p>
      <w:pPr>
        <w:ind w:firstLine="480"/>
        <w:rPr>
          <w:rFonts w:ascii="Times New Roman" w:hAnsi="Times New Roman" w:cs="Times New Roman"/>
        </w:rPr>
      </w:pPr>
      <w:r>
        <w:rPr>
          <w:rFonts w:ascii="Times New Roman" w:hAnsi="Times New Roman" w:cs="Times New Roman"/>
        </w:rPr>
        <w:t>10.1 所有工作产品均须由投标方提供壹年以上的免费维护、保修服务，自项目验收签字之日起计算。</w:t>
      </w:r>
    </w:p>
    <w:p>
      <w:pPr>
        <w:ind w:firstLine="480"/>
        <w:rPr>
          <w:rFonts w:ascii="Times New Roman" w:hAnsi="Times New Roman" w:cs="Times New Roman"/>
        </w:rPr>
      </w:pPr>
      <w:r>
        <w:rPr>
          <w:rFonts w:ascii="Times New Roman" w:hAnsi="Times New Roman" w:cs="Times New Roman"/>
        </w:rPr>
        <w:t>10.2 投标方必须提出保修期内的维护、保修内容和范围（产品、技术、模块、部件）。</w:t>
      </w:r>
    </w:p>
    <w:p>
      <w:pPr>
        <w:ind w:firstLine="480"/>
        <w:rPr>
          <w:rFonts w:ascii="Times New Roman" w:hAnsi="Times New Roman" w:cs="Times New Roman"/>
        </w:rPr>
      </w:pPr>
      <w:r>
        <w:rPr>
          <w:rFonts w:ascii="Times New Roman" w:hAnsi="Times New Roman" w:cs="Times New Roman"/>
        </w:rPr>
        <w:t>10.3 服务响应时间：</w:t>
      </w:r>
      <w:r>
        <w:rPr>
          <w:rFonts w:ascii="Times New Roman" w:hAnsi="Times New Roman" w:cs="Times New Roman"/>
          <w:szCs w:val="21"/>
          <w:lang w:val="zh-CN"/>
        </w:rPr>
        <w:t>中标方对售后服务的需求必须在</w:t>
      </w:r>
      <w:r>
        <w:rPr>
          <w:rFonts w:ascii="Times New Roman" w:hAnsi="Times New Roman" w:cs="Times New Roman"/>
          <w:szCs w:val="21"/>
          <w:u w:val="single"/>
          <w:lang w:val="zh-CN"/>
        </w:rPr>
        <w:t>24</w:t>
      </w:r>
      <w:r>
        <w:rPr>
          <w:rFonts w:ascii="Times New Roman" w:hAnsi="Times New Roman" w:cs="Times New Roman"/>
          <w:szCs w:val="21"/>
          <w:lang w:val="zh-CN"/>
        </w:rPr>
        <w:t>小时答复，在</w:t>
      </w:r>
      <w:r>
        <w:rPr>
          <w:rFonts w:ascii="Times New Roman" w:hAnsi="Times New Roman" w:cs="Times New Roman"/>
          <w:szCs w:val="21"/>
          <w:u w:val="single"/>
          <w:lang w:val="zh-CN"/>
        </w:rPr>
        <w:t>48</w:t>
      </w:r>
      <w:r>
        <w:rPr>
          <w:rFonts w:ascii="Times New Roman" w:hAnsi="Times New Roman" w:cs="Times New Roman"/>
          <w:szCs w:val="21"/>
          <w:lang w:val="zh-CN"/>
        </w:rPr>
        <w:t>小时内提供技术服务，对有疑问的检测结果应能够免费提供检测分析报告</w:t>
      </w:r>
      <w:r>
        <w:rPr>
          <w:rFonts w:ascii="Times New Roman" w:hAnsi="Times New Roman" w:cs="Times New Roman"/>
        </w:rPr>
        <w:t>。</w:t>
      </w:r>
    </w:p>
    <w:p>
      <w:pPr>
        <w:ind w:firstLine="480"/>
        <w:rPr>
          <w:rFonts w:ascii="Times New Roman" w:hAnsi="Times New Roman" w:cs="Times New Roman"/>
        </w:rPr>
      </w:pPr>
      <w:r>
        <w:rPr>
          <w:rFonts w:ascii="Times New Roman" w:hAnsi="Times New Roman" w:cs="Times New Roman"/>
        </w:rPr>
        <w:t>10.4 如果故障在检修</w:t>
      </w:r>
      <w:r>
        <w:rPr>
          <w:rFonts w:ascii="Times New Roman" w:hAnsi="Times New Roman" w:cs="Times New Roman"/>
          <w:u w:val="single"/>
        </w:rPr>
        <w:t>8</w:t>
      </w:r>
      <w:r>
        <w:rPr>
          <w:rFonts w:ascii="Times New Roman" w:hAnsi="Times New Roman" w:cs="Times New Roman"/>
        </w:rPr>
        <w:t>小时后仍无法排除，投标方应在</w:t>
      </w:r>
      <w:r>
        <w:rPr>
          <w:rFonts w:ascii="Times New Roman" w:hAnsi="Times New Roman" w:cs="Times New Roman"/>
          <w:u w:val="single"/>
        </w:rPr>
        <w:t>2天</w:t>
      </w:r>
      <w:r>
        <w:rPr>
          <w:rFonts w:ascii="Times New Roman" w:hAnsi="Times New Roman" w:cs="Times New Roman"/>
        </w:rPr>
        <w:t>内提供解决方案，经招标方批准后负责实施，直至故障修复。</w:t>
      </w:r>
    </w:p>
    <w:p>
      <w:pPr>
        <w:ind w:firstLine="480"/>
        <w:rPr>
          <w:rFonts w:ascii="Times New Roman" w:hAnsi="Times New Roman" w:cs="Times New Roman"/>
        </w:rPr>
      </w:pPr>
      <w:r>
        <w:rPr>
          <w:rFonts w:ascii="Times New Roman" w:hAnsi="Times New Roman" w:cs="Times New Roman"/>
        </w:rPr>
        <w:t>10.5 所有售后服务方式均为投标方上门，即由投标方或原厂商派员到用户使用现场。由此产生的一切费用均由投标方承担。</w:t>
      </w:r>
    </w:p>
    <w:p>
      <w:pPr>
        <w:ind w:firstLine="480"/>
        <w:rPr>
          <w:rFonts w:ascii="Times New Roman" w:hAnsi="Times New Roman" w:cs="Times New Roman"/>
        </w:rPr>
      </w:pPr>
      <w:r>
        <w:rPr>
          <w:rFonts w:ascii="Times New Roman" w:hAnsi="Times New Roman" w:cs="Times New Roman"/>
        </w:rPr>
        <w:t>10.6 对于不能明确是否是投标方工作产品出现故障时，投标方应尽力配合招标方和其他供应商进行检查，在必要时，能在上述响应时间内到达现场协助排除问题。</w:t>
      </w:r>
    </w:p>
    <w:p>
      <w:pPr>
        <w:ind w:firstLine="480"/>
        <w:rPr>
          <w:rFonts w:ascii="Times New Roman" w:hAnsi="Times New Roman" w:cs="Times New Roman"/>
        </w:rPr>
      </w:pPr>
      <w:r>
        <w:rPr>
          <w:rFonts w:ascii="Times New Roman" w:hAnsi="Times New Roman" w:cs="Times New Roman"/>
        </w:rPr>
        <w:t>10.7 投标方必须有专门的维护部门及规范的维护服务管理体系，须在招标方当地有专业维护人员，能按要求及时响应。</w:t>
      </w:r>
    </w:p>
    <w:p>
      <w:pPr>
        <w:ind w:firstLine="480"/>
        <w:rPr>
          <w:rFonts w:ascii="Times New Roman" w:hAnsi="Times New Roman" w:cs="Times New Roman"/>
        </w:rPr>
      </w:pPr>
      <w:r>
        <w:rPr>
          <w:rFonts w:ascii="Times New Roman" w:hAnsi="Times New Roman" w:cs="Times New Roman"/>
        </w:rPr>
        <w:t>10.8 投标方需要提出保修期后每年的收费维修、维护内容，费用和服务方式、范围（产品、技术、模块、部件），供招标方选择。</w:t>
      </w:r>
    </w:p>
    <w:p>
      <w:pPr>
        <w:pStyle w:val="4"/>
        <w:numPr>
          <w:ilvl w:val="0"/>
          <w:numId w:val="0"/>
        </w:numPr>
        <w:spacing w:before="312" w:beforeLines="100" w:after="0" w:line="360" w:lineRule="auto"/>
        <w:rPr>
          <w:sz w:val="32"/>
          <w:szCs w:val="32"/>
        </w:rPr>
      </w:pPr>
      <w:bookmarkStart w:id="58" w:name="_Toc27995"/>
      <w:r>
        <w:rPr>
          <w:sz w:val="32"/>
          <w:szCs w:val="32"/>
        </w:rPr>
        <w:t>十一、其他相关要求</w:t>
      </w:r>
      <w:bookmarkEnd w:id="58"/>
      <w:r>
        <w:rPr>
          <w:sz w:val="32"/>
          <w:szCs w:val="32"/>
        </w:rPr>
        <w:t xml:space="preserve"> </w:t>
      </w:r>
    </w:p>
    <w:p>
      <w:pPr>
        <w:ind w:firstLine="480"/>
        <w:rPr>
          <w:rFonts w:ascii="Times New Roman" w:hAnsi="Times New Roman" w:cs="Times New Roman"/>
        </w:rPr>
      </w:pPr>
      <w:r>
        <w:rPr>
          <w:rFonts w:ascii="Times New Roman" w:hAnsi="Times New Roman" w:cs="Times New Roman"/>
        </w:rPr>
        <w:t xml:space="preserve"> 11.1 技术配合</w:t>
      </w:r>
    </w:p>
    <w:p>
      <w:pPr>
        <w:ind w:firstLine="480"/>
        <w:rPr>
          <w:rFonts w:ascii="Times New Roman" w:hAnsi="Times New Roman" w:cs="Times New Roman"/>
        </w:rPr>
      </w:pPr>
      <w:r>
        <w:rPr>
          <w:rFonts w:ascii="Times New Roman" w:hAnsi="Times New Roman" w:cs="Times New Roman"/>
        </w:rPr>
        <w:t>（1）合同签订后，中标方应指定负责本项目的项目经理，负责中标方在项目全过程的各项工作。</w:t>
      </w:r>
    </w:p>
    <w:p>
      <w:pPr>
        <w:ind w:firstLine="480"/>
        <w:rPr>
          <w:rFonts w:ascii="Times New Roman" w:hAnsi="Times New Roman" w:cs="Times New Roman"/>
        </w:rPr>
      </w:pPr>
      <w:r>
        <w:rPr>
          <w:rFonts w:ascii="Times New Roman" w:hAnsi="Times New Roman" w:cs="Times New Roman"/>
        </w:rPr>
        <w:t>（2）中标方须结合当次系统开发的目标、指标和任务要求，编制并向招标方提交系统需求分析报告；招标方对中标方提交的需求分析报告进行会议评审，评审通过后中标方才能开展系统设计。</w:t>
      </w:r>
    </w:p>
    <w:p>
      <w:pPr>
        <w:ind w:firstLine="480"/>
        <w:rPr>
          <w:rFonts w:ascii="Times New Roman" w:hAnsi="Times New Roman" w:cs="Times New Roman"/>
        </w:rPr>
      </w:pPr>
      <w:r>
        <w:rPr>
          <w:rFonts w:ascii="Times New Roman" w:hAnsi="Times New Roman" w:cs="Times New Roman"/>
        </w:rPr>
        <w:t>（3）中标方须编制并向招标方提交系统设计报告。</w:t>
      </w:r>
    </w:p>
    <w:p>
      <w:pPr>
        <w:ind w:firstLine="480"/>
        <w:rPr>
          <w:rFonts w:ascii="Times New Roman" w:hAnsi="Times New Roman" w:cs="Times New Roman"/>
        </w:rPr>
      </w:pPr>
      <w:r>
        <w:rPr>
          <w:rFonts w:ascii="Times New Roman" w:hAnsi="Times New Roman" w:cs="Times New Roman"/>
        </w:rPr>
        <w:t>（4）招标方对当次系统开发框架内的功能澄清、细化、完善、纠偏，中标方有义务予以响应并即时实施。</w:t>
      </w:r>
    </w:p>
    <w:p>
      <w:pPr>
        <w:ind w:firstLine="480"/>
        <w:rPr>
          <w:rFonts w:ascii="Times New Roman" w:hAnsi="Times New Roman" w:cs="Times New Roman"/>
        </w:rPr>
      </w:pPr>
      <w:r>
        <w:rPr>
          <w:rFonts w:ascii="Times New Roman" w:hAnsi="Times New Roman" w:cs="Times New Roman"/>
        </w:rPr>
        <w:t>（5）中标方有责任协助招标方做好企业研发费用税前加计扣除工作，并在合同签订后</w:t>
      </w:r>
      <w:r>
        <w:rPr>
          <w:rFonts w:ascii="Times New Roman" w:hAnsi="Times New Roman" w:cs="Times New Roman"/>
          <w:u w:val="single"/>
        </w:rPr>
        <w:t>3个月</w:t>
      </w:r>
      <w:r>
        <w:rPr>
          <w:rFonts w:ascii="Times New Roman" w:hAnsi="Times New Roman" w:cs="Times New Roman"/>
        </w:rPr>
        <w:t>内，办理本合同在科技行政主管部门的认证登记手续。</w:t>
      </w:r>
    </w:p>
    <w:p>
      <w:pPr>
        <w:ind w:firstLine="480"/>
        <w:rPr>
          <w:rFonts w:ascii="Times New Roman" w:hAnsi="Times New Roman" w:cs="Times New Roman"/>
        </w:rPr>
      </w:pPr>
      <w:r>
        <w:rPr>
          <w:rFonts w:ascii="Times New Roman" w:hAnsi="Times New Roman" w:cs="Times New Roman"/>
        </w:rPr>
        <w:t>11.2 现场服务</w:t>
      </w:r>
    </w:p>
    <w:p>
      <w:pPr>
        <w:ind w:firstLine="480"/>
        <w:rPr>
          <w:rFonts w:ascii="Times New Roman" w:hAnsi="Times New Roman" w:cs="Times New Roman"/>
        </w:rPr>
      </w:pPr>
      <w:r>
        <w:rPr>
          <w:rFonts w:ascii="Times New Roman" w:hAnsi="Times New Roman" w:cs="Times New Roman"/>
        </w:rPr>
        <w:t>（1） 当招标方对监测结果存在疑问时，中标方应按合同规定及时派工程技术人员到达现场服务。</w:t>
      </w:r>
    </w:p>
    <w:p>
      <w:pPr>
        <w:ind w:firstLine="480"/>
        <w:rPr>
          <w:rFonts w:ascii="Times New Roman" w:hAnsi="Times New Roman" w:cs="Times New Roman"/>
        </w:rPr>
      </w:pPr>
      <w:r>
        <w:rPr>
          <w:rFonts w:ascii="Times New Roman" w:hAnsi="Times New Roman" w:cs="Times New Roman"/>
        </w:rPr>
        <w:t>（2） 中标方在项目实施过程中应至少为招标方免费提供一次技术指导和培训讲座，在不涉及机密资料泄露的情况下，中标方应尽最大可能将本单位相关算法、其他类似项目的研究结论等向招标方公开。</w:t>
      </w:r>
    </w:p>
    <w:p>
      <w:pPr>
        <w:ind w:firstLine="480"/>
        <w:rPr>
          <w:rFonts w:ascii="Times New Roman" w:hAnsi="Times New Roman" w:cs="Times New Roman"/>
        </w:rPr>
      </w:pPr>
      <w:r>
        <w:rPr>
          <w:rFonts w:ascii="Times New Roman" w:hAnsi="Times New Roman" w:cs="Times New Roman"/>
        </w:rPr>
        <w:t>11.3 培训</w:t>
      </w:r>
    </w:p>
    <w:p>
      <w:pPr>
        <w:ind w:firstLine="480"/>
        <w:rPr>
          <w:rFonts w:ascii="Times New Roman" w:hAnsi="Times New Roman" w:cs="Times New Roman"/>
        </w:rPr>
      </w:pPr>
      <w:r>
        <w:rPr>
          <w:rFonts w:ascii="Times New Roman" w:hAnsi="Times New Roman" w:cs="Times New Roman"/>
        </w:rPr>
        <w:t>（1）中标方应负责对招标方技术人员进行</w:t>
      </w:r>
      <w:r>
        <w:rPr>
          <w:rFonts w:hint="eastAsia" w:ascii="Times New Roman" w:hAnsi="Times New Roman" w:cs="Times New Roman"/>
          <w:u w:val="single"/>
        </w:rPr>
        <w:t>可带电使用的配电设备激光除锈仪</w:t>
      </w:r>
      <w:r>
        <w:rPr>
          <w:rFonts w:ascii="Times New Roman" w:hAnsi="Times New Roman" w:cs="Times New Roman"/>
        </w:rPr>
        <w:t>的技术培训，使他们掌握或熟悉原理、系统关键参数设定以及结果判断等。</w:t>
      </w:r>
    </w:p>
    <w:p>
      <w:pPr>
        <w:ind w:firstLine="480"/>
        <w:rPr>
          <w:rFonts w:ascii="Times New Roman" w:hAnsi="Times New Roman" w:cs="Times New Roman"/>
        </w:rPr>
      </w:pPr>
      <w:r>
        <w:rPr>
          <w:rFonts w:ascii="Times New Roman" w:hAnsi="Times New Roman" w:cs="Times New Roman"/>
        </w:rPr>
        <w:t>（2）培训内容包括中标方提供的</w:t>
      </w:r>
      <w:r>
        <w:rPr>
          <w:rFonts w:hint="eastAsia" w:ascii="Times New Roman" w:hAnsi="Times New Roman" w:cs="Times New Roman"/>
          <w:u w:val="single"/>
        </w:rPr>
        <w:t>可带电使用的配电设备激光除锈仪</w:t>
      </w:r>
      <w:r>
        <w:rPr>
          <w:rFonts w:ascii="Times New Roman" w:hAnsi="Times New Roman" w:cs="Times New Roman"/>
        </w:rPr>
        <w:t>等。</w:t>
      </w:r>
    </w:p>
    <w:p>
      <w:pPr>
        <w:ind w:firstLine="480"/>
        <w:rPr>
          <w:rFonts w:ascii="Times New Roman" w:hAnsi="Times New Roman" w:cs="Times New Roman"/>
        </w:rPr>
      </w:pPr>
      <w:r>
        <w:rPr>
          <w:rFonts w:ascii="Times New Roman" w:hAnsi="Times New Roman" w:cs="Times New Roman"/>
        </w:rPr>
        <w:t>（3）中标方应提出培训的建议日期、地点、培训时间表和课程表，经招标方同意后，开展培训工作。</w:t>
      </w:r>
    </w:p>
    <w:p>
      <w:pPr>
        <w:ind w:firstLine="480"/>
        <w:rPr>
          <w:rFonts w:ascii="Times New Roman" w:hAnsi="Times New Roman" w:cs="Times New Roman"/>
        </w:rPr>
      </w:pPr>
      <w:r>
        <w:rPr>
          <w:rFonts w:ascii="Times New Roman" w:hAnsi="Times New Roman" w:cs="Times New Roman"/>
        </w:rPr>
        <w:t>11.4 知识产权约定</w:t>
      </w:r>
    </w:p>
    <w:p>
      <w:pPr>
        <w:ind w:firstLine="480"/>
        <w:rPr>
          <w:rFonts w:ascii="Times New Roman" w:hAnsi="Times New Roman" w:cs="Times New Roman"/>
        </w:rPr>
      </w:pPr>
      <w:r>
        <w:rPr>
          <w:rFonts w:ascii="Segoe UI Symbol" w:hAnsi="Segoe UI Symbol" w:cs="Segoe UI Symbol"/>
        </w:rPr>
        <w:t>★</w:t>
      </w:r>
      <w:r>
        <w:rPr>
          <w:rFonts w:ascii="Times New Roman" w:hAnsi="Times New Roman" w:cs="Times New Roman"/>
        </w:rPr>
        <w:t>在项目完成以后，中标方应向招标方提供该项目所有技术成果、项目建设文档、使用及运维说明等。项目实施过程中形成的专利、软件著作权及论文招标方</w:t>
      </w:r>
      <w:r>
        <w:rPr>
          <w:rFonts w:ascii="Times New Roman" w:hAnsi="Times New Roman" w:cs="Times New Roman"/>
          <w:u w:val="single"/>
        </w:rPr>
        <w:t>独有</w:t>
      </w:r>
      <w:r>
        <w:rPr>
          <w:rFonts w:ascii="Times New Roman" w:hAnsi="Times New Roman" w:cs="Times New Roman"/>
        </w:rPr>
        <w:t>。</w:t>
      </w:r>
    </w:p>
    <w:p>
      <w:pPr>
        <w:ind w:firstLine="480"/>
        <w:rPr>
          <w:rFonts w:ascii="Times New Roman" w:hAnsi="Times New Roman" w:cs="Times New Roman"/>
        </w:rPr>
      </w:pPr>
      <w:r>
        <w:rPr>
          <w:rFonts w:ascii="Times New Roman" w:hAnsi="Times New Roman" w:cs="Times New Roman"/>
        </w:rPr>
        <w:t>中标方应保证其提供的产品、工具、模型、方法、文档、知识资产及服务没有任何权利瑕疵，没有侵犯任何第三方权利。招标方在使用该产品或服务的任何一部分时，免受第三方提出的任何侵犯其知识产权的权利主张。如果任何人对招标方使用该产品及服务主张权利，由中标方负责处理一切纠纷及相关事宜，由此给招标人造成的损失，由中标人承担。</w:t>
      </w:r>
    </w:p>
    <w:p>
      <w:pPr>
        <w:ind w:firstLine="0" w:firstLineChars="0"/>
        <w:rPr>
          <w:rFonts w:ascii="Times New Roman" w:hAnsi="Times New Roman" w:cs="Times New Roman"/>
        </w:rPr>
      </w:pPr>
    </w:p>
    <w:p>
      <w:pPr>
        <w:pStyle w:val="4"/>
        <w:numPr>
          <w:ilvl w:val="0"/>
          <w:numId w:val="0"/>
        </w:numPr>
        <w:spacing w:before="312" w:beforeLines="100" w:after="0" w:line="360" w:lineRule="auto"/>
        <w:rPr>
          <w:sz w:val="32"/>
          <w:szCs w:val="32"/>
        </w:rPr>
      </w:pPr>
      <w:bookmarkStart w:id="59" w:name="_Toc20673"/>
      <w:bookmarkStart w:id="60" w:name="_Toc351129176"/>
      <w:bookmarkStart w:id="61" w:name="_Toc93490580"/>
      <w:bookmarkStart w:id="62" w:name="_Toc137397828"/>
      <w:bookmarkStart w:id="63" w:name="_Toc93490630"/>
      <w:bookmarkStart w:id="64" w:name="_Toc506186791"/>
      <w:bookmarkStart w:id="65" w:name="_Toc167003829"/>
      <w:bookmarkStart w:id="66" w:name="_Toc93490801"/>
      <w:r>
        <w:rPr>
          <w:sz w:val="32"/>
          <w:szCs w:val="32"/>
        </w:rPr>
        <w:t>附件</w:t>
      </w:r>
      <w:bookmarkEnd w:id="59"/>
      <w:bookmarkEnd w:id="60"/>
      <w:bookmarkEnd w:id="61"/>
      <w:bookmarkEnd w:id="62"/>
      <w:bookmarkEnd w:id="63"/>
      <w:bookmarkEnd w:id="64"/>
      <w:bookmarkEnd w:id="65"/>
      <w:bookmarkEnd w:id="66"/>
    </w:p>
    <w:p>
      <w:pPr>
        <w:pStyle w:val="5"/>
        <w:spacing w:before="200" w:after="100" w:line="360" w:lineRule="auto"/>
        <w:rPr>
          <w:rFonts w:ascii="Times New Roman" w:hAnsi="Times New Roman"/>
        </w:rPr>
      </w:pPr>
      <w:bookmarkStart w:id="67" w:name="_Toc5388"/>
      <w:r>
        <w:rPr>
          <w:rFonts w:ascii="Times New Roman" w:hAnsi="Times New Roman"/>
        </w:rPr>
        <w:t>1、差异表</w:t>
      </w:r>
      <w:bookmarkEnd w:id="67"/>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605"/>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vAlign w:val="center"/>
          </w:tcPr>
          <w:p>
            <w:pPr>
              <w:ind w:firstLine="0" w:firstLineChars="0"/>
              <w:rPr>
                <w:rFonts w:ascii="Times New Roman" w:hAnsi="Times New Roman" w:cs="Times New Roman"/>
              </w:rPr>
            </w:pPr>
            <w:r>
              <w:rPr>
                <w:rFonts w:ascii="Times New Roman" w:hAnsi="Times New Roman" w:cs="Times New Roman"/>
              </w:rPr>
              <w:t>序号</w:t>
            </w:r>
          </w:p>
        </w:tc>
        <w:tc>
          <w:tcPr>
            <w:tcW w:w="3855" w:type="dxa"/>
            <w:gridSpan w:val="2"/>
            <w:tcBorders>
              <w:top w:val="single" w:color="auto" w:sz="4" w:space="0"/>
              <w:left w:val="single" w:color="auto" w:sz="4" w:space="0"/>
              <w:bottom w:val="single" w:color="auto" w:sz="4" w:space="0"/>
              <w:right w:val="single" w:color="auto" w:sz="4" w:space="0"/>
            </w:tcBorders>
            <w:vAlign w:val="center"/>
          </w:tcPr>
          <w:p>
            <w:pPr>
              <w:ind w:firstLine="480"/>
              <w:jc w:val="center"/>
              <w:rPr>
                <w:rFonts w:ascii="Times New Roman" w:hAnsi="Times New Roman" w:cs="Times New Roman"/>
              </w:rPr>
            </w:pPr>
            <w:r>
              <w:rPr>
                <w:rFonts w:ascii="Times New Roman" w:hAnsi="Times New Roman" w:cs="Times New Roman"/>
              </w:rPr>
              <w:t>招标文件</w:t>
            </w:r>
          </w:p>
        </w:tc>
        <w:tc>
          <w:tcPr>
            <w:tcW w:w="4299" w:type="dxa"/>
            <w:gridSpan w:val="2"/>
            <w:tcBorders>
              <w:top w:val="single" w:color="auto" w:sz="4" w:space="0"/>
              <w:left w:val="single" w:color="auto" w:sz="4" w:space="0"/>
              <w:bottom w:val="single" w:color="auto" w:sz="4" w:space="0"/>
              <w:right w:val="single" w:color="auto" w:sz="4" w:space="0"/>
            </w:tcBorders>
            <w:vAlign w:val="center"/>
          </w:tcPr>
          <w:p>
            <w:pPr>
              <w:ind w:firstLine="480"/>
              <w:jc w:val="center"/>
              <w:rPr>
                <w:rFonts w:ascii="Times New Roman" w:hAnsi="Times New Roman" w:cs="Times New Roman"/>
              </w:rPr>
            </w:pPr>
            <w:r>
              <w:rPr>
                <w:rFonts w:ascii="Times New Roman" w:hAnsi="Times New Roman" w:cs="Times New Roman"/>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pPr>
              <w:ind w:firstLine="480"/>
              <w:rPr>
                <w:rFonts w:ascii="Times New Roman" w:hAnsi="Times New Roman" w:cs="Times New Roman"/>
              </w:rPr>
            </w:pPr>
          </w:p>
        </w:tc>
        <w:tc>
          <w:tcPr>
            <w:tcW w:w="1020" w:type="dxa"/>
            <w:tcBorders>
              <w:top w:val="single" w:color="auto" w:sz="4" w:space="0"/>
              <w:left w:val="single" w:color="auto" w:sz="4" w:space="0"/>
              <w:bottom w:val="single" w:color="auto" w:sz="4" w:space="0"/>
              <w:right w:val="single" w:color="auto" w:sz="4" w:space="0"/>
            </w:tcBorders>
            <w:vAlign w:val="center"/>
          </w:tcPr>
          <w:p>
            <w:pPr>
              <w:ind w:firstLine="0" w:firstLineChars="0"/>
              <w:rPr>
                <w:rFonts w:ascii="Times New Roman" w:hAnsi="Times New Roman" w:cs="Times New Roman"/>
              </w:rPr>
            </w:pPr>
            <w:r>
              <w:rPr>
                <w:rFonts w:ascii="Times New Roman" w:hAnsi="Times New Roman" w:cs="Times New Roman"/>
              </w:rPr>
              <w:t>条目</w:t>
            </w:r>
          </w:p>
        </w:tc>
        <w:tc>
          <w:tcPr>
            <w:tcW w:w="2835" w:type="dxa"/>
            <w:tcBorders>
              <w:top w:val="single" w:color="auto" w:sz="4" w:space="0"/>
              <w:left w:val="single" w:color="auto" w:sz="4" w:space="0"/>
              <w:bottom w:val="single" w:color="auto" w:sz="4" w:space="0"/>
              <w:right w:val="single" w:color="auto" w:sz="4" w:space="0"/>
            </w:tcBorders>
            <w:vAlign w:val="center"/>
          </w:tcPr>
          <w:p>
            <w:pPr>
              <w:ind w:firstLine="480"/>
              <w:rPr>
                <w:rFonts w:ascii="Times New Roman" w:hAnsi="Times New Roman" w:cs="Times New Roman"/>
              </w:rPr>
            </w:pPr>
            <w:r>
              <w:rPr>
                <w:rFonts w:ascii="Times New Roman" w:hAnsi="Times New Roman" w:cs="Times New Roman"/>
              </w:rPr>
              <w:t>简要内容</w:t>
            </w:r>
          </w:p>
        </w:tc>
        <w:tc>
          <w:tcPr>
            <w:tcW w:w="1605" w:type="dxa"/>
            <w:tcBorders>
              <w:top w:val="single" w:color="auto" w:sz="4" w:space="0"/>
              <w:left w:val="single" w:color="auto" w:sz="4" w:space="0"/>
              <w:bottom w:val="single" w:color="auto" w:sz="4" w:space="0"/>
              <w:right w:val="single" w:color="auto" w:sz="4" w:space="0"/>
            </w:tcBorders>
            <w:vAlign w:val="center"/>
          </w:tcPr>
          <w:p>
            <w:pPr>
              <w:ind w:firstLine="480"/>
              <w:rPr>
                <w:rFonts w:ascii="Times New Roman" w:hAnsi="Times New Roman" w:cs="Times New Roman"/>
              </w:rPr>
            </w:pPr>
            <w:r>
              <w:rPr>
                <w:rFonts w:ascii="Times New Roman" w:hAnsi="Times New Roman" w:cs="Times New Roman"/>
              </w:rPr>
              <w:t>条目</w:t>
            </w:r>
          </w:p>
        </w:tc>
        <w:tc>
          <w:tcPr>
            <w:tcW w:w="2694" w:type="dxa"/>
            <w:tcBorders>
              <w:top w:val="single" w:color="auto" w:sz="4" w:space="0"/>
              <w:left w:val="single" w:color="auto" w:sz="4" w:space="0"/>
              <w:bottom w:val="single" w:color="auto" w:sz="4" w:space="0"/>
              <w:right w:val="single" w:color="auto" w:sz="4" w:space="0"/>
            </w:tcBorders>
            <w:vAlign w:val="center"/>
          </w:tcPr>
          <w:p>
            <w:pPr>
              <w:ind w:firstLine="480"/>
              <w:rPr>
                <w:rFonts w:ascii="Times New Roman" w:hAnsi="Times New Roman" w:cs="Times New Roman"/>
              </w:rPr>
            </w:pPr>
            <w:r>
              <w:rPr>
                <w:rFonts w:ascii="Times New Roman" w:hAnsi="Times New Roman" w:cs="Times New Roman"/>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c>
          <w:tcPr>
            <w:tcW w:w="1020"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c>
          <w:tcPr>
            <w:tcW w:w="2835"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c>
          <w:tcPr>
            <w:tcW w:w="1605"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c>
          <w:tcPr>
            <w:tcW w:w="2694"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c>
          <w:tcPr>
            <w:tcW w:w="1020"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c>
          <w:tcPr>
            <w:tcW w:w="2835"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c>
          <w:tcPr>
            <w:tcW w:w="1605"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c>
          <w:tcPr>
            <w:tcW w:w="2694"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r>
    </w:tbl>
    <w:p>
      <w:pPr>
        <w:pStyle w:val="5"/>
        <w:spacing w:before="200" w:after="100" w:line="360" w:lineRule="auto"/>
        <w:rPr>
          <w:rFonts w:ascii="Times New Roman" w:hAnsi="Times New Roman"/>
        </w:rPr>
      </w:pPr>
      <w:bookmarkStart w:id="68" w:name="_Toc7139"/>
      <w:r>
        <w:rPr>
          <w:rFonts w:ascii="Times New Roman" w:hAnsi="Times New Roman"/>
        </w:rPr>
        <w:t>2、投标方需要说明的其它问题</w:t>
      </w:r>
      <w:bookmarkEnd w:id="68"/>
    </w:p>
    <w:p>
      <w:pPr>
        <w:ind w:firstLine="0" w:firstLineChars="0"/>
        <w:rPr>
          <w:rFonts w:hint="default" w:ascii="Times New Roman" w:hAnsi="Times New Roman" w:eastAsia="宋体" w:cs="Times New Roman"/>
          <w:szCs w:val="24"/>
          <w:lang w:val="en-US" w:eastAsia="zh-CN"/>
        </w:rPr>
      </w:pPr>
      <w:r>
        <w:rPr>
          <w:rFonts w:hint="eastAsia" w:ascii="Times New Roman" w:hAnsi="Times New Roman" w:cs="Times New Roman"/>
          <w:szCs w:val="24"/>
          <w:lang w:val="en-US" w:eastAsia="zh-CN"/>
        </w:rPr>
        <w:t xml:space="preserve">    无。</w:t>
      </w:r>
    </w:p>
    <w:p>
      <w:pPr>
        <w:ind w:firstLine="0" w:firstLineChars="0"/>
        <w:rPr>
          <w:rFonts w:ascii="Times New Roman" w:hAnsi="Times New Roman" w:cs="Times New Roman"/>
          <w:szCs w:val="24"/>
        </w:rPr>
      </w:pPr>
    </w:p>
    <w:p>
      <w:pPr>
        <w:ind w:firstLine="480"/>
      </w:pPr>
    </w:p>
    <w:sectPr>
      <w:headerReference r:id="rId11" w:type="default"/>
      <w:footerReference r:id="rId12" w:type="default"/>
      <w:pgSz w:w="11906" w:h="16838"/>
      <w:pgMar w:top="1440" w:right="1080" w:bottom="1440" w:left="1080"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08305" cy="219710"/>
              <wp:effectExtent l="0" t="0" r="0" b="0"/>
              <wp:wrapNone/>
              <wp:docPr id="5" name="文本框 1"/>
              <wp:cNvGraphicFramePr/>
              <a:graphic xmlns:a="http://schemas.openxmlformats.org/drawingml/2006/main">
                <a:graphicData uri="http://schemas.microsoft.com/office/word/2010/wordprocessingShape">
                  <wps:wsp>
                    <wps:cNvSpPr txBox="1"/>
                    <wps:spPr>
                      <a:xfrm>
                        <a:off x="0" y="0"/>
                        <a:ext cx="408305" cy="219710"/>
                      </a:xfrm>
                      <a:prstGeom prst="rect">
                        <a:avLst/>
                      </a:prstGeom>
                      <a:noFill/>
                      <a:ln>
                        <a:noFill/>
                      </a:ln>
                    </wps:spPr>
                    <wps:txbx>
                      <w:txbxContent>
                        <w:p>
                          <w:pPr>
                            <w:pStyle w:val="8"/>
                            <w:ind w:firstLine="360"/>
                          </w:pPr>
                          <w:r>
                            <w:rPr>
                              <w:rFonts w:hint="eastAsia"/>
                            </w:rPr>
                            <w:fldChar w:fldCharType="begin"/>
                          </w:r>
                          <w:r>
                            <w:rPr>
                              <w:rFonts w:hint="eastAsia"/>
                            </w:rPr>
                            <w:instrText xml:space="preserve"> PAGE  \* MERGEFORMAT </w:instrText>
                          </w:r>
                          <w:r>
                            <w:rPr>
                              <w:rFonts w:hint="eastAsia"/>
                            </w:rPr>
                            <w:fldChar w:fldCharType="separate"/>
                          </w:r>
                          <w:r>
                            <w:t>16</w:t>
                          </w:r>
                          <w:r>
                            <w:rPr>
                              <w:rFonts w:hint="eastAsia"/>
                            </w:rPr>
                            <w:fldChar w:fldCharType="end"/>
                          </w:r>
                        </w:p>
                      </w:txbxContent>
                    </wps:txbx>
                    <wps:bodyPr wrap="square" lIns="0" tIns="0" rIns="0" bIns="0" upright="1"/>
                  </wps:wsp>
                </a:graphicData>
              </a:graphic>
            </wp:anchor>
          </w:drawing>
        </mc:Choice>
        <mc:Fallback>
          <w:pict>
            <v:shape id="文本框 1" o:spid="_x0000_s1026" o:spt="202" type="#_x0000_t202" style="position:absolute;left:0pt;margin-top:0pt;height:17.3pt;width:32.15pt;mso-position-horizontal:center;mso-position-horizontal-relative:margin;z-index:251659264;mso-width-relative:page;mso-height-relative:page;" filled="f" stroked="f" coordsize="21600,21600" o:gfxdata="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NVEH7rUAAAAAwEAAA8AAAAAAAAAAQAgAAAAIgAAAGRycy9kb3ducmV2Lnht&#10;bFBLAQIUABQAAAAIAIdO4kAWgb4dxAEAAH8DAAAOAAAAAAAAAAEAIAAAACMBAABkcnMvZTJvRG9j&#10;LnhtbFBLBQYAAAAABgAGAFkBAABZBQAAAAA=&#10;">
              <v:fill on="f" focussize="0,0"/>
              <v:stroke on="f"/>
              <v:imagedata o:title=""/>
              <o:lock v:ext="edit" aspectratio="f"/>
              <v:textbox inset="0mm,0mm,0mm,0mm">
                <w:txbxContent>
                  <w:p>
                    <w:pPr>
                      <w:pStyle w:val="8"/>
                      <w:ind w:firstLine="360"/>
                    </w:pPr>
                    <w:r>
                      <w:rPr>
                        <w:rFonts w:hint="eastAsia"/>
                      </w:rPr>
                      <w:fldChar w:fldCharType="begin"/>
                    </w:r>
                    <w:r>
                      <w:rPr>
                        <w:rFonts w:hint="eastAsia"/>
                      </w:rPr>
                      <w:instrText xml:space="preserve"> PAGE  \* MERGEFORMAT </w:instrText>
                    </w:r>
                    <w:r>
                      <w:rPr>
                        <w:rFonts w:hint="eastAsia"/>
                      </w:rPr>
                      <w:fldChar w:fldCharType="separate"/>
                    </w:r>
                    <w:r>
                      <w:t>16</w:t>
                    </w:r>
                    <w:r>
                      <w:rPr>
                        <w:rFonts w:hint="eastAsia"/>
                      </w:rPr>
                      <w:fldChar w:fldCharType="end"/>
                    </w:r>
                  </w:p>
                </w:txbxContent>
              </v:textbox>
            </v:shape>
          </w:pict>
        </mc:Fallback>
      </mc:AlternateContent>
    </w:r>
    <w:r>
      <w:rPr>
        <w:rFonts w:hint="eastAsi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12A0DB"/>
    <w:multiLevelType w:val="singleLevel"/>
    <w:tmpl w:val="A412A0DB"/>
    <w:lvl w:ilvl="0" w:tentative="0">
      <w:start w:val="1"/>
      <w:numFmt w:val="decimal"/>
      <w:suff w:val="nothing"/>
      <w:lvlText w:val="（%1）"/>
      <w:lvlJc w:val="left"/>
    </w:lvl>
  </w:abstractNum>
  <w:abstractNum w:abstractNumId="1">
    <w:nsid w:val="00000001"/>
    <w:multiLevelType w:val="multilevel"/>
    <w:tmpl w:val="00000001"/>
    <w:lvl w:ilvl="0" w:tentative="0">
      <w:start w:val="1"/>
      <w:numFmt w:val="decimal"/>
      <w:lvlText w:val="%1)"/>
      <w:lvlJc w:val="left"/>
      <w:pPr>
        <w:ind w:left="900" w:hanging="420"/>
      </w:pPr>
      <w:rPr>
        <w:rFonts w:hint="eastAsia" w:cs="Times New Roman"/>
      </w:rPr>
    </w:lvl>
    <w:lvl w:ilvl="1" w:tentative="0">
      <w:start w:val="1"/>
      <w:numFmt w:val="lowerLetter"/>
      <w:lvlText w:val="%2)"/>
      <w:lvlJc w:val="left"/>
      <w:pPr>
        <w:ind w:left="1320" w:hanging="420"/>
      </w:pPr>
      <w:rPr>
        <w:rFonts w:cs="Times New Roman"/>
      </w:rPr>
    </w:lvl>
    <w:lvl w:ilvl="2" w:tentative="0">
      <w:start w:val="1"/>
      <w:numFmt w:val="lowerRoman"/>
      <w:lvlText w:val="%3."/>
      <w:lvlJc w:val="right"/>
      <w:pPr>
        <w:ind w:left="1740" w:hanging="420"/>
      </w:pPr>
      <w:rPr>
        <w:rFonts w:cs="Times New Roman"/>
      </w:rPr>
    </w:lvl>
    <w:lvl w:ilvl="3" w:tentative="0">
      <w:start w:val="1"/>
      <w:numFmt w:val="decimal"/>
      <w:lvlText w:val="%4."/>
      <w:lvlJc w:val="left"/>
      <w:pPr>
        <w:ind w:left="2160" w:hanging="420"/>
      </w:pPr>
      <w:rPr>
        <w:rFonts w:cs="Times New Roman"/>
      </w:rPr>
    </w:lvl>
    <w:lvl w:ilvl="4" w:tentative="0">
      <w:start w:val="1"/>
      <w:numFmt w:val="lowerLetter"/>
      <w:lvlText w:val="%5)"/>
      <w:lvlJc w:val="left"/>
      <w:pPr>
        <w:ind w:left="2580" w:hanging="420"/>
      </w:pPr>
      <w:rPr>
        <w:rFonts w:cs="Times New Roman"/>
      </w:rPr>
    </w:lvl>
    <w:lvl w:ilvl="5" w:tentative="0">
      <w:start w:val="1"/>
      <w:numFmt w:val="lowerRoman"/>
      <w:lvlText w:val="%6."/>
      <w:lvlJc w:val="right"/>
      <w:pPr>
        <w:ind w:left="3000" w:hanging="420"/>
      </w:pPr>
      <w:rPr>
        <w:rFonts w:cs="Times New Roman"/>
      </w:rPr>
    </w:lvl>
    <w:lvl w:ilvl="6" w:tentative="0">
      <w:start w:val="1"/>
      <w:numFmt w:val="decimal"/>
      <w:lvlText w:val="%7."/>
      <w:lvlJc w:val="left"/>
      <w:pPr>
        <w:ind w:left="3420" w:hanging="420"/>
      </w:pPr>
      <w:rPr>
        <w:rFonts w:cs="Times New Roman"/>
      </w:rPr>
    </w:lvl>
    <w:lvl w:ilvl="7" w:tentative="0">
      <w:start w:val="1"/>
      <w:numFmt w:val="lowerLetter"/>
      <w:lvlText w:val="%8)"/>
      <w:lvlJc w:val="left"/>
      <w:pPr>
        <w:ind w:left="3840" w:hanging="420"/>
      </w:pPr>
      <w:rPr>
        <w:rFonts w:cs="Times New Roman"/>
      </w:rPr>
    </w:lvl>
    <w:lvl w:ilvl="8" w:tentative="0">
      <w:start w:val="1"/>
      <w:numFmt w:val="lowerRoman"/>
      <w:lvlText w:val="%9."/>
      <w:lvlJc w:val="right"/>
      <w:pPr>
        <w:ind w:left="4260" w:hanging="420"/>
      </w:pPr>
      <w:rPr>
        <w:rFonts w:cs="Times New Roman"/>
      </w:rPr>
    </w:lvl>
  </w:abstractNum>
  <w:abstractNum w:abstractNumId="2">
    <w:nsid w:val="00000002"/>
    <w:multiLevelType w:val="multilevel"/>
    <w:tmpl w:val="00000002"/>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0000003"/>
    <w:multiLevelType w:val="multilevel"/>
    <w:tmpl w:val="00000003"/>
    <w:lvl w:ilvl="0" w:tentative="0">
      <w:start w:val="1"/>
      <w:numFmt w:val="decimal"/>
      <w:lvlText w:val="%1)"/>
      <w:lvlJc w:val="left"/>
      <w:pPr>
        <w:ind w:left="900" w:hanging="420"/>
      </w:pPr>
      <w:rPr>
        <w:rFonts w:hint="eastAsia" w:cs="Times New Roman"/>
      </w:rPr>
    </w:lvl>
    <w:lvl w:ilvl="1" w:tentative="0">
      <w:start w:val="1"/>
      <w:numFmt w:val="lowerLetter"/>
      <w:lvlText w:val="%2)"/>
      <w:lvlJc w:val="left"/>
      <w:pPr>
        <w:ind w:left="1320" w:hanging="420"/>
      </w:pPr>
      <w:rPr>
        <w:rFonts w:cs="Times New Roman"/>
      </w:rPr>
    </w:lvl>
    <w:lvl w:ilvl="2" w:tentative="0">
      <w:start w:val="1"/>
      <w:numFmt w:val="lowerRoman"/>
      <w:lvlText w:val="%3."/>
      <w:lvlJc w:val="right"/>
      <w:pPr>
        <w:ind w:left="1740" w:hanging="420"/>
      </w:pPr>
      <w:rPr>
        <w:rFonts w:cs="Times New Roman"/>
      </w:rPr>
    </w:lvl>
    <w:lvl w:ilvl="3" w:tentative="0">
      <w:start w:val="1"/>
      <w:numFmt w:val="decimal"/>
      <w:lvlText w:val="%4."/>
      <w:lvlJc w:val="left"/>
      <w:pPr>
        <w:ind w:left="2160" w:hanging="420"/>
      </w:pPr>
      <w:rPr>
        <w:rFonts w:cs="Times New Roman"/>
      </w:rPr>
    </w:lvl>
    <w:lvl w:ilvl="4" w:tentative="0">
      <w:start w:val="1"/>
      <w:numFmt w:val="lowerLetter"/>
      <w:lvlText w:val="%5)"/>
      <w:lvlJc w:val="left"/>
      <w:pPr>
        <w:ind w:left="2580" w:hanging="420"/>
      </w:pPr>
      <w:rPr>
        <w:rFonts w:cs="Times New Roman"/>
      </w:rPr>
    </w:lvl>
    <w:lvl w:ilvl="5" w:tentative="0">
      <w:start w:val="1"/>
      <w:numFmt w:val="lowerRoman"/>
      <w:lvlText w:val="%6."/>
      <w:lvlJc w:val="right"/>
      <w:pPr>
        <w:ind w:left="3000" w:hanging="420"/>
      </w:pPr>
      <w:rPr>
        <w:rFonts w:cs="Times New Roman"/>
      </w:rPr>
    </w:lvl>
    <w:lvl w:ilvl="6" w:tentative="0">
      <w:start w:val="1"/>
      <w:numFmt w:val="decimal"/>
      <w:lvlText w:val="%7."/>
      <w:lvlJc w:val="left"/>
      <w:pPr>
        <w:ind w:left="3420" w:hanging="420"/>
      </w:pPr>
      <w:rPr>
        <w:rFonts w:cs="Times New Roman"/>
      </w:rPr>
    </w:lvl>
    <w:lvl w:ilvl="7" w:tentative="0">
      <w:start w:val="1"/>
      <w:numFmt w:val="lowerLetter"/>
      <w:lvlText w:val="%8)"/>
      <w:lvlJc w:val="left"/>
      <w:pPr>
        <w:ind w:left="3840" w:hanging="420"/>
      </w:pPr>
      <w:rPr>
        <w:rFonts w:cs="Times New Roman"/>
      </w:rPr>
    </w:lvl>
    <w:lvl w:ilvl="8" w:tentative="0">
      <w:start w:val="1"/>
      <w:numFmt w:val="lowerRoman"/>
      <w:lvlText w:val="%9."/>
      <w:lvlJc w:val="right"/>
      <w:pPr>
        <w:ind w:left="4260" w:hanging="420"/>
      </w:pPr>
      <w:rPr>
        <w:rFonts w:cs="Times New Roman"/>
      </w:rPr>
    </w:lvl>
  </w:abstractNum>
  <w:abstractNum w:abstractNumId="4">
    <w:nsid w:val="00000004"/>
    <w:multiLevelType w:val="multilevel"/>
    <w:tmpl w:val="00000004"/>
    <w:lvl w:ilvl="0" w:tentative="0">
      <w:start w:val="1"/>
      <w:numFmt w:val="decimal"/>
      <w:lvlText w:val="%1)"/>
      <w:lvlJc w:val="left"/>
      <w:pPr>
        <w:ind w:left="900" w:hanging="420"/>
      </w:pPr>
      <w:rPr>
        <w:rFonts w:hint="eastAsia" w:cs="Times New Roman"/>
      </w:rPr>
    </w:lvl>
    <w:lvl w:ilvl="1" w:tentative="0">
      <w:start w:val="1"/>
      <w:numFmt w:val="lowerLetter"/>
      <w:lvlText w:val="%2)"/>
      <w:lvlJc w:val="left"/>
      <w:pPr>
        <w:ind w:left="1320" w:hanging="420"/>
      </w:pPr>
      <w:rPr>
        <w:rFonts w:cs="Times New Roman"/>
      </w:rPr>
    </w:lvl>
    <w:lvl w:ilvl="2" w:tentative="0">
      <w:start w:val="1"/>
      <w:numFmt w:val="lowerRoman"/>
      <w:lvlText w:val="%3."/>
      <w:lvlJc w:val="right"/>
      <w:pPr>
        <w:ind w:left="1740" w:hanging="420"/>
      </w:pPr>
      <w:rPr>
        <w:rFonts w:cs="Times New Roman"/>
      </w:rPr>
    </w:lvl>
    <w:lvl w:ilvl="3" w:tentative="0">
      <w:start w:val="1"/>
      <w:numFmt w:val="decimal"/>
      <w:lvlText w:val="%4."/>
      <w:lvlJc w:val="left"/>
      <w:pPr>
        <w:ind w:left="2160" w:hanging="420"/>
      </w:pPr>
      <w:rPr>
        <w:rFonts w:cs="Times New Roman"/>
      </w:rPr>
    </w:lvl>
    <w:lvl w:ilvl="4" w:tentative="0">
      <w:start w:val="1"/>
      <w:numFmt w:val="lowerLetter"/>
      <w:lvlText w:val="%5)"/>
      <w:lvlJc w:val="left"/>
      <w:pPr>
        <w:ind w:left="2580" w:hanging="420"/>
      </w:pPr>
      <w:rPr>
        <w:rFonts w:cs="Times New Roman"/>
      </w:rPr>
    </w:lvl>
    <w:lvl w:ilvl="5" w:tentative="0">
      <w:start w:val="1"/>
      <w:numFmt w:val="lowerRoman"/>
      <w:lvlText w:val="%6."/>
      <w:lvlJc w:val="right"/>
      <w:pPr>
        <w:ind w:left="3000" w:hanging="420"/>
      </w:pPr>
      <w:rPr>
        <w:rFonts w:cs="Times New Roman"/>
      </w:rPr>
    </w:lvl>
    <w:lvl w:ilvl="6" w:tentative="0">
      <w:start w:val="1"/>
      <w:numFmt w:val="decimal"/>
      <w:lvlText w:val="%7."/>
      <w:lvlJc w:val="left"/>
      <w:pPr>
        <w:ind w:left="3420" w:hanging="420"/>
      </w:pPr>
      <w:rPr>
        <w:rFonts w:cs="Times New Roman"/>
      </w:rPr>
    </w:lvl>
    <w:lvl w:ilvl="7" w:tentative="0">
      <w:start w:val="1"/>
      <w:numFmt w:val="lowerLetter"/>
      <w:lvlText w:val="%8)"/>
      <w:lvlJc w:val="left"/>
      <w:pPr>
        <w:ind w:left="3840" w:hanging="420"/>
      </w:pPr>
      <w:rPr>
        <w:rFonts w:cs="Times New Roman"/>
      </w:rPr>
    </w:lvl>
    <w:lvl w:ilvl="8" w:tentative="0">
      <w:start w:val="1"/>
      <w:numFmt w:val="lowerRoman"/>
      <w:lvlText w:val="%9."/>
      <w:lvlJc w:val="right"/>
      <w:pPr>
        <w:ind w:left="4260" w:hanging="420"/>
      </w:pPr>
      <w:rPr>
        <w:rFonts w:cs="Times New Roman"/>
      </w:rPr>
    </w:lvl>
  </w:abstractNum>
  <w:abstractNum w:abstractNumId="5">
    <w:nsid w:val="00000005"/>
    <w:multiLevelType w:val="multilevel"/>
    <w:tmpl w:val="00000005"/>
    <w:lvl w:ilvl="0" w:tentative="0">
      <w:start w:val="1"/>
      <w:numFmt w:val="decimal"/>
      <w:lvlText w:val="%1)"/>
      <w:lvlJc w:val="left"/>
      <w:pPr>
        <w:ind w:left="900" w:hanging="420"/>
      </w:pPr>
      <w:rPr>
        <w:rFonts w:hint="eastAsia" w:cs="Times New Roman"/>
      </w:rPr>
    </w:lvl>
    <w:lvl w:ilvl="1" w:tentative="0">
      <w:start w:val="1"/>
      <w:numFmt w:val="lowerLetter"/>
      <w:lvlText w:val="%2)"/>
      <w:lvlJc w:val="left"/>
      <w:pPr>
        <w:ind w:left="1320" w:hanging="420"/>
      </w:pPr>
      <w:rPr>
        <w:rFonts w:cs="Times New Roman"/>
      </w:rPr>
    </w:lvl>
    <w:lvl w:ilvl="2" w:tentative="0">
      <w:start w:val="1"/>
      <w:numFmt w:val="lowerRoman"/>
      <w:lvlText w:val="%3."/>
      <w:lvlJc w:val="right"/>
      <w:pPr>
        <w:ind w:left="1740" w:hanging="420"/>
      </w:pPr>
      <w:rPr>
        <w:rFonts w:cs="Times New Roman"/>
      </w:rPr>
    </w:lvl>
    <w:lvl w:ilvl="3" w:tentative="0">
      <w:start w:val="1"/>
      <w:numFmt w:val="decimal"/>
      <w:lvlText w:val="%4."/>
      <w:lvlJc w:val="left"/>
      <w:pPr>
        <w:ind w:left="2160" w:hanging="420"/>
      </w:pPr>
      <w:rPr>
        <w:rFonts w:cs="Times New Roman"/>
      </w:rPr>
    </w:lvl>
    <w:lvl w:ilvl="4" w:tentative="0">
      <w:start w:val="1"/>
      <w:numFmt w:val="lowerLetter"/>
      <w:lvlText w:val="%5)"/>
      <w:lvlJc w:val="left"/>
      <w:pPr>
        <w:ind w:left="2580" w:hanging="420"/>
      </w:pPr>
      <w:rPr>
        <w:rFonts w:cs="Times New Roman"/>
      </w:rPr>
    </w:lvl>
    <w:lvl w:ilvl="5" w:tentative="0">
      <w:start w:val="1"/>
      <w:numFmt w:val="lowerRoman"/>
      <w:lvlText w:val="%6."/>
      <w:lvlJc w:val="right"/>
      <w:pPr>
        <w:ind w:left="3000" w:hanging="420"/>
      </w:pPr>
      <w:rPr>
        <w:rFonts w:cs="Times New Roman"/>
      </w:rPr>
    </w:lvl>
    <w:lvl w:ilvl="6" w:tentative="0">
      <w:start w:val="1"/>
      <w:numFmt w:val="decimal"/>
      <w:lvlText w:val="%7."/>
      <w:lvlJc w:val="left"/>
      <w:pPr>
        <w:ind w:left="3420" w:hanging="420"/>
      </w:pPr>
      <w:rPr>
        <w:rFonts w:cs="Times New Roman"/>
      </w:rPr>
    </w:lvl>
    <w:lvl w:ilvl="7" w:tentative="0">
      <w:start w:val="1"/>
      <w:numFmt w:val="lowerLetter"/>
      <w:lvlText w:val="%8)"/>
      <w:lvlJc w:val="left"/>
      <w:pPr>
        <w:ind w:left="3840" w:hanging="420"/>
      </w:pPr>
      <w:rPr>
        <w:rFonts w:cs="Times New Roman"/>
      </w:rPr>
    </w:lvl>
    <w:lvl w:ilvl="8" w:tentative="0">
      <w:start w:val="1"/>
      <w:numFmt w:val="lowerRoman"/>
      <w:lvlText w:val="%9."/>
      <w:lvlJc w:val="right"/>
      <w:pPr>
        <w:ind w:left="4260" w:hanging="420"/>
      </w:pPr>
      <w:rPr>
        <w:rFonts w:cs="Times New Roman"/>
      </w:rPr>
    </w:lvl>
  </w:abstractNum>
  <w:abstractNum w:abstractNumId="6">
    <w:nsid w:val="00000006"/>
    <w:multiLevelType w:val="multilevel"/>
    <w:tmpl w:val="00000006"/>
    <w:lvl w:ilvl="0" w:tentative="0">
      <w:start w:val="1"/>
      <w:numFmt w:val="decimal"/>
      <w:pStyle w:val="4"/>
      <w:lvlText w:val="%1"/>
      <w:lvlJc w:val="left"/>
      <w:pPr>
        <w:tabs>
          <w:tab w:val="left" w:pos="432"/>
        </w:tabs>
        <w:ind w:left="432" w:hanging="432"/>
      </w:pPr>
      <w:rPr>
        <w:rFonts w:cs="Times New Roman"/>
      </w:rPr>
    </w:lvl>
    <w:lvl w:ilvl="1" w:tentative="0">
      <w:start w:val="1"/>
      <w:numFmt w:val="decimal"/>
      <w:lvlText w:val="%1.%2"/>
      <w:lvlJc w:val="left"/>
      <w:pPr>
        <w:tabs>
          <w:tab w:val="left" w:pos="1116"/>
        </w:tabs>
        <w:ind w:left="1116" w:hanging="576"/>
      </w:pPr>
      <w:rPr>
        <w:rFonts w:cs="Times New Roman"/>
      </w:rPr>
    </w:lvl>
    <w:lvl w:ilvl="2" w:tentative="0">
      <w:start w:val="1"/>
      <w:numFmt w:val="decimal"/>
      <w:lvlText w:val="%1.%2.%3"/>
      <w:lvlJc w:val="left"/>
      <w:pPr>
        <w:tabs>
          <w:tab w:val="left" w:pos="1200"/>
        </w:tabs>
        <w:ind w:left="1200" w:hanging="720"/>
      </w:pPr>
      <w:rPr>
        <w:rFonts w:cs="Times New Roman"/>
        <w:b w:val="0"/>
      </w:rPr>
    </w:lvl>
    <w:lvl w:ilvl="3" w:tentative="0">
      <w:start w:val="1"/>
      <w:numFmt w:val="decimal"/>
      <w:lvlText w:val="%1.%2.%3.%4"/>
      <w:lvlJc w:val="left"/>
      <w:pPr>
        <w:tabs>
          <w:tab w:val="left" w:pos="1006"/>
        </w:tabs>
        <w:ind w:left="1006" w:hanging="864"/>
      </w:pPr>
      <w:rPr>
        <w:rFonts w:hint="default" w:ascii="Times New Roman" w:hAnsi="Times New Roman" w:cs="Times New Roman"/>
      </w:rPr>
    </w:lvl>
    <w:lvl w:ilvl="4" w:tentative="0">
      <w:start w:val="1"/>
      <w:numFmt w:val="decimal"/>
      <w:lvlText w:val="%1.%2.%3.%4.%5"/>
      <w:lvlJc w:val="left"/>
      <w:pPr>
        <w:tabs>
          <w:tab w:val="left" w:pos="1008"/>
        </w:tabs>
        <w:ind w:left="1008" w:hanging="1008"/>
      </w:pPr>
      <w:rPr>
        <w:rFonts w:cs="Times New Roman"/>
      </w:rPr>
    </w:lvl>
    <w:lvl w:ilvl="5" w:tentative="0">
      <w:start w:val="1"/>
      <w:numFmt w:val="decimal"/>
      <w:lvlText w:val="%1.%2.%3.%4.%5.%6"/>
      <w:lvlJc w:val="left"/>
      <w:pPr>
        <w:tabs>
          <w:tab w:val="left" w:pos="1152"/>
        </w:tabs>
        <w:ind w:left="1152" w:hanging="1152"/>
      </w:pPr>
      <w:rPr>
        <w:rFonts w:cs="Times New Roman"/>
      </w:rPr>
    </w:lvl>
    <w:lvl w:ilvl="6" w:tentative="0">
      <w:start w:val="1"/>
      <w:numFmt w:val="decimal"/>
      <w:lvlText w:val="%1.%2.%3.%4.%5.%6.%7"/>
      <w:lvlJc w:val="left"/>
      <w:pPr>
        <w:tabs>
          <w:tab w:val="left" w:pos="1296"/>
        </w:tabs>
        <w:ind w:left="1296" w:hanging="1296"/>
      </w:pPr>
      <w:rPr>
        <w:rFonts w:cs="Times New Roman"/>
      </w:rPr>
    </w:lvl>
    <w:lvl w:ilvl="7" w:tentative="0">
      <w:start w:val="1"/>
      <w:numFmt w:val="decimal"/>
      <w:lvlText w:val="%1.%2.%3.%4.%5.%6.%7.%8"/>
      <w:lvlJc w:val="left"/>
      <w:pPr>
        <w:tabs>
          <w:tab w:val="left" w:pos="1440"/>
        </w:tabs>
        <w:ind w:left="1440" w:hanging="1440"/>
      </w:pPr>
      <w:rPr>
        <w:rFonts w:cs="Times New Roman"/>
      </w:rPr>
    </w:lvl>
    <w:lvl w:ilvl="8" w:tentative="0">
      <w:start w:val="1"/>
      <w:numFmt w:val="decimal"/>
      <w:lvlText w:val="%1.%2.%3.%4.%5.%6.%7.%8.%9"/>
      <w:lvlJc w:val="left"/>
      <w:pPr>
        <w:tabs>
          <w:tab w:val="left" w:pos="1584"/>
        </w:tabs>
        <w:ind w:left="1584" w:hanging="1584"/>
      </w:pPr>
      <w:rPr>
        <w:rFonts w:cs="Times New Roman"/>
      </w:rPr>
    </w:lvl>
  </w:abstractNum>
  <w:abstractNum w:abstractNumId="7">
    <w:nsid w:val="42B14768"/>
    <w:multiLevelType w:val="singleLevel"/>
    <w:tmpl w:val="42B14768"/>
    <w:lvl w:ilvl="0" w:tentative="0">
      <w:start w:val="1"/>
      <w:numFmt w:val="decimal"/>
      <w:suff w:val="nothing"/>
      <w:lvlText w:val="（%1）"/>
      <w:lvlJc w:val="left"/>
    </w:lvl>
  </w:abstractNum>
  <w:abstractNum w:abstractNumId="8">
    <w:nsid w:val="6F2D6928"/>
    <w:multiLevelType w:val="singleLevel"/>
    <w:tmpl w:val="6F2D6928"/>
    <w:lvl w:ilvl="0" w:tentative="0">
      <w:start w:val="1"/>
      <w:numFmt w:val="decimal"/>
      <w:suff w:val="nothing"/>
      <w:lvlText w:val="（%1）"/>
      <w:lvlJc w:val="left"/>
    </w:lvl>
  </w:abstractNum>
  <w:num w:numId="1">
    <w:abstractNumId w:val="6"/>
  </w:num>
  <w:num w:numId="2">
    <w:abstractNumId w:val="0"/>
  </w:num>
  <w:num w:numId="3">
    <w:abstractNumId w:val="7"/>
  </w:num>
  <w:num w:numId="4">
    <w:abstractNumId w:val="8"/>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6B0AA2"/>
    <w:rsid w:val="0003776D"/>
    <w:rsid w:val="001B4389"/>
    <w:rsid w:val="001D392E"/>
    <w:rsid w:val="00224C82"/>
    <w:rsid w:val="002F2AB3"/>
    <w:rsid w:val="003676AC"/>
    <w:rsid w:val="0039631F"/>
    <w:rsid w:val="00454FD3"/>
    <w:rsid w:val="004836F0"/>
    <w:rsid w:val="00591D1D"/>
    <w:rsid w:val="005A01B6"/>
    <w:rsid w:val="0060082F"/>
    <w:rsid w:val="00671386"/>
    <w:rsid w:val="00822B34"/>
    <w:rsid w:val="00852FA3"/>
    <w:rsid w:val="00912BF5"/>
    <w:rsid w:val="00A748BF"/>
    <w:rsid w:val="00B245BA"/>
    <w:rsid w:val="00BC626A"/>
    <w:rsid w:val="00BF0D66"/>
    <w:rsid w:val="00D2600A"/>
    <w:rsid w:val="00D857B9"/>
    <w:rsid w:val="00DB66E2"/>
    <w:rsid w:val="00DE0720"/>
    <w:rsid w:val="00DF4421"/>
    <w:rsid w:val="00E40EB9"/>
    <w:rsid w:val="00FB4C47"/>
    <w:rsid w:val="00FC4EB4"/>
    <w:rsid w:val="00FE29EF"/>
    <w:rsid w:val="03122A29"/>
    <w:rsid w:val="084A72A4"/>
    <w:rsid w:val="08836BD0"/>
    <w:rsid w:val="0B6B0AA2"/>
    <w:rsid w:val="101C3B92"/>
    <w:rsid w:val="144E4F25"/>
    <w:rsid w:val="14B52D81"/>
    <w:rsid w:val="1CDB48A6"/>
    <w:rsid w:val="20DB2DF3"/>
    <w:rsid w:val="26A06E73"/>
    <w:rsid w:val="280F0449"/>
    <w:rsid w:val="28D8241A"/>
    <w:rsid w:val="2971700B"/>
    <w:rsid w:val="2C172B7F"/>
    <w:rsid w:val="2C5350BD"/>
    <w:rsid w:val="2D16021E"/>
    <w:rsid w:val="31C74937"/>
    <w:rsid w:val="3A44796F"/>
    <w:rsid w:val="3AE174C2"/>
    <w:rsid w:val="3FE71217"/>
    <w:rsid w:val="4C3F6D4E"/>
    <w:rsid w:val="501F67AB"/>
    <w:rsid w:val="523E5985"/>
    <w:rsid w:val="53165C44"/>
    <w:rsid w:val="5C042326"/>
    <w:rsid w:val="6E4E0E3F"/>
    <w:rsid w:val="72A84D33"/>
    <w:rsid w:val="7407737B"/>
    <w:rsid w:val="794C090E"/>
    <w:rsid w:val="7B114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Calibri" w:hAnsi="Calibri" w:eastAsia="宋体" w:cs="黑体"/>
      <w:kern w:val="2"/>
      <w:sz w:val="24"/>
      <w:szCs w:val="22"/>
      <w:lang w:val="en-US" w:eastAsia="zh-CN" w:bidi="ar-SA"/>
    </w:rPr>
  </w:style>
  <w:style w:type="paragraph" w:styleId="4">
    <w:name w:val="heading 1"/>
    <w:basedOn w:val="1"/>
    <w:next w:val="1"/>
    <w:qFormat/>
    <w:uiPriority w:val="0"/>
    <w:pPr>
      <w:keepNext/>
      <w:keepLines/>
      <w:numPr>
        <w:ilvl w:val="0"/>
        <w:numId w:val="1"/>
      </w:numPr>
      <w:spacing w:before="340" w:after="330" w:line="578" w:lineRule="auto"/>
      <w:ind w:firstLine="0" w:firstLineChars="0"/>
      <w:outlineLvl w:val="0"/>
    </w:pPr>
    <w:rPr>
      <w:rFonts w:ascii="Times New Roman" w:hAnsi="Times New Roman" w:cs="Times New Roman"/>
      <w:b/>
      <w:bCs/>
      <w:kern w:val="44"/>
      <w:sz w:val="44"/>
      <w:szCs w:val="44"/>
    </w:rPr>
  </w:style>
  <w:style w:type="paragraph" w:styleId="5">
    <w:name w:val="heading 2"/>
    <w:basedOn w:val="1"/>
    <w:next w:val="1"/>
    <w:qFormat/>
    <w:uiPriority w:val="0"/>
    <w:pPr>
      <w:keepNext/>
      <w:keepLines/>
      <w:spacing w:before="260" w:after="260" w:line="416" w:lineRule="auto"/>
      <w:ind w:firstLine="0" w:firstLineChars="0"/>
      <w:outlineLvl w:val="1"/>
    </w:pPr>
    <w:rPr>
      <w:rFonts w:ascii="Calibri Light" w:hAnsi="Calibri Light" w:cs="Times New Roman"/>
      <w:b/>
      <w:bCs/>
      <w:sz w:val="32"/>
      <w:szCs w:val="32"/>
    </w:rPr>
  </w:style>
  <w:style w:type="paragraph" w:styleId="6">
    <w:name w:val="heading 3"/>
    <w:basedOn w:val="1"/>
    <w:next w:val="1"/>
    <w:link w:val="20"/>
    <w:semiHidden/>
    <w:unhideWhenUsed/>
    <w:qFormat/>
    <w:uiPriority w:val="0"/>
    <w:pPr>
      <w:keepNext/>
      <w:keepLines/>
      <w:spacing w:before="260" w:after="260" w:line="416" w:lineRule="auto"/>
      <w:outlineLvl w:val="2"/>
    </w:pPr>
    <w:rPr>
      <w:b/>
      <w:bCs/>
      <w:sz w:val="32"/>
      <w:szCs w:val="32"/>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99"/>
    <w:pPr>
      <w:spacing w:after="120"/>
    </w:pPr>
  </w:style>
  <w:style w:type="paragraph" w:styleId="3">
    <w:name w:val="Title"/>
    <w:basedOn w:val="1"/>
    <w:next w:val="1"/>
    <w:qFormat/>
    <w:uiPriority w:val="0"/>
    <w:pPr>
      <w:spacing w:before="240" w:after="60"/>
      <w:jc w:val="center"/>
      <w:outlineLvl w:val="0"/>
    </w:pPr>
    <w:rPr>
      <w:rFonts w:ascii="Cambria" w:hAnsi="Cambria"/>
      <w:b/>
      <w:bCs/>
      <w:sz w:val="32"/>
      <w:szCs w:val="32"/>
    </w:rPr>
  </w:style>
  <w:style w:type="paragraph" w:styleId="7">
    <w:name w:val="annotation text"/>
    <w:basedOn w:val="1"/>
    <w:qFormat/>
    <w:uiPriority w:val="0"/>
    <w:pPr>
      <w:jc w:val="left"/>
    </w:pPr>
  </w:style>
  <w:style w:type="paragraph" w:styleId="8">
    <w:name w:val="footer"/>
    <w:basedOn w:val="1"/>
    <w:qFormat/>
    <w:uiPriority w:val="0"/>
    <w:pPr>
      <w:tabs>
        <w:tab w:val="center" w:pos="4153"/>
        <w:tab w:val="right" w:pos="8306"/>
      </w:tabs>
      <w:snapToGrid w:val="0"/>
      <w:jc w:val="left"/>
    </w:pPr>
    <w:rPr>
      <w:rFonts w:ascii="Times New Roman" w:hAnsi="Times New Roman" w:cs="Times New Roman"/>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rFonts w:ascii="Times New Roman" w:hAnsi="Times New Roman" w:cs="Times New Roman"/>
      <w:sz w:val="18"/>
      <w:szCs w:val="18"/>
    </w:rPr>
  </w:style>
  <w:style w:type="paragraph" w:styleId="10">
    <w:name w:val="toc 1"/>
    <w:next w:val="1"/>
    <w:qFormat/>
    <w:uiPriority w:val="39"/>
    <w:pPr>
      <w:spacing w:beforeLines="38" w:afterLines="38"/>
    </w:pPr>
    <w:rPr>
      <w:rFonts w:ascii="Times New Roman" w:hAnsi="Times New Roman" w:eastAsia="宋体" w:cs="Times New Roman"/>
      <w:b/>
      <w:bCs/>
      <w:lang w:val="en-US" w:eastAsia="zh-CN" w:bidi="ar-SA"/>
    </w:rPr>
  </w:style>
  <w:style w:type="paragraph" w:styleId="11">
    <w:name w:val="toc 2"/>
    <w:basedOn w:val="1"/>
    <w:next w:val="1"/>
    <w:qFormat/>
    <w:uiPriority w:val="39"/>
    <w:pPr>
      <w:ind w:left="210"/>
    </w:pPr>
    <w:rPr>
      <w:smallCaps/>
    </w:rPr>
  </w:style>
  <w:style w:type="paragraph" w:styleId="12">
    <w:name w:val="Normal (Web)"/>
    <w:basedOn w:val="1"/>
    <w:unhideWhenUsed/>
    <w:qFormat/>
    <w:uiPriority w:val="99"/>
    <w:pPr>
      <w:widowControl/>
      <w:spacing w:before="100" w:beforeAutospacing="1" w:after="100" w:afterAutospacing="1" w:line="240" w:lineRule="auto"/>
      <w:ind w:firstLine="0" w:firstLineChars="0"/>
      <w:jc w:val="left"/>
    </w:pPr>
    <w:rPr>
      <w:rFonts w:ascii="宋体" w:hAnsi="宋体" w:cs="宋体"/>
      <w:kern w:val="0"/>
      <w:szCs w:val="24"/>
    </w:rPr>
  </w:style>
  <w:style w:type="character" w:styleId="15">
    <w:name w:val="Strong"/>
    <w:basedOn w:val="14"/>
    <w:qFormat/>
    <w:uiPriority w:val="22"/>
    <w:rPr>
      <w:b/>
      <w:bCs/>
    </w:rPr>
  </w:style>
  <w:style w:type="paragraph" w:customStyle="1" w:styleId="16">
    <w:name w:val="标准正文1 首行缩进:  0.85 厘米 + 首行缩进:  2 字符"/>
    <w:basedOn w:val="1"/>
    <w:qFormat/>
    <w:uiPriority w:val="0"/>
    <w:pPr>
      <w:spacing w:line="300" w:lineRule="auto"/>
      <w:jc w:val="left"/>
    </w:pPr>
    <w:rPr>
      <w:rFonts w:ascii="Times New Roman" w:hAnsi="Times New Roman" w:eastAsia="仿宋_GB2312" w:cs="宋体"/>
      <w:szCs w:val="20"/>
    </w:rPr>
  </w:style>
  <w:style w:type="paragraph" w:customStyle="1" w:styleId="17">
    <w:name w:val="List Paragraph1"/>
    <w:basedOn w:val="1"/>
    <w:qFormat/>
    <w:uiPriority w:val="0"/>
    <w:pPr>
      <w:ind w:firstLine="420"/>
    </w:pPr>
    <w:rPr>
      <w:rFonts w:ascii="Times New Roman" w:hAnsi="Times New Roman" w:cs="Times New Roman"/>
    </w:rPr>
  </w:style>
  <w:style w:type="paragraph" w:customStyle="1" w:styleId="18">
    <w:name w:val="列出段落1"/>
    <w:basedOn w:val="1"/>
    <w:qFormat/>
    <w:uiPriority w:val="0"/>
    <w:pPr>
      <w:ind w:firstLine="420"/>
    </w:pPr>
    <w:rPr>
      <w:rFonts w:ascii="Times New Roman" w:hAnsi="Times New Roman" w:cs="Times New Roman"/>
    </w:rPr>
  </w:style>
  <w:style w:type="paragraph" w:customStyle="1" w:styleId="19">
    <w:name w:val="BodyText"/>
    <w:basedOn w:val="1"/>
    <w:next w:val="3"/>
    <w:qFormat/>
    <w:uiPriority w:val="0"/>
    <w:pPr>
      <w:spacing w:after="120"/>
      <w:textAlignment w:val="baseline"/>
    </w:pPr>
  </w:style>
  <w:style w:type="character" w:customStyle="1" w:styleId="20">
    <w:name w:val="标题 3 字符"/>
    <w:basedOn w:val="14"/>
    <w:link w:val="6"/>
    <w:semiHidden/>
    <w:qFormat/>
    <w:uiPriority w:val="0"/>
    <w:rPr>
      <w:rFonts w:ascii="Calibri" w:hAnsi="Calibri" w:eastAsia="宋体" w:cs="黑体"/>
      <w:b/>
      <w:bCs/>
      <w:kern w:val="2"/>
      <w:sz w:val="32"/>
      <w:szCs w:val="32"/>
    </w:rPr>
  </w:style>
  <w:style w:type="paragraph" w:styleId="21">
    <w:name w:val="List Paragraph"/>
    <w:basedOn w:val="1"/>
    <w:qFormat/>
    <w:uiPriority w:val="99"/>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1098</Words>
  <Characters>6263</Characters>
  <Lines>52</Lines>
  <Paragraphs>14</Paragraphs>
  <TotalTime>6</TotalTime>
  <ScaleCrop>false</ScaleCrop>
  <LinksUpToDate>false</LinksUpToDate>
  <CharactersWithSpaces>7347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2025-10-29T00:02:00Z</dcterms:created>
  <dc:creator>嘧芮哆</dc:creator>
  <cp:lastModifiedBy>兰宇飞</cp:lastModifiedBy>
  <dcterms:modified xsi:type="dcterms:W3CDTF">2026-07-27T09:23:48Z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93263D67B30F4F99A471CE468D0502A9</vt:lpwstr>
  </property>
  <property fmtid="{D5CDD505-2E9C-101B-9397-08002B2CF9AE}" pid="4" name="KSOTemplateDocerSaveRecord">
    <vt:lpwstr>eyJoZGlkIjoiM2NmNDBkMDU1OGI1MDE5NjQxNjEwZWFmM2U2ZTc4MTUiLCJ1c2VySWQiOiI0NTk0NjI5OTgifQ==</vt:lpwstr>
  </property>
</Properties>
</file>