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EC6B6">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default" w:asciiTheme="minorEastAsia" w:hAnsiTheme="minorEastAsia" w:eastAsiaTheme="minorEastAsia" w:cstheme="minorEastAsia"/>
          <w:b/>
          <w:bCs/>
          <w:snapToGrid w:val="0"/>
          <w:color w:val="auto"/>
          <w:kern w:val="0"/>
          <w:sz w:val="28"/>
          <w:szCs w:val="28"/>
          <w:highlight w:val="none"/>
          <w:u w:val="single"/>
          <w:lang w:val="en-US" w:eastAsia="zh-CN"/>
        </w:rPr>
        <w:t>广州恒运新型混合储能示范电站项目配套间隔工程监理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14:paraId="3D4D3834">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14:paraId="2AF1622F">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14:paraId="4437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14:paraId="19F5B37C">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14:paraId="3538A51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14:paraId="74AF1BA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14:paraId="73AC7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F11426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14:paraId="2BC7C92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14:paraId="151BC288">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rPr>
            </w:pPr>
            <w:r>
              <w:rPr>
                <w:rFonts w:hint="eastAsia" w:ascii="宋体" w:hAnsi="宋体" w:eastAsia="宋体" w:cs="宋体"/>
                <w:b w:val="0"/>
                <w:bCs w:val="0"/>
                <w:snapToGrid w:val="0"/>
                <w:color w:val="auto"/>
                <w:kern w:val="0"/>
                <w:sz w:val="24"/>
                <w:szCs w:val="24"/>
                <w:highlight w:val="none"/>
                <w:u w:val="none"/>
                <w:vertAlign w:val="baseline"/>
                <w:lang w:val="en-US" w:eastAsia="zh-CN"/>
              </w:rPr>
              <w:t>广供电基〔2026〕27 号</w:t>
            </w:r>
          </w:p>
        </w:tc>
      </w:tr>
      <w:tr w14:paraId="0256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6BDB94B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14:paraId="30F8964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14:paraId="299E244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rPr>
            </w:pPr>
            <w:r>
              <w:rPr>
                <w:rFonts w:hint="eastAsia" w:ascii="宋体" w:hAnsi="宋体" w:eastAsia="宋体" w:cs="宋体"/>
                <w:b w:val="0"/>
                <w:bCs w:val="0"/>
                <w:snapToGrid w:val="0"/>
                <w:color w:val="auto"/>
                <w:kern w:val="0"/>
                <w:sz w:val="24"/>
                <w:szCs w:val="24"/>
                <w:highlight w:val="none"/>
                <w:u w:val="none"/>
                <w:vertAlign w:val="baseline"/>
                <w:lang w:val="en-US" w:eastAsia="zh-CN"/>
              </w:rPr>
              <w:t>/</w:t>
            </w:r>
          </w:p>
        </w:tc>
      </w:tr>
      <w:tr w14:paraId="7478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74DFC68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14:paraId="45533D5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14:paraId="085B58A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rPr>
            </w:pPr>
            <w:r>
              <w:rPr>
                <w:rFonts w:hint="eastAsia" w:ascii="宋体" w:hAnsi="宋体" w:eastAsia="宋体" w:cs="宋体"/>
                <w:b w:val="0"/>
                <w:bCs w:val="0"/>
                <w:snapToGrid w:val="0"/>
                <w:color w:val="auto"/>
                <w:kern w:val="0"/>
                <w:sz w:val="24"/>
                <w:szCs w:val="24"/>
                <w:highlight w:val="none"/>
                <w:u w:val="none"/>
                <w:vertAlign w:val="baseline"/>
                <w:lang w:val="en-US" w:eastAsia="zh-CN"/>
              </w:rPr>
              <w:t>广供电资〔2026〕18 号</w:t>
            </w:r>
          </w:p>
        </w:tc>
      </w:tr>
      <w:tr w14:paraId="6F225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BA55FC5">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14:paraId="7F904D65">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14:paraId="21411BCB">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rPr>
            </w:pPr>
            <w:r>
              <w:rPr>
                <w:rFonts w:hint="eastAsia" w:ascii="宋体" w:hAnsi="宋体" w:eastAsia="宋体" w:cs="宋体"/>
                <w:b w:val="0"/>
                <w:bCs w:val="0"/>
                <w:snapToGrid w:val="0"/>
                <w:color w:val="auto"/>
                <w:kern w:val="0"/>
                <w:sz w:val="24"/>
                <w:szCs w:val="24"/>
                <w:highlight w:val="none"/>
                <w:u w:val="none"/>
                <w:vertAlign w:val="baseline"/>
                <w:lang w:val="en-US" w:eastAsia="zh-CN"/>
              </w:rPr>
              <w:t>广东电网有限责任公司广州供电局</w:t>
            </w:r>
          </w:p>
        </w:tc>
      </w:tr>
      <w:tr w14:paraId="57680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112F6AE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14:paraId="34BC6D5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14:paraId="4453D6E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snapToGrid w:val="0"/>
                <w:color w:val="auto"/>
                <w:kern w:val="0"/>
                <w:sz w:val="24"/>
                <w:szCs w:val="24"/>
                <w:highlight w:val="none"/>
                <w:u w:val="none"/>
                <w:vertAlign w:val="baseline"/>
                <w:lang w:val="en-US" w:eastAsia="zh-CN"/>
              </w:rPr>
              <w:t>广州市 黄埔区</w:t>
            </w:r>
          </w:p>
        </w:tc>
      </w:tr>
      <w:tr w14:paraId="5726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14:paraId="7D173AE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14:paraId="50D6921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14:paraId="535B546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snapToGrid w:val="0"/>
                <w:color w:val="auto"/>
                <w:kern w:val="0"/>
                <w:sz w:val="24"/>
                <w:szCs w:val="24"/>
                <w:highlight w:val="none"/>
                <w:u w:val="none"/>
                <w:vertAlign w:val="baseline"/>
                <w:lang w:val="en-US" w:eastAsia="zh-CN"/>
              </w:rPr>
              <w:t>广州市电力工程设计院有限公司</w:t>
            </w:r>
          </w:p>
        </w:tc>
      </w:tr>
      <w:tr w14:paraId="7CC8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14:paraId="201291F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14:paraId="20CD878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14:paraId="116A248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宋体" w:hAnsi="宋体" w:eastAsia="宋体" w:cs="宋体"/>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snapToGrid w:val="0"/>
                <w:color w:val="auto"/>
                <w:kern w:val="0"/>
                <w:sz w:val="24"/>
                <w:szCs w:val="24"/>
                <w:highlight w:val="none"/>
                <w:u w:val="single"/>
                <w:vertAlign w:val="baseline"/>
                <w:lang w:val="en-US" w:eastAsia="zh-CN"/>
              </w:rPr>
              <w:t>合同签订之日起182日历天，实际工期以开工报告、竣工报告为准。</w:t>
            </w:r>
          </w:p>
        </w:tc>
      </w:tr>
    </w:tbl>
    <w:p w14:paraId="79D5337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14:paraId="5DD80F3C">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4D16D501">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1.广州恒运新型混合储能项目配套间隔工程（对侧220</w:t>
      </w:r>
      <w:r>
        <w:rPr>
          <w:rFonts w:hint="eastAsia" w:asciiTheme="minorEastAsia" w:hAnsiTheme="minorEastAsia" w:eastAsiaTheme="minorEastAsia" w:cstheme="minorEastAsia"/>
          <w:color w:val="auto"/>
          <w:kern w:val="2"/>
          <w:sz w:val="21"/>
          <w:szCs w:val="21"/>
          <w:highlight w:val="none"/>
          <w:lang w:val="en-US" w:eastAsia="zh-CN" w:bidi="ar-SA"/>
        </w:rPr>
        <w:t>千伏</w:t>
      </w:r>
      <w:r>
        <w:rPr>
          <w:rFonts w:hint="default" w:asciiTheme="minorEastAsia" w:hAnsiTheme="minorEastAsia" w:eastAsiaTheme="minorEastAsia" w:cstheme="minorEastAsia"/>
          <w:color w:val="auto"/>
          <w:kern w:val="2"/>
          <w:sz w:val="21"/>
          <w:szCs w:val="21"/>
          <w:highlight w:val="none"/>
          <w:lang w:val="en-US" w:eastAsia="zh-CN" w:bidi="ar-SA"/>
        </w:rPr>
        <w:t>恒德站）</w:t>
      </w:r>
    </w:p>
    <w:p w14:paraId="562FBD5B">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220</w:t>
      </w:r>
      <w:r>
        <w:rPr>
          <w:rFonts w:hint="eastAsia" w:asciiTheme="minorEastAsia" w:hAnsiTheme="minorEastAsia" w:eastAsiaTheme="minorEastAsia" w:cstheme="minorEastAsia"/>
          <w:color w:val="auto"/>
          <w:kern w:val="2"/>
          <w:sz w:val="21"/>
          <w:szCs w:val="21"/>
          <w:highlight w:val="none"/>
          <w:lang w:val="en-US" w:eastAsia="zh-CN" w:bidi="ar-SA"/>
        </w:rPr>
        <w:t>千伏</w:t>
      </w:r>
      <w:r>
        <w:rPr>
          <w:rFonts w:hint="default" w:asciiTheme="minorEastAsia" w:hAnsiTheme="minorEastAsia" w:eastAsiaTheme="minorEastAsia" w:cstheme="minorEastAsia"/>
          <w:color w:val="auto"/>
          <w:kern w:val="2"/>
          <w:sz w:val="21"/>
          <w:szCs w:val="21"/>
          <w:highlight w:val="none"/>
          <w:lang w:val="en-US" w:eastAsia="zh-CN" w:bidi="ar-SA"/>
        </w:rPr>
        <w:t>恒德站前期建设220</w:t>
      </w:r>
      <w:r>
        <w:rPr>
          <w:rFonts w:hint="eastAsia" w:asciiTheme="minorEastAsia" w:hAnsiTheme="minorEastAsia" w:eastAsiaTheme="minorEastAsia" w:cstheme="minorEastAsia"/>
          <w:color w:val="auto"/>
          <w:kern w:val="2"/>
          <w:sz w:val="21"/>
          <w:szCs w:val="21"/>
          <w:highlight w:val="none"/>
          <w:lang w:val="en-US" w:eastAsia="zh-CN" w:bidi="ar-SA"/>
        </w:rPr>
        <w:t>千伏</w:t>
      </w:r>
      <w:r>
        <w:rPr>
          <w:rFonts w:hint="default" w:asciiTheme="minorEastAsia" w:hAnsiTheme="minorEastAsia" w:eastAsiaTheme="minorEastAsia" w:cstheme="minorEastAsia"/>
          <w:color w:val="auto"/>
          <w:kern w:val="2"/>
          <w:sz w:val="21"/>
          <w:szCs w:val="21"/>
          <w:highlight w:val="none"/>
          <w:lang w:val="en-US" w:eastAsia="zh-CN" w:bidi="ar-SA"/>
        </w:rPr>
        <w:t>出线6回，未建设主变压器、20</w:t>
      </w:r>
      <w:r>
        <w:rPr>
          <w:rFonts w:hint="eastAsia" w:asciiTheme="minorEastAsia" w:hAnsiTheme="minorEastAsia" w:eastAsiaTheme="minorEastAsia" w:cstheme="minorEastAsia"/>
          <w:color w:val="auto"/>
          <w:kern w:val="2"/>
          <w:sz w:val="21"/>
          <w:szCs w:val="21"/>
          <w:highlight w:val="none"/>
          <w:lang w:val="en-US" w:eastAsia="zh-CN" w:bidi="ar-SA"/>
        </w:rPr>
        <w:t>千伏</w:t>
      </w:r>
      <w:r>
        <w:rPr>
          <w:rFonts w:hint="default" w:asciiTheme="minorEastAsia" w:hAnsiTheme="minorEastAsia" w:eastAsiaTheme="minorEastAsia" w:cstheme="minorEastAsia"/>
          <w:color w:val="auto"/>
          <w:kern w:val="2"/>
          <w:sz w:val="21"/>
          <w:szCs w:val="21"/>
          <w:highlight w:val="none"/>
          <w:lang w:val="en-US" w:eastAsia="zh-CN" w:bidi="ar-SA"/>
        </w:rPr>
        <w:t>出线及无功补偿装置，本期扩建220</w:t>
      </w:r>
      <w:r>
        <w:rPr>
          <w:rFonts w:hint="eastAsia" w:asciiTheme="minorEastAsia" w:hAnsiTheme="minorEastAsia" w:eastAsiaTheme="minorEastAsia" w:cstheme="minorEastAsia"/>
          <w:color w:val="auto"/>
          <w:kern w:val="2"/>
          <w:sz w:val="21"/>
          <w:szCs w:val="21"/>
          <w:highlight w:val="none"/>
          <w:lang w:val="en-US" w:eastAsia="zh-CN" w:bidi="ar-SA"/>
        </w:rPr>
        <w:t>千伏</w:t>
      </w:r>
      <w:r>
        <w:rPr>
          <w:rFonts w:hint="default" w:asciiTheme="minorEastAsia" w:hAnsiTheme="minorEastAsia" w:eastAsiaTheme="minorEastAsia" w:cstheme="minorEastAsia"/>
          <w:color w:val="auto"/>
          <w:kern w:val="2"/>
          <w:sz w:val="21"/>
          <w:szCs w:val="21"/>
          <w:highlight w:val="none"/>
          <w:lang w:val="en-US" w:eastAsia="zh-CN" w:bidi="ar-SA"/>
        </w:rPr>
        <w:t>GIS出线间隔1个。</w:t>
      </w:r>
    </w:p>
    <w:p w14:paraId="122808A2">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2.</w:t>
      </w:r>
      <w:r>
        <w:rPr>
          <w:rFonts w:hint="eastAsia" w:asciiTheme="minorEastAsia" w:hAnsiTheme="minorEastAsia" w:eastAsiaTheme="minorEastAsia" w:cstheme="minorEastAsia"/>
          <w:color w:val="auto"/>
          <w:kern w:val="2"/>
          <w:sz w:val="21"/>
          <w:szCs w:val="21"/>
          <w:highlight w:val="none"/>
          <w:lang w:val="en-US" w:eastAsia="zh-CN" w:bidi="ar-SA"/>
        </w:rPr>
        <w:t>广州恒运新型混合储能项目配套间隔工程（通信设备工程）</w:t>
      </w:r>
    </w:p>
    <w:p w14:paraId="72839ADD">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恒德站新增2块传输新A网L-64.2光接口板和2块传输新网B设备L.64.2 SFP光模块。茶山及开元站各新增调度数据A网1块E1接口板。</w:t>
      </w:r>
    </w:p>
    <w:p w14:paraId="4D04F866">
      <w:pPr>
        <w:pStyle w:val="2"/>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具体建设规模以施工图纸为准。</w:t>
      </w:r>
    </w:p>
    <w:p w14:paraId="4A43C8E8">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default" w:asciiTheme="minorEastAsia" w:hAnsiTheme="minorEastAsia" w:eastAsiaTheme="minorEastAsia" w:cstheme="minorEastAsia"/>
          <w:color w:val="auto"/>
          <w:kern w:val="2"/>
          <w:sz w:val="21"/>
          <w:szCs w:val="21"/>
          <w:highlight w:val="none"/>
          <w:lang w:val="en-US" w:eastAsia="zh-CN" w:bidi="ar-SA"/>
        </w:rPr>
      </w:pPr>
    </w:p>
    <w:p w14:paraId="135D315D">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14:paraId="791E28A4">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hAnsi="宋体"/>
          <w:strike w:val="0"/>
          <w:dstrike w:val="0"/>
          <w:color w:val="auto"/>
          <w:sz w:val="24"/>
          <w:szCs w:val="24"/>
          <w:highlight w:val="none"/>
          <w:u w:val="single"/>
        </w:rPr>
        <w:t>勘察设计、</w:t>
      </w:r>
      <w:r>
        <w:rPr>
          <w:rFonts w:hint="eastAsia" w:hAnsi="宋体"/>
          <w:color w:val="auto"/>
          <w:sz w:val="24"/>
          <w:szCs w:val="24"/>
          <w:highlight w:val="none"/>
          <w:u w:val="single"/>
        </w:rPr>
        <w:t>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14:paraId="6297F701">
      <w:pPr>
        <w:rPr>
          <w:rFonts w:hint="eastAsia"/>
          <w:highlight w:val="none"/>
          <w:lang w:val="en-US" w:eastAsia="zh-CN"/>
        </w:rPr>
      </w:pPr>
    </w:p>
    <w:p w14:paraId="6C620E28">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1"/>
        <w:tblpPr w:leftFromText="180" w:rightFromText="180" w:vertAnchor="text" w:horzAnchor="page" w:tblpX="1646" w:tblpY="6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2497"/>
        <w:gridCol w:w="1322"/>
        <w:gridCol w:w="1049"/>
        <w:gridCol w:w="1582"/>
        <w:gridCol w:w="1151"/>
      </w:tblGrid>
      <w:tr w14:paraId="5195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4" w:hRule="atLeast"/>
        </w:trPr>
        <w:tc>
          <w:tcPr>
            <w:tcW w:w="856" w:type="dxa"/>
            <w:tcBorders>
              <w:bottom w:val="single" w:color="auto" w:sz="4" w:space="0"/>
            </w:tcBorders>
            <w:noWrap w:val="0"/>
            <w:vAlign w:val="center"/>
          </w:tcPr>
          <w:p w14:paraId="190DFFB9">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497" w:type="dxa"/>
            <w:tcBorders>
              <w:bottom w:val="single" w:color="auto" w:sz="4" w:space="0"/>
            </w:tcBorders>
            <w:noWrap w:val="0"/>
            <w:vAlign w:val="center"/>
          </w:tcPr>
          <w:p w14:paraId="0BCB3A44">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322" w:type="dxa"/>
            <w:noWrap w:val="0"/>
            <w:vAlign w:val="top"/>
          </w:tcPr>
          <w:p w14:paraId="540ABED6">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49" w:type="dxa"/>
            <w:tcBorders>
              <w:bottom w:val="single" w:color="auto" w:sz="4" w:space="0"/>
            </w:tcBorders>
            <w:noWrap w:val="0"/>
            <w:vAlign w:val="center"/>
          </w:tcPr>
          <w:p w14:paraId="234DE7A5">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82" w:type="dxa"/>
            <w:tcBorders>
              <w:bottom w:val="single" w:color="auto" w:sz="4" w:space="0"/>
            </w:tcBorders>
            <w:noWrap w:val="0"/>
            <w:vAlign w:val="top"/>
          </w:tcPr>
          <w:p w14:paraId="7809C054">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51" w:type="dxa"/>
            <w:tcBorders>
              <w:bottom w:val="single" w:color="auto" w:sz="4" w:space="0"/>
            </w:tcBorders>
            <w:noWrap w:val="0"/>
            <w:vAlign w:val="center"/>
          </w:tcPr>
          <w:p w14:paraId="6D1457EB">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14:paraId="766D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856" w:type="dxa"/>
            <w:tcBorders>
              <w:top w:val="single" w:color="auto" w:sz="4" w:space="0"/>
              <w:bottom w:val="single" w:color="auto" w:sz="4" w:space="0"/>
            </w:tcBorders>
            <w:noWrap w:val="0"/>
            <w:vAlign w:val="center"/>
          </w:tcPr>
          <w:p w14:paraId="41B3E308">
            <w:pPr>
              <w:tabs>
                <w:tab w:val="left" w:pos="900"/>
              </w:tabs>
              <w:snapToGrid w:val="0"/>
              <w:spacing w:before="60" w:after="120"/>
              <w:ind w:right="-24"/>
              <w:jc w:val="center"/>
              <w:rPr>
                <w:rFonts w:ascii="宋体" w:hAnsi="宋体"/>
                <w:color w:val="auto"/>
                <w:highlight w:val="none"/>
                <w:u w:val="none"/>
              </w:rPr>
            </w:pPr>
            <w:r>
              <w:rPr>
                <w:rFonts w:hint="eastAsia" w:ascii="宋体" w:hAnsi="宋体"/>
                <w:color w:val="auto"/>
                <w:highlight w:val="none"/>
                <w:u w:val="none"/>
              </w:rPr>
              <w:t>1</w:t>
            </w:r>
          </w:p>
        </w:tc>
        <w:tc>
          <w:tcPr>
            <w:tcW w:w="2497" w:type="dxa"/>
            <w:tcBorders>
              <w:top w:val="single" w:color="auto" w:sz="4" w:space="0"/>
              <w:bottom w:val="single" w:color="auto" w:sz="4" w:space="0"/>
            </w:tcBorders>
            <w:noWrap w:val="0"/>
            <w:vAlign w:val="center"/>
          </w:tcPr>
          <w:p w14:paraId="0796EA5C">
            <w:pPr>
              <w:tabs>
                <w:tab w:val="left" w:pos="900"/>
              </w:tabs>
              <w:snapToGrid w:val="0"/>
              <w:spacing w:before="60" w:after="120"/>
              <w:ind w:right="-24"/>
              <w:jc w:val="left"/>
              <w:rPr>
                <w:rFonts w:ascii="宋体" w:hAnsi="宋体"/>
                <w:color w:val="auto"/>
                <w:highlight w:val="none"/>
                <w:u w:val="none"/>
              </w:rPr>
            </w:pPr>
            <w:r>
              <w:rPr>
                <w:rFonts w:hint="eastAsia" w:hAnsi="宋体" w:cs="Times New Roman"/>
                <w:color w:val="auto"/>
                <w:highlight w:val="none"/>
                <w:u w:val="none"/>
                <w:lang w:val="en-US" w:eastAsia="zh-CN"/>
              </w:rPr>
              <w:t>变电部分</w:t>
            </w:r>
          </w:p>
        </w:tc>
        <w:tc>
          <w:tcPr>
            <w:tcW w:w="1322" w:type="dxa"/>
            <w:noWrap w:val="0"/>
            <w:vAlign w:val="top"/>
          </w:tcPr>
          <w:p w14:paraId="450943E5">
            <w:pPr>
              <w:tabs>
                <w:tab w:val="left" w:pos="900"/>
              </w:tabs>
              <w:snapToGrid w:val="0"/>
              <w:spacing w:before="60" w:after="120"/>
              <w:ind w:left="0" w:leftChars="0"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27100</w:t>
            </w:r>
          </w:p>
        </w:tc>
        <w:tc>
          <w:tcPr>
            <w:tcW w:w="1049" w:type="dxa"/>
            <w:vMerge w:val="restart"/>
            <w:tcBorders>
              <w:top w:val="single" w:color="auto" w:sz="4" w:space="0"/>
            </w:tcBorders>
            <w:noWrap w:val="0"/>
            <w:vAlign w:val="center"/>
          </w:tcPr>
          <w:p w14:paraId="66C04B5A">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82" w:type="dxa"/>
            <w:tcBorders>
              <w:top w:val="single" w:color="auto" w:sz="4" w:space="0"/>
            </w:tcBorders>
            <w:noWrap w:val="0"/>
            <w:vAlign w:val="top"/>
          </w:tcPr>
          <w:p w14:paraId="0A212D6E">
            <w:pPr>
              <w:tabs>
                <w:tab w:val="left" w:pos="900"/>
              </w:tabs>
              <w:snapToGrid w:val="0"/>
              <w:spacing w:before="60" w:after="120"/>
              <w:ind w:right="-24"/>
              <w:jc w:val="center"/>
              <w:rPr>
                <w:rFonts w:ascii="宋体" w:hAnsi="宋体"/>
                <w:color w:val="auto"/>
                <w:highlight w:val="none"/>
              </w:rPr>
            </w:pPr>
          </w:p>
        </w:tc>
        <w:tc>
          <w:tcPr>
            <w:tcW w:w="1151" w:type="dxa"/>
            <w:tcBorders>
              <w:top w:val="single" w:color="auto" w:sz="4" w:space="0"/>
              <w:bottom w:val="single" w:color="auto" w:sz="4" w:space="0"/>
            </w:tcBorders>
            <w:noWrap w:val="0"/>
            <w:vAlign w:val="center"/>
          </w:tcPr>
          <w:p w14:paraId="245B17EA">
            <w:pPr>
              <w:tabs>
                <w:tab w:val="left" w:pos="900"/>
              </w:tabs>
              <w:snapToGrid w:val="0"/>
              <w:spacing w:before="60" w:after="120"/>
              <w:ind w:right="-24"/>
              <w:jc w:val="center"/>
              <w:rPr>
                <w:rFonts w:ascii="宋体" w:hAnsi="宋体"/>
                <w:color w:val="auto"/>
                <w:highlight w:val="none"/>
              </w:rPr>
            </w:pPr>
          </w:p>
        </w:tc>
      </w:tr>
      <w:tr w14:paraId="7CC3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5" w:hRule="atLeast"/>
        </w:trPr>
        <w:tc>
          <w:tcPr>
            <w:tcW w:w="856" w:type="dxa"/>
            <w:tcBorders>
              <w:top w:val="single" w:color="auto" w:sz="4" w:space="0"/>
              <w:bottom w:val="single" w:color="auto" w:sz="4" w:space="0"/>
            </w:tcBorders>
            <w:noWrap w:val="0"/>
            <w:vAlign w:val="center"/>
          </w:tcPr>
          <w:p w14:paraId="7CA00098">
            <w:pPr>
              <w:tabs>
                <w:tab w:val="left" w:pos="900"/>
              </w:tabs>
              <w:snapToGrid w:val="0"/>
              <w:spacing w:before="60" w:after="120"/>
              <w:ind w:right="-24"/>
              <w:jc w:val="center"/>
              <w:rPr>
                <w:rFonts w:hint="default" w:ascii="宋体" w:hAnsi="宋体" w:eastAsia="宋体"/>
                <w:color w:val="auto"/>
                <w:highlight w:val="none"/>
                <w:u w:val="none"/>
                <w:lang w:val="en-US" w:eastAsia="zh-CN"/>
              </w:rPr>
            </w:pPr>
            <w:r>
              <w:rPr>
                <w:rFonts w:hint="eastAsia" w:ascii="宋体" w:hAnsi="宋体"/>
                <w:color w:val="auto"/>
                <w:highlight w:val="none"/>
                <w:u w:val="none"/>
                <w:lang w:val="en-US" w:eastAsia="zh-CN"/>
              </w:rPr>
              <w:t>1.1</w:t>
            </w:r>
          </w:p>
        </w:tc>
        <w:tc>
          <w:tcPr>
            <w:tcW w:w="2497" w:type="dxa"/>
            <w:tcBorders>
              <w:top w:val="single" w:color="auto" w:sz="4" w:space="0"/>
              <w:bottom w:val="single" w:color="auto" w:sz="4" w:space="0"/>
            </w:tcBorders>
            <w:noWrap w:val="0"/>
            <w:vAlign w:val="center"/>
          </w:tcPr>
          <w:p w14:paraId="423A8C0A">
            <w:pPr>
              <w:tabs>
                <w:tab w:val="left" w:pos="900"/>
              </w:tabs>
              <w:snapToGrid w:val="0"/>
              <w:spacing w:before="60" w:after="120"/>
              <w:ind w:right="-24"/>
              <w:jc w:val="left"/>
              <w:rPr>
                <w:rFonts w:hAnsi="宋体"/>
                <w:color w:val="auto"/>
                <w:highlight w:val="none"/>
                <w:u w:val="none"/>
              </w:rPr>
            </w:pPr>
            <w:r>
              <w:rPr>
                <w:rFonts w:hint="eastAsia" w:hAnsi="宋体"/>
                <w:color w:val="auto"/>
                <w:highlight w:val="none"/>
                <w:u w:val="none"/>
              </w:rPr>
              <w:t>广州恒运新型混合储能示范电站项目配套间隔工程（对侧220kV恒德站）</w:t>
            </w:r>
          </w:p>
        </w:tc>
        <w:tc>
          <w:tcPr>
            <w:tcW w:w="1322" w:type="dxa"/>
            <w:noWrap w:val="0"/>
            <w:vAlign w:val="top"/>
          </w:tcPr>
          <w:p w14:paraId="565DD26B">
            <w:pPr>
              <w:tabs>
                <w:tab w:val="left" w:pos="900"/>
              </w:tabs>
              <w:snapToGrid w:val="0"/>
              <w:spacing w:before="60" w:after="120"/>
              <w:ind w:left="0" w:leftChars="0" w:right="-24"/>
              <w:jc w:val="center"/>
              <w:rPr>
                <w:rFonts w:ascii="宋体" w:hAnsi="宋体"/>
                <w:color w:val="auto"/>
                <w:highlight w:val="none"/>
              </w:rPr>
            </w:pPr>
            <w:r>
              <w:rPr>
                <w:rFonts w:hint="eastAsia" w:ascii="宋体" w:hAnsi="宋体"/>
                <w:color w:val="auto"/>
                <w:highlight w:val="none"/>
                <w:lang w:val="en-US" w:eastAsia="zh-CN"/>
              </w:rPr>
              <w:t>27100</w:t>
            </w:r>
          </w:p>
        </w:tc>
        <w:tc>
          <w:tcPr>
            <w:tcW w:w="1049" w:type="dxa"/>
            <w:vMerge w:val="continue"/>
            <w:noWrap w:val="0"/>
            <w:vAlign w:val="center"/>
          </w:tcPr>
          <w:p w14:paraId="726190E0">
            <w:pPr>
              <w:tabs>
                <w:tab w:val="left" w:pos="900"/>
              </w:tabs>
              <w:snapToGrid w:val="0"/>
              <w:spacing w:before="60" w:after="120"/>
              <w:ind w:right="-24"/>
              <w:jc w:val="center"/>
              <w:rPr>
                <w:rFonts w:ascii="宋体" w:hAnsi="宋体"/>
                <w:color w:val="auto"/>
                <w:highlight w:val="none"/>
              </w:rPr>
            </w:pPr>
          </w:p>
        </w:tc>
        <w:tc>
          <w:tcPr>
            <w:tcW w:w="1582" w:type="dxa"/>
            <w:tcBorders>
              <w:top w:val="single" w:color="auto" w:sz="4" w:space="0"/>
            </w:tcBorders>
            <w:noWrap w:val="0"/>
            <w:vAlign w:val="top"/>
          </w:tcPr>
          <w:p w14:paraId="604DB4D9">
            <w:pPr>
              <w:tabs>
                <w:tab w:val="left" w:pos="900"/>
              </w:tabs>
              <w:snapToGrid w:val="0"/>
              <w:spacing w:before="60" w:after="120"/>
              <w:ind w:right="-24"/>
              <w:jc w:val="center"/>
              <w:rPr>
                <w:rFonts w:ascii="宋体" w:hAnsi="宋体"/>
                <w:color w:val="auto"/>
                <w:highlight w:val="none"/>
              </w:rPr>
            </w:pPr>
          </w:p>
        </w:tc>
        <w:tc>
          <w:tcPr>
            <w:tcW w:w="1151" w:type="dxa"/>
            <w:tcBorders>
              <w:top w:val="single" w:color="auto" w:sz="4" w:space="0"/>
              <w:bottom w:val="single" w:color="auto" w:sz="4" w:space="0"/>
            </w:tcBorders>
            <w:noWrap w:val="0"/>
            <w:vAlign w:val="center"/>
          </w:tcPr>
          <w:p w14:paraId="2BA2A8AD">
            <w:pPr>
              <w:tabs>
                <w:tab w:val="left" w:pos="900"/>
              </w:tabs>
              <w:snapToGrid w:val="0"/>
              <w:spacing w:before="60" w:after="120"/>
              <w:ind w:right="-24"/>
              <w:jc w:val="center"/>
              <w:rPr>
                <w:rFonts w:ascii="宋体" w:hAnsi="宋体"/>
                <w:color w:val="auto"/>
                <w:highlight w:val="none"/>
              </w:rPr>
            </w:pPr>
          </w:p>
        </w:tc>
      </w:tr>
      <w:tr w14:paraId="2F88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3" w:hRule="atLeast"/>
        </w:trPr>
        <w:tc>
          <w:tcPr>
            <w:tcW w:w="856" w:type="dxa"/>
            <w:tcBorders>
              <w:top w:val="single" w:color="auto" w:sz="4" w:space="0"/>
              <w:bottom w:val="single" w:color="auto" w:sz="4" w:space="0"/>
            </w:tcBorders>
            <w:noWrap w:val="0"/>
            <w:vAlign w:val="center"/>
          </w:tcPr>
          <w:p w14:paraId="4C032661">
            <w:pPr>
              <w:tabs>
                <w:tab w:val="left" w:pos="900"/>
              </w:tabs>
              <w:snapToGrid w:val="0"/>
              <w:spacing w:before="60" w:after="120"/>
              <w:ind w:right="-24"/>
              <w:jc w:val="center"/>
              <w:rPr>
                <w:rFonts w:ascii="宋体" w:hAnsi="宋体"/>
                <w:color w:val="auto"/>
                <w:highlight w:val="none"/>
                <w:u w:val="none"/>
              </w:rPr>
            </w:pPr>
            <w:r>
              <w:rPr>
                <w:rFonts w:hint="eastAsia" w:ascii="宋体" w:hAnsi="宋体"/>
                <w:color w:val="auto"/>
                <w:highlight w:val="none"/>
                <w:u w:val="none"/>
              </w:rPr>
              <w:t>2</w:t>
            </w:r>
          </w:p>
        </w:tc>
        <w:tc>
          <w:tcPr>
            <w:tcW w:w="2497" w:type="dxa"/>
            <w:tcBorders>
              <w:top w:val="single" w:color="auto" w:sz="4" w:space="0"/>
              <w:bottom w:val="single" w:color="auto" w:sz="4" w:space="0"/>
            </w:tcBorders>
            <w:noWrap w:val="0"/>
            <w:vAlign w:val="center"/>
          </w:tcPr>
          <w:p w14:paraId="10D0851B">
            <w:pPr>
              <w:tabs>
                <w:tab w:val="left" w:pos="900"/>
              </w:tabs>
              <w:snapToGrid w:val="0"/>
              <w:spacing w:before="60" w:after="120"/>
              <w:ind w:right="-24"/>
              <w:jc w:val="left"/>
              <w:rPr>
                <w:rFonts w:ascii="宋体" w:hAnsi="宋体"/>
                <w:color w:val="auto"/>
                <w:highlight w:val="none"/>
                <w:u w:val="none"/>
              </w:rPr>
            </w:pPr>
            <w:r>
              <w:rPr>
                <w:rFonts w:hint="eastAsia" w:hAnsi="宋体" w:cs="Times New Roman"/>
                <w:color w:val="auto"/>
                <w:highlight w:val="none"/>
                <w:u w:val="none"/>
                <w:lang w:val="en-US" w:eastAsia="zh-CN"/>
              </w:rPr>
              <w:t>通信工程</w:t>
            </w:r>
          </w:p>
        </w:tc>
        <w:tc>
          <w:tcPr>
            <w:tcW w:w="1322" w:type="dxa"/>
            <w:noWrap w:val="0"/>
            <w:vAlign w:val="top"/>
          </w:tcPr>
          <w:p w14:paraId="097EC77E">
            <w:pPr>
              <w:tabs>
                <w:tab w:val="left" w:pos="900"/>
              </w:tabs>
              <w:snapToGrid w:val="0"/>
              <w:spacing w:before="60" w:after="120"/>
              <w:ind w:left="0" w:leftChars="0"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2000</w:t>
            </w:r>
          </w:p>
        </w:tc>
        <w:tc>
          <w:tcPr>
            <w:tcW w:w="1049" w:type="dxa"/>
            <w:vMerge w:val="continue"/>
            <w:noWrap w:val="0"/>
            <w:vAlign w:val="center"/>
          </w:tcPr>
          <w:p w14:paraId="3C8F3618">
            <w:pPr>
              <w:tabs>
                <w:tab w:val="left" w:pos="900"/>
              </w:tabs>
              <w:snapToGrid w:val="0"/>
              <w:spacing w:before="60" w:after="120"/>
              <w:ind w:right="-24"/>
              <w:jc w:val="center"/>
              <w:rPr>
                <w:rFonts w:ascii="宋体" w:hAnsi="宋体"/>
                <w:color w:val="auto"/>
                <w:highlight w:val="none"/>
              </w:rPr>
            </w:pPr>
          </w:p>
        </w:tc>
        <w:tc>
          <w:tcPr>
            <w:tcW w:w="1582" w:type="dxa"/>
            <w:noWrap w:val="0"/>
            <w:vAlign w:val="top"/>
          </w:tcPr>
          <w:p w14:paraId="2355300D">
            <w:pPr>
              <w:tabs>
                <w:tab w:val="left" w:pos="900"/>
              </w:tabs>
              <w:snapToGrid w:val="0"/>
              <w:spacing w:before="60" w:after="120"/>
              <w:ind w:right="-24"/>
              <w:jc w:val="center"/>
              <w:rPr>
                <w:rFonts w:ascii="宋体" w:hAnsi="宋体"/>
                <w:color w:val="auto"/>
                <w:highlight w:val="none"/>
              </w:rPr>
            </w:pPr>
          </w:p>
        </w:tc>
        <w:tc>
          <w:tcPr>
            <w:tcW w:w="1151" w:type="dxa"/>
            <w:tcBorders>
              <w:top w:val="single" w:color="auto" w:sz="4" w:space="0"/>
              <w:bottom w:val="single" w:color="auto" w:sz="4" w:space="0"/>
            </w:tcBorders>
            <w:noWrap w:val="0"/>
            <w:vAlign w:val="center"/>
          </w:tcPr>
          <w:p w14:paraId="26932B8A">
            <w:pPr>
              <w:tabs>
                <w:tab w:val="left" w:pos="900"/>
              </w:tabs>
              <w:snapToGrid w:val="0"/>
              <w:spacing w:before="60" w:after="120"/>
              <w:ind w:right="-24"/>
              <w:jc w:val="center"/>
              <w:rPr>
                <w:rFonts w:ascii="宋体" w:hAnsi="宋体"/>
                <w:color w:val="auto"/>
                <w:highlight w:val="none"/>
              </w:rPr>
            </w:pPr>
          </w:p>
        </w:tc>
      </w:tr>
      <w:tr w14:paraId="6CC6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trPr>
        <w:tc>
          <w:tcPr>
            <w:tcW w:w="856" w:type="dxa"/>
            <w:tcBorders>
              <w:top w:val="single" w:color="auto" w:sz="4" w:space="0"/>
              <w:bottom w:val="single" w:color="auto" w:sz="4" w:space="0"/>
            </w:tcBorders>
            <w:noWrap w:val="0"/>
            <w:vAlign w:val="center"/>
          </w:tcPr>
          <w:p w14:paraId="1837BB9D">
            <w:pPr>
              <w:tabs>
                <w:tab w:val="left" w:pos="900"/>
              </w:tabs>
              <w:snapToGrid w:val="0"/>
              <w:spacing w:before="60" w:after="120"/>
              <w:ind w:right="-24"/>
              <w:jc w:val="center"/>
              <w:rPr>
                <w:rFonts w:hint="default" w:ascii="宋体" w:hAnsi="宋体" w:eastAsia="宋体"/>
                <w:color w:val="auto"/>
                <w:highlight w:val="none"/>
                <w:u w:val="none"/>
                <w:lang w:val="en-US" w:eastAsia="zh-CN"/>
              </w:rPr>
            </w:pPr>
            <w:r>
              <w:rPr>
                <w:rFonts w:hint="eastAsia" w:ascii="宋体" w:hAnsi="宋体"/>
                <w:color w:val="auto"/>
                <w:highlight w:val="none"/>
                <w:u w:val="none"/>
                <w:lang w:val="en-US" w:eastAsia="zh-CN"/>
              </w:rPr>
              <w:t>2.1</w:t>
            </w:r>
          </w:p>
        </w:tc>
        <w:tc>
          <w:tcPr>
            <w:tcW w:w="2497" w:type="dxa"/>
            <w:tcBorders>
              <w:top w:val="single" w:color="auto" w:sz="4" w:space="0"/>
              <w:bottom w:val="single" w:color="auto" w:sz="4" w:space="0"/>
            </w:tcBorders>
            <w:noWrap w:val="0"/>
            <w:vAlign w:val="center"/>
          </w:tcPr>
          <w:p w14:paraId="00EB48F7">
            <w:pPr>
              <w:tabs>
                <w:tab w:val="left" w:pos="900"/>
              </w:tabs>
              <w:snapToGrid w:val="0"/>
              <w:spacing w:before="60" w:after="120"/>
              <w:ind w:right="-24"/>
              <w:jc w:val="left"/>
              <w:rPr>
                <w:rFonts w:hAnsi="宋体"/>
                <w:color w:val="auto"/>
                <w:highlight w:val="none"/>
                <w:u w:val="none"/>
              </w:rPr>
            </w:pPr>
            <w:r>
              <w:rPr>
                <w:rFonts w:hint="eastAsia" w:hAnsi="宋体"/>
                <w:color w:val="auto"/>
                <w:highlight w:val="none"/>
                <w:u w:val="none"/>
              </w:rPr>
              <w:t>广州恒运新型混合储能示范电站项目配套间隔工程（通信设备工程）</w:t>
            </w:r>
          </w:p>
        </w:tc>
        <w:tc>
          <w:tcPr>
            <w:tcW w:w="1322" w:type="dxa"/>
            <w:noWrap w:val="0"/>
            <w:vAlign w:val="top"/>
          </w:tcPr>
          <w:p w14:paraId="1896095D">
            <w:pPr>
              <w:tabs>
                <w:tab w:val="left" w:pos="900"/>
              </w:tabs>
              <w:snapToGrid w:val="0"/>
              <w:spacing w:before="60" w:after="120"/>
              <w:ind w:left="0" w:leftChars="0"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2000</w:t>
            </w:r>
          </w:p>
        </w:tc>
        <w:tc>
          <w:tcPr>
            <w:tcW w:w="1049" w:type="dxa"/>
            <w:vMerge w:val="continue"/>
            <w:noWrap w:val="0"/>
            <w:vAlign w:val="center"/>
          </w:tcPr>
          <w:p w14:paraId="76BF8DA8">
            <w:pPr>
              <w:tabs>
                <w:tab w:val="left" w:pos="900"/>
              </w:tabs>
              <w:snapToGrid w:val="0"/>
              <w:spacing w:before="60" w:after="120"/>
              <w:ind w:right="-24"/>
              <w:jc w:val="center"/>
              <w:rPr>
                <w:rFonts w:ascii="宋体" w:hAnsi="宋体"/>
                <w:color w:val="auto"/>
                <w:highlight w:val="none"/>
              </w:rPr>
            </w:pPr>
          </w:p>
        </w:tc>
        <w:tc>
          <w:tcPr>
            <w:tcW w:w="1582" w:type="dxa"/>
            <w:noWrap w:val="0"/>
            <w:vAlign w:val="top"/>
          </w:tcPr>
          <w:p w14:paraId="6B661DDA">
            <w:pPr>
              <w:tabs>
                <w:tab w:val="left" w:pos="900"/>
              </w:tabs>
              <w:snapToGrid w:val="0"/>
              <w:spacing w:before="60" w:after="120"/>
              <w:ind w:right="-24"/>
              <w:jc w:val="center"/>
              <w:rPr>
                <w:rFonts w:ascii="宋体" w:hAnsi="宋体"/>
                <w:color w:val="auto"/>
                <w:highlight w:val="none"/>
              </w:rPr>
            </w:pPr>
          </w:p>
        </w:tc>
        <w:tc>
          <w:tcPr>
            <w:tcW w:w="1151" w:type="dxa"/>
            <w:tcBorders>
              <w:top w:val="single" w:color="auto" w:sz="4" w:space="0"/>
              <w:bottom w:val="single" w:color="auto" w:sz="4" w:space="0"/>
            </w:tcBorders>
            <w:noWrap w:val="0"/>
            <w:vAlign w:val="center"/>
          </w:tcPr>
          <w:p w14:paraId="269D46FE">
            <w:pPr>
              <w:tabs>
                <w:tab w:val="left" w:pos="900"/>
              </w:tabs>
              <w:snapToGrid w:val="0"/>
              <w:spacing w:before="60" w:after="120"/>
              <w:ind w:right="-24"/>
              <w:jc w:val="center"/>
              <w:rPr>
                <w:rFonts w:ascii="宋体" w:hAnsi="宋体"/>
                <w:color w:val="auto"/>
                <w:highlight w:val="none"/>
              </w:rPr>
            </w:pPr>
          </w:p>
        </w:tc>
      </w:tr>
      <w:tr w14:paraId="5F0D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0" w:hRule="atLeast"/>
        </w:trPr>
        <w:tc>
          <w:tcPr>
            <w:tcW w:w="3353" w:type="dxa"/>
            <w:gridSpan w:val="2"/>
            <w:tcBorders>
              <w:top w:val="single" w:color="auto" w:sz="4" w:space="0"/>
              <w:bottom w:val="single" w:color="auto" w:sz="4" w:space="0"/>
            </w:tcBorders>
            <w:noWrap w:val="0"/>
            <w:vAlign w:val="center"/>
          </w:tcPr>
          <w:p w14:paraId="0BDD42E0">
            <w:pPr>
              <w:tabs>
                <w:tab w:val="left" w:pos="900"/>
              </w:tabs>
              <w:snapToGrid w:val="0"/>
              <w:spacing w:before="60" w:after="120"/>
              <w:ind w:right="-24"/>
              <w:jc w:val="center"/>
              <w:rPr>
                <w:rFonts w:hint="eastAsia" w:hAnsi="宋体" w:eastAsia="宋体"/>
                <w:color w:val="auto"/>
                <w:highlight w:val="none"/>
                <w:u w:val="none"/>
                <w:lang w:val="en-US" w:eastAsia="zh-CN"/>
              </w:rPr>
            </w:pPr>
            <w:r>
              <w:rPr>
                <w:rFonts w:hint="eastAsia" w:ascii="宋体" w:hAnsi="宋体" w:cs="Times New Roman"/>
                <w:b/>
                <w:color w:val="auto"/>
                <w:szCs w:val="21"/>
                <w:highlight w:val="none"/>
                <w:lang w:val="en-US" w:eastAsia="zh-CN"/>
              </w:rPr>
              <w:t>合计（小写）</w:t>
            </w:r>
          </w:p>
        </w:tc>
        <w:tc>
          <w:tcPr>
            <w:tcW w:w="1322" w:type="dxa"/>
            <w:noWrap w:val="0"/>
            <w:vAlign w:val="top"/>
          </w:tcPr>
          <w:p w14:paraId="01A64451">
            <w:pPr>
              <w:tabs>
                <w:tab w:val="left" w:pos="900"/>
              </w:tabs>
              <w:snapToGrid w:val="0"/>
              <w:spacing w:before="60" w:after="120"/>
              <w:ind w:left="0" w:leftChars="0" w:right="-24"/>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29100</w:t>
            </w:r>
          </w:p>
        </w:tc>
        <w:tc>
          <w:tcPr>
            <w:tcW w:w="1049" w:type="dxa"/>
            <w:noWrap w:val="0"/>
            <w:vAlign w:val="center"/>
          </w:tcPr>
          <w:p w14:paraId="55452A85">
            <w:pPr>
              <w:tabs>
                <w:tab w:val="left" w:pos="900"/>
              </w:tabs>
              <w:snapToGrid w:val="0"/>
              <w:spacing w:before="60" w:after="120"/>
              <w:ind w:right="-24"/>
              <w:jc w:val="center"/>
              <w:rPr>
                <w:rFonts w:ascii="宋体" w:hAnsi="宋体"/>
                <w:color w:val="auto"/>
                <w:highlight w:val="none"/>
              </w:rPr>
            </w:pPr>
          </w:p>
        </w:tc>
        <w:tc>
          <w:tcPr>
            <w:tcW w:w="1582" w:type="dxa"/>
            <w:noWrap w:val="0"/>
            <w:vAlign w:val="top"/>
          </w:tcPr>
          <w:p w14:paraId="45BBC077">
            <w:pPr>
              <w:tabs>
                <w:tab w:val="left" w:pos="900"/>
              </w:tabs>
              <w:snapToGrid w:val="0"/>
              <w:spacing w:before="60" w:after="120"/>
              <w:ind w:right="-24"/>
              <w:jc w:val="center"/>
              <w:rPr>
                <w:rFonts w:ascii="宋体" w:hAnsi="宋体"/>
                <w:color w:val="auto"/>
                <w:highlight w:val="none"/>
              </w:rPr>
            </w:pPr>
          </w:p>
        </w:tc>
        <w:tc>
          <w:tcPr>
            <w:tcW w:w="1151" w:type="dxa"/>
            <w:tcBorders>
              <w:top w:val="single" w:color="auto" w:sz="4" w:space="0"/>
              <w:bottom w:val="single" w:color="auto" w:sz="4" w:space="0"/>
            </w:tcBorders>
            <w:noWrap w:val="0"/>
            <w:vAlign w:val="center"/>
          </w:tcPr>
          <w:p w14:paraId="4BDD8D2E">
            <w:pPr>
              <w:tabs>
                <w:tab w:val="left" w:pos="900"/>
              </w:tabs>
              <w:snapToGrid w:val="0"/>
              <w:spacing w:before="60" w:after="120"/>
              <w:ind w:right="-24"/>
              <w:jc w:val="center"/>
              <w:rPr>
                <w:rFonts w:ascii="宋体" w:hAnsi="宋体"/>
                <w:color w:val="auto"/>
                <w:highlight w:val="none"/>
              </w:rPr>
            </w:pPr>
          </w:p>
        </w:tc>
      </w:tr>
    </w:tbl>
    <w:p w14:paraId="52AC2D36">
      <w:pPr>
        <w:pStyle w:val="3"/>
        <w:rPr>
          <w:rFonts w:hint="eastAsia"/>
          <w:highlight w:val="none"/>
          <w:lang w:val="en-US" w:eastAsia="zh-CN"/>
        </w:rPr>
      </w:pPr>
    </w:p>
    <w:p w14:paraId="4B82E4AD">
      <w:pPr>
        <w:rPr>
          <w:rFonts w:hint="eastAsia"/>
          <w:highlight w:val="none"/>
          <w:lang w:val="en-US" w:eastAsia="zh-CN"/>
        </w:rPr>
      </w:pPr>
    </w:p>
    <w:p w14:paraId="1963A330">
      <w:pPr>
        <w:pStyle w:val="3"/>
        <w:rPr>
          <w:rFonts w:hint="eastAsia"/>
          <w:highlight w:val="none"/>
          <w:lang w:val="en-US" w:eastAsia="zh-CN"/>
        </w:rPr>
      </w:pPr>
    </w:p>
    <w:p w14:paraId="121FEFD8">
      <w:pPr>
        <w:rPr>
          <w:rFonts w:hint="eastAsia"/>
          <w:highlight w:val="none"/>
          <w:lang w:val="en-US" w:eastAsia="zh-CN"/>
        </w:rPr>
      </w:pPr>
    </w:p>
    <w:p w14:paraId="407B1D44">
      <w:pPr>
        <w:pStyle w:val="3"/>
        <w:rPr>
          <w:rFonts w:hint="eastAsia"/>
          <w:highlight w:val="none"/>
          <w:lang w:val="en-US" w:eastAsia="zh-CN"/>
        </w:rPr>
      </w:pPr>
    </w:p>
    <w:p w14:paraId="528B9855">
      <w:pPr>
        <w:rPr>
          <w:rFonts w:hint="eastAsia"/>
          <w:highlight w:val="none"/>
          <w:lang w:val="en-US" w:eastAsia="zh-CN"/>
        </w:rPr>
      </w:pPr>
    </w:p>
    <w:p w14:paraId="220A5A8B">
      <w:pPr>
        <w:pStyle w:val="7"/>
        <w:ind w:firstLine="240" w:firstLineChars="100"/>
        <w:rPr>
          <w:rFonts w:hint="eastAsia" w:ascii="宋体" w:hAnsi="宋体" w:eastAsia="宋体" w:cs="宋体"/>
          <w:color w:val="auto"/>
          <w:kern w:val="2"/>
          <w:sz w:val="24"/>
          <w:szCs w:val="24"/>
          <w:highlight w:val="none"/>
          <w:u w:val="none"/>
          <w:lang w:val="en-US" w:eastAsia="zh-CN" w:bidi="ar-SA"/>
        </w:rPr>
      </w:pPr>
    </w:p>
    <w:p w14:paraId="2C7DDDF4">
      <w:pPr>
        <w:pStyle w:val="7"/>
        <w:ind w:firstLine="240" w:firstLineChars="100"/>
        <w:rPr>
          <w:rFonts w:hint="eastAsia" w:ascii="宋体" w:hAnsi="宋体" w:eastAsia="宋体" w:cs="宋体"/>
          <w:color w:val="auto"/>
          <w:kern w:val="2"/>
          <w:sz w:val="24"/>
          <w:szCs w:val="24"/>
          <w:highlight w:val="none"/>
          <w:u w:val="none"/>
          <w:lang w:val="en-US" w:eastAsia="zh-CN" w:bidi="ar-SA"/>
        </w:rPr>
      </w:pPr>
    </w:p>
    <w:p w14:paraId="7BAFAD42">
      <w:pPr>
        <w:pStyle w:val="8"/>
        <w:rPr>
          <w:rFonts w:hint="eastAsia" w:ascii="宋体" w:hAnsi="宋体" w:eastAsia="宋体" w:cs="宋体"/>
          <w:color w:val="auto"/>
          <w:kern w:val="2"/>
          <w:sz w:val="24"/>
          <w:szCs w:val="24"/>
          <w:highlight w:val="none"/>
          <w:u w:val="none"/>
          <w:lang w:val="en-US" w:eastAsia="zh-CN" w:bidi="ar-SA"/>
        </w:rPr>
      </w:pPr>
    </w:p>
    <w:p w14:paraId="09F0B1F6">
      <w:pPr>
        <w:rPr>
          <w:rFonts w:hint="eastAsia" w:ascii="宋体" w:hAnsi="宋体" w:eastAsia="宋体" w:cs="宋体"/>
          <w:color w:val="auto"/>
          <w:kern w:val="2"/>
          <w:sz w:val="24"/>
          <w:szCs w:val="24"/>
          <w:highlight w:val="none"/>
          <w:u w:val="none"/>
          <w:lang w:val="en-US" w:eastAsia="zh-CN" w:bidi="ar-SA"/>
        </w:rPr>
      </w:pPr>
    </w:p>
    <w:p w14:paraId="7F2F7E82">
      <w:pPr>
        <w:pStyle w:val="2"/>
        <w:rPr>
          <w:rFonts w:hint="eastAsia" w:ascii="宋体" w:hAnsi="宋体" w:eastAsia="宋体" w:cs="宋体"/>
          <w:color w:val="auto"/>
          <w:kern w:val="2"/>
          <w:sz w:val="24"/>
          <w:szCs w:val="24"/>
          <w:highlight w:val="none"/>
          <w:u w:val="none"/>
          <w:lang w:val="en-US" w:eastAsia="zh-CN" w:bidi="ar-SA"/>
        </w:rPr>
      </w:pPr>
    </w:p>
    <w:p w14:paraId="740F4DE3">
      <w:pPr>
        <w:pStyle w:val="2"/>
        <w:rPr>
          <w:rFonts w:hint="eastAsia" w:ascii="宋体" w:hAnsi="宋体" w:eastAsia="宋体" w:cs="宋体"/>
          <w:color w:val="auto"/>
          <w:kern w:val="2"/>
          <w:sz w:val="24"/>
          <w:szCs w:val="24"/>
          <w:highlight w:val="none"/>
          <w:u w:val="none"/>
          <w:lang w:val="en-US" w:eastAsia="zh-CN" w:bidi="ar-SA"/>
        </w:rPr>
      </w:pPr>
    </w:p>
    <w:p w14:paraId="46BBD022">
      <w:pPr>
        <w:pStyle w:val="2"/>
        <w:rPr>
          <w:rFonts w:hint="eastAsia" w:ascii="宋体" w:hAnsi="宋体" w:eastAsia="宋体" w:cs="宋体"/>
          <w:color w:val="auto"/>
          <w:kern w:val="2"/>
          <w:sz w:val="24"/>
          <w:szCs w:val="24"/>
          <w:highlight w:val="none"/>
          <w:u w:val="none"/>
          <w:lang w:val="en-US" w:eastAsia="zh-CN" w:bidi="ar-SA"/>
        </w:rPr>
      </w:pPr>
    </w:p>
    <w:p w14:paraId="22ADA5E0">
      <w:pPr>
        <w:pStyle w:val="2"/>
        <w:rPr>
          <w:rFonts w:hint="eastAsia" w:ascii="宋体" w:hAnsi="宋体" w:eastAsia="宋体" w:cs="宋体"/>
          <w:color w:val="auto"/>
          <w:kern w:val="2"/>
          <w:sz w:val="24"/>
          <w:szCs w:val="24"/>
          <w:highlight w:val="none"/>
          <w:u w:val="none"/>
          <w:lang w:val="en-US" w:eastAsia="zh-CN" w:bidi="ar-SA"/>
        </w:rPr>
      </w:pPr>
    </w:p>
    <w:p w14:paraId="6F7F8D5F">
      <w:pPr>
        <w:pStyle w:val="2"/>
        <w:rPr>
          <w:rFonts w:hint="eastAsia" w:ascii="宋体" w:hAnsi="宋体" w:eastAsia="宋体" w:cs="宋体"/>
          <w:color w:val="auto"/>
          <w:kern w:val="2"/>
          <w:sz w:val="24"/>
          <w:szCs w:val="24"/>
          <w:highlight w:val="none"/>
          <w:u w:val="none"/>
          <w:lang w:val="en-US" w:eastAsia="zh-CN" w:bidi="ar-SA"/>
        </w:rPr>
      </w:pPr>
    </w:p>
    <w:p w14:paraId="313CAE6C">
      <w:pPr>
        <w:pStyle w:val="2"/>
        <w:rPr>
          <w:rFonts w:hint="eastAsia" w:ascii="宋体" w:hAnsi="宋体" w:eastAsia="宋体" w:cs="宋体"/>
          <w:color w:val="auto"/>
          <w:kern w:val="2"/>
          <w:sz w:val="24"/>
          <w:szCs w:val="24"/>
          <w:highlight w:val="none"/>
          <w:u w:val="none"/>
          <w:lang w:val="en-US" w:eastAsia="zh-CN" w:bidi="ar-SA"/>
        </w:rPr>
      </w:pPr>
    </w:p>
    <w:p w14:paraId="31F817BD">
      <w:pPr>
        <w:pStyle w:val="2"/>
        <w:rPr>
          <w:rFonts w:hint="eastAsia" w:ascii="宋体" w:hAnsi="宋体" w:eastAsia="宋体" w:cs="宋体"/>
          <w:color w:val="auto"/>
          <w:kern w:val="2"/>
          <w:sz w:val="24"/>
          <w:szCs w:val="24"/>
          <w:highlight w:val="none"/>
          <w:u w:val="none"/>
          <w:lang w:val="en-US" w:eastAsia="zh-CN" w:bidi="ar-SA"/>
        </w:rPr>
      </w:pPr>
    </w:p>
    <w:p w14:paraId="0597EF9B">
      <w:pPr>
        <w:pStyle w:val="2"/>
        <w:rPr>
          <w:rFonts w:hint="eastAsia" w:ascii="宋体" w:hAnsi="宋体" w:eastAsia="宋体" w:cs="宋体"/>
          <w:color w:val="auto"/>
          <w:kern w:val="2"/>
          <w:sz w:val="24"/>
          <w:szCs w:val="24"/>
          <w:highlight w:val="none"/>
          <w:u w:val="none"/>
          <w:lang w:val="en-US" w:eastAsia="zh-CN" w:bidi="ar-SA"/>
        </w:rPr>
      </w:pPr>
    </w:p>
    <w:p w14:paraId="2717DA71">
      <w:pPr>
        <w:pStyle w:val="7"/>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14:paraId="57A56A6D">
      <w:pPr>
        <w:pStyle w:val="8"/>
        <w:spacing w:line="360" w:lineRule="auto"/>
        <w:jc w:val="left"/>
        <w:rPr>
          <w:rFonts w:hint="default"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1）按下浮率报价（保留两位小数，如8.88%），同时填报投标报价（投标报价=最高投标限价*（1-投标下浮率），四舍五入保留两位小数）。当投标报价与投标下浮率计算结果不一致时，以投标下浮率为准，按上述公式修订投标报价。</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kern w:val="2"/>
          <w:sz w:val="24"/>
          <w:szCs w:val="24"/>
          <w:highlight w:val="none"/>
          <w:u w:val="single"/>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kern w:val="2"/>
          <w:sz w:val="24"/>
          <w:szCs w:val="24"/>
          <w:highlight w:val="none"/>
          <w:u w:val="single"/>
          <w:lang w:val="en-US" w:eastAsia="zh-CN" w:bidi="ar-SA"/>
        </w:rPr>
        <w:t>（3）价格分计算时，投标人评标价按（100-投标人填写的下浮数值）参与计算。如：下浮率为1.88％时，评标价按（100-1.88）参与计算。</w:t>
      </w:r>
    </w:p>
    <w:p w14:paraId="35174BDF">
      <w:pPr>
        <w:rPr>
          <w:rFonts w:hint="eastAsia"/>
          <w:highlight w:val="none"/>
          <w:lang w:val="en-US" w:eastAsia="zh-CN"/>
        </w:rPr>
      </w:pPr>
    </w:p>
    <w:p w14:paraId="7B3939E2">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14:paraId="0EBBE18F">
      <w:pPr>
        <w:pStyle w:val="8"/>
        <w:spacing w:line="360" w:lineRule="auto"/>
        <w:ind w:firstLine="482" w:firstLineChars="200"/>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本合同采用总价形式，最终合同结算价为：（审定初步设计概算监理费+ 初设概算监理计费范围以外的监理工作费用）×（1-投标下浮率）±合同内约定且实际发生的相关奖罚费用 + 招标代理服务费。 </w:t>
      </w:r>
    </w:p>
    <w:p w14:paraId="38B58B52">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14:paraId="53236C95">
      <w:pPr>
        <w:pStyle w:val="10"/>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14:paraId="6058FD36">
      <w:pPr>
        <w:pStyle w:val="10"/>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14:paraId="6FF19408">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14:paraId="5F7E6A48">
      <w:pPr>
        <w:rPr>
          <w:rFonts w:hint="eastAsia" w:ascii="宋体" w:hAnsi="宋体" w:eastAsia="宋体" w:cs="宋体"/>
          <w:color w:val="auto"/>
          <w:kern w:val="2"/>
          <w:sz w:val="24"/>
          <w:szCs w:val="24"/>
          <w:highlight w:val="none"/>
          <w:u w:val="single"/>
          <w:lang w:val="en-US" w:eastAsia="zh-CN" w:bidi="ar-SA"/>
        </w:rPr>
      </w:pPr>
    </w:p>
    <w:p w14:paraId="0BE78CC3">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14:paraId="7067574D">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1B7D0A33">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14:paraId="6824B2B8">
      <w:pPr>
        <w:pStyle w:val="2"/>
        <w:rPr>
          <w:rFonts w:hint="eastAsia" w:asciiTheme="minorEastAsia" w:hAnsiTheme="minorEastAsia" w:eastAsiaTheme="minorEastAsia" w:cstheme="minorEastAsia"/>
          <w:i w:val="0"/>
          <w:iCs/>
          <w:color w:val="auto"/>
          <w:sz w:val="24"/>
          <w:szCs w:val="24"/>
          <w:highlight w:val="none"/>
        </w:rPr>
      </w:pPr>
    </w:p>
    <w:p w14:paraId="1B80D842">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14:paraId="44D426EA">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14:paraId="3F421DBA">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14:paraId="541C1FE6">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14:paraId="04935676">
      <w:pPr>
        <w:pStyle w:val="2"/>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14:paraId="7DBC92EF">
      <w:pPr>
        <w:pStyle w:val="2"/>
        <w:numPr>
          <w:ilvl w:val="0"/>
          <w:numId w:val="3"/>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14:paraId="5201A2C1">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14:paraId="7C023190">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14:paraId="25FC63BE">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14:paraId="21183C95">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14:paraId="72AE94BB">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14:paraId="2769CB4E">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14:paraId="54786DB8">
      <w:pPr>
        <w:pStyle w:val="2"/>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14:paraId="068D18E5">
      <w:pPr>
        <w:pStyle w:val="2"/>
        <w:numPr>
          <w:ilvl w:val="0"/>
          <w:numId w:val="3"/>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14:paraId="0D886BFE">
      <w:pPr>
        <w:pStyle w:val="4"/>
        <w:keepNext w:val="0"/>
        <w:keepLines w:val="0"/>
        <w:pageBreakBefore w:val="0"/>
        <w:widowControl w:val="0"/>
        <w:shd w:val="clear" w:color="auto" w:fill="auto"/>
        <w:kinsoku/>
        <w:wordWrap/>
        <w:overflowPunct/>
        <w:topLinePunct w:val="0"/>
        <w:autoSpaceDE w:val="0"/>
        <w:autoSpaceDN w:val="0"/>
        <w:bidi w:val="0"/>
        <w:adjustRightInd w:val="0"/>
        <w:snapToGrid/>
        <w:spacing w:before="157" w:beforeLines="50" w:after="157" w:afterLines="50" w:line="240" w:lineRule="auto"/>
        <w:textAlignment w:val="auto"/>
        <w:rPr>
          <w:rFonts w:hint="eastAsia" w:asciiTheme="minorEastAsia" w:hAnsiTheme="minorEastAsia" w:eastAsiaTheme="minorEastAsia" w:cstheme="minorEastAsia"/>
          <w:i w:val="0"/>
          <w:iCs/>
          <w:color w:val="auto"/>
          <w:sz w:val="24"/>
          <w:szCs w:val="24"/>
          <w:highlight w:val="none"/>
          <w:lang w:eastAsia="zh-CN"/>
        </w:rPr>
      </w:pPr>
      <w:bookmarkStart w:id="3" w:name="_Toc482188640"/>
      <w:bookmarkStart w:id="4" w:name="_Toc11396"/>
      <w:r>
        <w:rPr>
          <w:rFonts w:hint="eastAsia" w:asciiTheme="minorEastAsia" w:hAnsiTheme="minorEastAsia" w:eastAsiaTheme="minorEastAsia" w:cstheme="minorEastAsia"/>
          <w:i w:val="0"/>
          <w:iCs/>
          <w:color w:val="auto"/>
          <w:sz w:val="24"/>
          <w:szCs w:val="24"/>
          <w:highlight w:val="none"/>
          <w:lang w:eastAsia="zh-CN"/>
        </w:rPr>
        <w:t>三、</w:t>
      </w:r>
      <w:bookmarkEnd w:id="3"/>
      <w:r>
        <w:rPr>
          <w:rFonts w:hint="eastAsia" w:asciiTheme="minorEastAsia" w:hAnsiTheme="minorEastAsia" w:eastAsiaTheme="minorEastAsia" w:cstheme="minorEastAsia"/>
          <w:i w:val="0"/>
          <w:iCs/>
          <w:color w:val="auto"/>
          <w:sz w:val="24"/>
          <w:szCs w:val="24"/>
          <w:highlight w:val="none"/>
          <w:lang w:eastAsia="zh-CN"/>
        </w:rPr>
        <w:t>图纸</w:t>
      </w:r>
      <w:bookmarkEnd w:id="4"/>
    </w:p>
    <w:p w14:paraId="323A9968">
      <w:pPr>
        <w:spacing w:line="360" w:lineRule="auto"/>
        <w:ind w:firstLine="480" w:firstLineChars="200"/>
        <w:rPr>
          <w:rFonts w:hint="eastAsia"/>
          <w:color w:val="auto"/>
          <w:sz w:val="24"/>
          <w:szCs w:val="24"/>
          <w:highlight w:val="none"/>
        </w:rPr>
      </w:pPr>
      <w:bookmarkStart w:id="5" w:name="_Toc482188644"/>
      <w:r>
        <w:rPr>
          <w:rFonts w:hint="eastAsia"/>
          <w:color w:val="auto"/>
          <w:sz w:val="24"/>
          <w:szCs w:val="24"/>
          <w:highlight w:val="none"/>
        </w:rPr>
        <w:t>有关设计文件、图纸及资料。</w:t>
      </w:r>
    </w:p>
    <w:p w14:paraId="32EDF80C">
      <w:pPr>
        <w:pStyle w:val="4"/>
        <w:keepNext w:val="0"/>
        <w:keepLines w:val="0"/>
        <w:pageBreakBefore w:val="0"/>
        <w:widowControl w:val="0"/>
        <w:shd w:val="clear" w:color="auto" w:fill="auto"/>
        <w:kinsoku/>
        <w:wordWrap/>
        <w:overflowPunct/>
        <w:topLinePunct w:val="0"/>
        <w:autoSpaceDE w:val="0"/>
        <w:autoSpaceDN w:val="0"/>
        <w:bidi w:val="0"/>
        <w:adjustRightInd w:val="0"/>
        <w:snapToGrid/>
        <w:spacing w:before="157" w:beforeLines="50" w:after="157" w:afterLines="50" w:line="240" w:lineRule="auto"/>
        <w:textAlignment w:val="auto"/>
        <w:rPr>
          <w:rFonts w:hint="eastAsia" w:asciiTheme="minorEastAsia" w:hAnsiTheme="minorEastAsia" w:eastAsiaTheme="minorEastAsia" w:cstheme="minorEastAsia"/>
          <w:i w:val="0"/>
          <w:iCs/>
          <w:color w:val="auto"/>
          <w:sz w:val="24"/>
          <w:szCs w:val="24"/>
          <w:highlight w:val="none"/>
          <w:lang w:eastAsia="zh-CN"/>
        </w:rPr>
      </w:pPr>
      <w:bookmarkStart w:id="6" w:name="_Toc30760"/>
      <w:r>
        <w:rPr>
          <w:rFonts w:hint="eastAsia" w:asciiTheme="minorEastAsia" w:hAnsiTheme="minorEastAsia" w:eastAsiaTheme="minorEastAsia" w:cstheme="minorEastAsia"/>
          <w:i w:val="0"/>
          <w:iCs/>
          <w:color w:val="auto"/>
          <w:sz w:val="24"/>
          <w:szCs w:val="24"/>
          <w:highlight w:val="none"/>
          <w:lang w:eastAsia="zh-CN"/>
        </w:rPr>
        <w:t>四、</w:t>
      </w:r>
      <w:bookmarkEnd w:id="5"/>
      <w:bookmarkStart w:id="7" w:name="_Toc482188646"/>
      <w:r>
        <w:rPr>
          <w:rFonts w:hint="eastAsia" w:asciiTheme="minorEastAsia" w:hAnsiTheme="minorEastAsia" w:eastAsiaTheme="minorEastAsia" w:cstheme="minorEastAsia"/>
          <w:i w:val="0"/>
          <w:iCs/>
          <w:color w:val="auto"/>
          <w:sz w:val="24"/>
          <w:szCs w:val="24"/>
          <w:highlight w:val="none"/>
          <w:lang w:eastAsia="zh-CN"/>
        </w:rPr>
        <w:t>其他要求</w:t>
      </w:r>
      <w:bookmarkEnd w:id="6"/>
      <w:bookmarkEnd w:id="7"/>
    </w:p>
    <w:p w14:paraId="3CD7B4BF">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人根据委托的监理范围和内容，随招标文件向投标人提供与监理范围和内容有关的以下文件、资料：</w:t>
      </w:r>
    </w:p>
    <w:p w14:paraId="1DF061BF">
      <w:pPr>
        <w:numPr>
          <w:ilvl w:val="0"/>
          <w:numId w:val="4"/>
        </w:num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工程前期有关文件（可研审批文件）</w:t>
      </w:r>
      <w:r>
        <w:rPr>
          <w:rFonts w:hint="eastAsia" w:asciiTheme="minorEastAsia" w:hAnsiTheme="minorEastAsia" w:eastAsiaTheme="minorEastAsia" w:cstheme="minorEastAsia"/>
          <w:color w:val="auto"/>
          <w:sz w:val="24"/>
          <w:szCs w:val="24"/>
          <w:highlight w:val="none"/>
          <w:lang w:eastAsia="zh-CN"/>
        </w:rPr>
        <w:t>。</w:t>
      </w:r>
    </w:p>
    <w:p w14:paraId="28BA981F">
      <w:pPr>
        <w:pStyle w:val="10"/>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Lines="50" w:beforeAutospacing="0" w:after="120" w:afterLines="50" w:afterAutospacing="0" w:line="360" w:lineRule="auto"/>
        <w:jc w:val="both"/>
        <w:rPr>
          <w:rFonts w:hint="eastAsia"/>
        </w:rPr>
      </w:pPr>
    </w:p>
    <w:p w14:paraId="530AD2F8">
      <w:pPr>
        <w:pStyle w:val="2"/>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bookmarkStart w:id="8" w:name="_GoBack"/>
      <w:bookmarkEnd w:id="8"/>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5A6492B"/>
    <w:multiLevelType w:val="singleLevel"/>
    <w:tmpl w:val="05A6492B"/>
    <w:lvl w:ilvl="0" w:tentative="0">
      <w:start w:val="1"/>
      <w:numFmt w:val="decimal"/>
      <w:suff w:val="nothing"/>
      <w:lvlText w:val="（%1）"/>
      <w:lvlJc w:val="left"/>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abstractNum w:abstractNumId="3">
    <w:nsid w:val="4122DDE1"/>
    <w:multiLevelType w:val="singleLevel"/>
    <w:tmpl w:val="4122DDE1"/>
    <w:lvl w:ilvl="0" w:tentative="0">
      <w:start w:val="2"/>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F1316B"/>
    <w:rsid w:val="04A24F71"/>
    <w:rsid w:val="06807484"/>
    <w:rsid w:val="076F3B3B"/>
    <w:rsid w:val="07CA37DF"/>
    <w:rsid w:val="07CC3833"/>
    <w:rsid w:val="0BC07002"/>
    <w:rsid w:val="0BD30473"/>
    <w:rsid w:val="0E2F4C02"/>
    <w:rsid w:val="0E3616E0"/>
    <w:rsid w:val="0E937FF7"/>
    <w:rsid w:val="0F81532F"/>
    <w:rsid w:val="107144D2"/>
    <w:rsid w:val="116419AD"/>
    <w:rsid w:val="11794537"/>
    <w:rsid w:val="11DF6CFE"/>
    <w:rsid w:val="13383335"/>
    <w:rsid w:val="136E2A82"/>
    <w:rsid w:val="14440D4B"/>
    <w:rsid w:val="14B666F3"/>
    <w:rsid w:val="15056A61"/>
    <w:rsid w:val="17F45568"/>
    <w:rsid w:val="182633AB"/>
    <w:rsid w:val="18E57496"/>
    <w:rsid w:val="1A2D5CFF"/>
    <w:rsid w:val="1A386933"/>
    <w:rsid w:val="1A4F176B"/>
    <w:rsid w:val="1A912F72"/>
    <w:rsid w:val="1AFB7442"/>
    <w:rsid w:val="1B663F82"/>
    <w:rsid w:val="1C2D4629"/>
    <w:rsid w:val="1C43636C"/>
    <w:rsid w:val="1C597FC9"/>
    <w:rsid w:val="1C9B70FD"/>
    <w:rsid w:val="1D904223"/>
    <w:rsid w:val="1F653C49"/>
    <w:rsid w:val="1F6C0D31"/>
    <w:rsid w:val="1FF914D4"/>
    <w:rsid w:val="20263DCB"/>
    <w:rsid w:val="20735046"/>
    <w:rsid w:val="216F4D5B"/>
    <w:rsid w:val="23B738BA"/>
    <w:rsid w:val="24C066C0"/>
    <w:rsid w:val="24E67795"/>
    <w:rsid w:val="24F737D8"/>
    <w:rsid w:val="25100685"/>
    <w:rsid w:val="26A73075"/>
    <w:rsid w:val="280A61EB"/>
    <w:rsid w:val="2CA17C08"/>
    <w:rsid w:val="2DDF66E3"/>
    <w:rsid w:val="2FF65FF8"/>
    <w:rsid w:val="300D195C"/>
    <w:rsid w:val="30BF37B5"/>
    <w:rsid w:val="31C955A9"/>
    <w:rsid w:val="33B200AF"/>
    <w:rsid w:val="33E61BE2"/>
    <w:rsid w:val="34DD55DC"/>
    <w:rsid w:val="361736AD"/>
    <w:rsid w:val="36D200CF"/>
    <w:rsid w:val="379951F8"/>
    <w:rsid w:val="381535EC"/>
    <w:rsid w:val="38382DC3"/>
    <w:rsid w:val="38DE045C"/>
    <w:rsid w:val="3A546240"/>
    <w:rsid w:val="3BC6379A"/>
    <w:rsid w:val="3BF24D81"/>
    <w:rsid w:val="3BFE7BEA"/>
    <w:rsid w:val="3C103F97"/>
    <w:rsid w:val="3C4750A3"/>
    <w:rsid w:val="3C4A35F1"/>
    <w:rsid w:val="3CAD1978"/>
    <w:rsid w:val="3E664B6D"/>
    <w:rsid w:val="3ED7087B"/>
    <w:rsid w:val="3F141BFC"/>
    <w:rsid w:val="444D481C"/>
    <w:rsid w:val="44982260"/>
    <w:rsid w:val="44D414C9"/>
    <w:rsid w:val="46472D5E"/>
    <w:rsid w:val="496A657E"/>
    <w:rsid w:val="49843C09"/>
    <w:rsid w:val="4B3A1BDA"/>
    <w:rsid w:val="4BF83760"/>
    <w:rsid w:val="4C8349B8"/>
    <w:rsid w:val="4D24529F"/>
    <w:rsid w:val="4E67571D"/>
    <w:rsid w:val="50DD75B9"/>
    <w:rsid w:val="520D6E5F"/>
    <w:rsid w:val="53115540"/>
    <w:rsid w:val="55C3156A"/>
    <w:rsid w:val="5782183A"/>
    <w:rsid w:val="57BD355E"/>
    <w:rsid w:val="59A5419F"/>
    <w:rsid w:val="5B0320E2"/>
    <w:rsid w:val="5B8B11A7"/>
    <w:rsid w:val="5B9E2EC4"/>
    <w:rsid w:val="5DAD718B"/>
    <w:rsid w:val="5ECB4491"/>
    <w:rsid w:val="608606DE"/>
    <w:rsid w:val="610E324A"/>
    <w:rsid w:val="61F31EFD"/>
    <w:rsid w:val="63031F04"/>
    <w:rsid w:val="63066BC7"/>
    <w:rsid w:val="63D0487B"/>
    <w:rsid w:val="64672037"/>
    <w:rsid w:val="64911DA0"/>
    <w:rsid w:val="65945D8D"/>
    <w:rsid w:val="66C35559"/>
    <w:rsid w:val="67D57489"/>
    <w:rsid w:val="68570F93"/>
    <w:rsid w:val="689E42BA"/>
    <w:rsid w:val="6A287B5E"/>
    <w:rsid w:val="6B303A1A"/>
    <w:rsid w:val="6DAA2FDF"/>
    <w:rsid w:val="6E121228"/>
    <w:rsid w:val="6FC971BF"/>
    <w:rsid w:val="70D1495F"/>
    <w:rsid w:val="70ED510D"/>
    <w:rsid w:val="74695E39"/>
    <w:rsid w:val="74D52B07"/>
    <w:rsid w:val="754C6F3B"/>
    <w:rsid w:val="75B11AFF"/>
    <w:rsid w:val="75D32619"/>
    <w:rsid w:val="765369C1"/>
    <w:rsid w:val="767D6887"/>
    <w:rsid w:val="77C4063F"/>
    <w:rsid w:val="780B6A75"/>
    <w:rsid w:val="79F83E18"/>
    <w:rsid w:val="7A262145"/>
    <w:rsid w:val="7BEC3F2B"/>
    <w:rsid w:val="7D0F76D8"/>
    <w:rsid w:val="7D152B2E"/>
    <w:rsid w:val="7E3420E0"/>
    <w:rsid w:val="7E535DCD"/>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2018</Words>
  <Characters>2177</Characters>
  <Lines>0</Lines>
  <Paragraphs>0</Paragraphs>
  <TotalTime>0</TotalTime>
  <ScaleCrop>false</ScaleCrop>
  <LinksUpToDate>false</LinksUpToDate>
  <CharactersWithSpaces>2435</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hepeng</cp:lastModifiedBy>
  <dcterms:modified xsi:type="dcterms:W3CDTF">2026-06-25T01:25:47Z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8A8C54658E2D41C7A1BB357F29FDF6BB</vt:lpwstr>
  </property>
  <property fmtid="{D5CDD505-2E9C-101B-9397-08002B2CF9AE}" pid="4" name="KSOTemplateDocerSaveRecord">
    <vt:lpwstr>eyJoZGlkIjoiODBmNWZiZTY4NjBkM2VmMzA2ZmMzOWI1MWM5NTFmNTMiLCJ1c2VySWQiOiIyNDQ3NjEzNjQifQ==</vt:lpwstr>
  </property>
</Properties>
</file>