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BBD410">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 xml:space="preserve"> 110千伏旗坊输变电工程监理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14:paraId="62932BCB">
      <w:pPr>
        <w:pStyle w:val="10"/>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14:paraId="41C751EC">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14:paraId="79002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14:paraId="292451C8">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14:paraId="024AF2C5">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14:paraId="3053FE7F">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14:paraId="414E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2CF21F65">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14:paraId="5053ECA5">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14:paraId="4575E1FC">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广供电基〔2025〕81号</w:t>
            </w:r>
          </w:p>
        </w:tc>
      </w:tr>
      <w:tr w14:paraId="17F32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23456162">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14:paraId="7F75A78F">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14:paraId="0D6D588D">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穗发改核准〔2025〕15号</w:t>
            </w:r>
          </w:p>
        </w:tc>
      </w:tr>
      <w:tr w14:paraId="171F7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28970D4">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14:paraId="2CD65D24">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14:paraId="0B93FA85">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广供电资〔2025〕41号</w:t>
            </w:r>
          </w:p>
        </w:tc>
      </w:tr>
      <w:tr w14:paraId="43564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6145A00D">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14:paraId="2C19639D">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14:paraId="63D4CF8B">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14:paraId="5160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3EF4099B">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14:paraId="5E5616ED">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14:paraId="6689F53A">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广州市海珠区</w:t>
            </w:r>
          </w:p>
        </w:tc>
      </w:tr>
      <w:tr w14:paraId="43F2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14:paraId="7AE6FBA5">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14:paraId="3379923A">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14:paraId="78B65E73">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广州电力设计院有限公司</w:t>
            </w:r>
          </w:p>
        </w:tc>
      </w:tr>
      <w:tr w14:paraId="5B310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14:paraId="5A6D9723">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14:paraId="13165DA3">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14:paraId="4E9BB304">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合同签订之日起545日历天，实际工期以开工报告、竣工报告为准。</w:t>
            </w:r>
          </w:p>
        </w:tc>
      </w:tr>
    </w:tbl>
    <w:p w14:paraId="001BF0DA">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14:paraId="62122C85">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14:paraId="5B1E1BE2">
      <w:pPr>
        <w:pStyle w:val="10"/>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※变电部分: </w:t>
      </w:r>
    </w:p>
    <w:p w14:paraId="4C9AF47D">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1、110千伏旗坊变电站工程</w:t>
      </w:r>
    </w:p>
    <w:p w14:paraId="3FC58A62">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本期</w:t>
      </w:r>
      <w:r>
        <w:rPr>
          <w:rFonts w:hint="eastAsia" w:hAnsi="宋体" w:cs="宋体"/>
          <w:b w:val="0"/>
          <w:bCs/>
          <w:color w:val="auto"/>
          <w:sz w:val="24"/>
          <w:szCs w:val="24"/>
          <w:highlight w:val="none"/>
          <w:lang w:val="en-US" w:eastAsia="zh-CN"/>
        </w:rPr>
        <w:t>新建63兆伏安主变压器2台，110千伏出线2回，10千伏出线2×16回，每台主变10千伏侧各安装2组6兆乏低压并联电容器和1组6兆乏低压并联电抗器</w:t>
      </w:r>
      <w:r>
        <w:rPr>
          <w:rFonts w:hint="eastAsia" w:ascii="宋体" w:hAnsi="宋体" w:eastAsia="宋体" w:cs="宋体"/>
          <w:b w:val="0"/>
          <w:bCs/>
          <w:color w:val="auto"/>
          <w:sz w:val="24"/>
          <w:szCs w:val="24"/>
          <w:highlight w:val="none"/>
          <w:lang w:val="en-US" w:eastAsia="zh-CN"/>
        </w:rPr>
        <w:t>。</w:t>
      </w:r>
    </w:p>
    <w:p w14:paraId="2E1ABF74">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本期110千伏采用线路-变压器组单元接线。</w:t>
      </w:r>
    </w:p>
    <w:p w14:paraId="1156E70D">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主变采用三相油浸自冷加风扇有载调压的双绕组变压器。110千伏采用户内GIS设备，10千伏采用具有“五防”功能的KYN型金属铠装移开式真空开关柜设备。</w:t>
      </w:r>
    </w:p>
    <w:p w14:paraId="4527CB84">
      <w:pPr>
        <w:pStyle w:val="10"/>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对侧220千伏磨碟洲站改造工程</w:t>
      </w:r>
    </w:p>
    <w:p w14:paraId="7803E730">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本期对原磨岗厚线电缆终端进行非常规扩建一个GIS电缆筒，接至旗坊站#1主变。</w:t>
      </w:r>
    </w:p>
    <w:p w14:paraId="57CB8845">
      <w:pPr>
        <w:pStyle w:val="10"/>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对侧110千伏琶洲站改造工程</w:t>
      </w:r>
    </w:p>
    <w:p w14:paraId="48BB3DC1">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outlineLvl w:val="9"/>
        <w:rPr>
          <w:rFonts w:hint="default"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本期利用热赤琶线旁的备用电缆终端接至旗坊站#2主变。</w:t>
      </w:r>
    </w:p>
    <w:p w14:paraId="78361CCE">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p>
    <w:p w14:paraId="5967A18E">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hAnsi="宋体" w:cs="宋体"/>
          <w:b w:val="0"/>
          <w:bCs/>
          <w:color w:val="auto"/>
          <w:sz w:val="24"/>
          <w:szCs w:val="24"/>
          <w:highlight w:val="none"/>
          <w:lang w:val="en-US" w:eastAsia="zh-CN"/>
        </w:rPr>
      </w:pPr>
    </w:p>
    <w:p w14:paraId="1C0C8066">
      <w:pPr>
        <w:pStyle w:val="10"/>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※电缆线路部分:</w:t>
      </w:r>
    </w:p>
    <w:p w14:paraId="2BDB3B69">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110千伏旗坊站新建2回110千伏线路，1回T接110千伏磨岗厚线，T接点在磨碟洲站；另1回T接110千伏热赤琶线，T接点在琶洲站内</w:t>
      </w:r>
      <w:r>
        <w:rPr>
          <w:rFonts w:hint="eastAsia" w:ascii="宋体" w:hAnsi="宋体" w:eastAsia="宋体" w:cs="宋体"/>
          <w:b w:val="0"/>
          <w:bCs/>
          <w:color w:val="auto"/>
          <w:sz w:val="24"/>
          <w:szCs w:val="24"/>
          <w:highlight w:val="none"/>
          <w:lang w:val="en-US" w:eastAsia="zh-CN"/>
        </w:rPr>
        <w:t>。</w:t>
      </w:r>
    </w:p>
    <w:p w14:paraId="1545AF7D">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1、110千伏磨岗厚线单回T接进旗坊站电缆线路工程：新建电缆线路路径长约1×2.52千米。</w:t>
      </w:r>
    </w:p>
    <w:p w14:paraId="2B1D8268">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2、110千伏热赤琶线单回T接进旗坊站电缆线路工程：新建电缆线路路径长约1×4.93千米。琶洲站外接驳保利电力隧道需新建站外电缆沟或埋管，长度约85米。</w:t>
      </w:r>
    </w:p>
    <w:p w14:paraId="586E6984">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outlineLvl w:val="9"/>
        <w:rPr>
          <w:rFonts w:hint="default"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新建电缆型号：YJLW02-Z64/110 1×1200GB/T 11017.2-2024（隧道内）/YJLW03-Z64/110 1×1200 GB/T 11017.2-2024（隧道外）。</w:t>
      </w:r>
    </w:p>
    <w:p w14:paraId="34EB6F70">
      <w:pPr>
        <w:pStyle w:val="10"/>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※通信部分:</w:t>
      </w:r>
    </w:p>
    <w:p w14:paraId="2D4D7BA7">
      <w:pPr>
        <w:pStyle w:val="10"/>
        <w:keepNext w:val="0"/>
        <w:keepLines w:val="0"/>
        <w:pageBreakBefore w:val="0"/>
        <w:widowControl w:val="0"/>
        <w:numPr>
          <w:ilvl w:val="0"/>
          <w:numId w:val="3"/>
        </w:numPr>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光缆建设</w:t>
      </w:r>
    </w:p>
    <w:p w14:paraId="4F33F2D8">
      <w:pPr>
        <w:keepNext w:val="0"/>
        <w:keepLines w:val="0"/>
        <w:widowControl/>
        <w:suppressLineNumbers w:val="0"/>
        <w:jc w:val="left"/>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随新建磨碟洲～旗坊（旗坊T接磨岗厚线）单回110千伏电缆线路，新建磨碟洲站～旗坊1条48芯管道光缆，管道光缆长约3.2千米（含入站光缆）。</w:t>
      </w:r>
    </w:p>
    <w:p w14:paraId="77093857">
      <w:pPr>
        <w:pStyle w:val="2"/>
        <w:rPr>
          <w:rFonts w:hint="default"/>
          <w:lang w:val="en-US"/>
        </w:rPr>
      </w:pPr>
      <w:r>
        <w:rPr>
          <w:rFonts w:hint="eastAsia" w:hAnsi="宋体" w:cs="宋体"/>
          <w:b w:val="0"/>
          <w:bCs/>
          <w:color w:val="auto"/>
          <w:sz w:val="24"/>
          <w:szCs w:val="24"/>
          <w:highlight w:val="none"/>
          <w:lang w:val="en-US" w:eastAsia="zh-CN"/>
        </w:rPr>
        <w:t>随新建琶洲～旗坊（旗坊T接热赤琶线）单回110千伏电缆线路，新建磨琶洲站～旗坊1条48芯光道光缆，管道光缆长约5.8千米（含入站光缆）。</w:t>
      </w:r>
    </w:p>
    <w:p w14:paraId="076F7BDD">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0" w:leftChars="0"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设备配置</w:t>
      </w:r>
    </w:p>
    <w:p w14:paraId="24539E7F">
      <w:pPr>
        <w:pStyle w:val="2"/>
        <w:numPr>
          <w:ilvl w:val="0"/>
          <w:numId w:val="0"/>
        </w:numPr>
        <w:ind w:leftChars="200"/>
        <w:rPr>
          <w:rFonts w:hint="eastAsia"/>
          <w:lang w:val="en-US" w:eastAsia="zh-CN"/>
        </w:rPr>
      </w:pPr>
      <w:r>
        <w:rPr>
          <w:rFonts w:hint="eastAsia"/>
          <w:lang w:val="en-US" w:eastAsia="zh-CN"/>
        </w:rPr>
        <w:t xml:space="preserve">  本期建设110千伏旗坊变电站站内光纤通信设备及对侧站板卡。</w:t>
      </w:r>
    </w:p>
    <w:p w14:paraId="7F9559D9">
      <w:pPr>
        <w:pStyle w:val="10"/>
        <w:keepNext w:val="0"/>
        <w:keepLines w:val="0"/>
        <w:pageBreakBefore w:val="0"/>
        <w:numPr>
          <w:ilvl w:val="0"/>
          <w:numId w:val="0"/>
        </w:numPr>
        <w:kinsoku/>
        <w:wordWrap/>
        <w:overflowPunct/>
        <w:topLinePunct w:val="0"/>
        <w:bidi w:val="0"/>
        <w:adjustRightInd w:val="0"/>
        <w:snapToGrid w:val="0"/>
        <w:spacing w:line="240" w:lineRule="auto"/>
        <w:textAlignment w:val="auto"/>
        <w:outlineLvl w:val="9"/>
        <w:rPr>
          <w:rFonts w:hint="default"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具体建设规模以图纸为准。</w:t>
      </w:r>
    </w:p>
    <w:p w14:paraId="6407DC1E">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14:paraId="64E5A0F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eastAsia"/>
          <w:highlight w:val="none"/>
          <w:lang w:val="en-US" w:eastAsia="zh-CN"/>
        </w:rPr>
      </w:pPr>
      <w:r>
        <w:rPr>
          <w:rFonts w:hint="eastAsia" w:hAnsi="宋体"/>
          <w:color w:val="auto"/>
          <w:sz w:val="24"/>
          <w:szCs w:val="24"/>
          <w:highlight w:val="none"/>
          <w:u w:val="single"/>
        </w:rPr>
        <w:t>勘察设计、施工准备（含三通一平）、施工（含通信）、竣工结算、缺陷责任期、电子化移交的全过程监理</w:t>
      </w:r>
      <w:r>
        <w:rPr>
          <w:rFonts w:hint="eastAsia" w:hAnsi="宋体"/>
          <w:color w:val="auto"/>
          <w:sz w:val="24"/>
          <w:szCs w:val="24"/>
          <w:highlight w:val="none"/>
          <w:u w:val="single"/>
          <w:lang w:eastAsia="zh-CN"/>
        </w:rPr>
        <w:t>，以及初步设计概算（或施工图预算）中监理计费范围以外但与工程相关的监理工作。</w:t>
      </w:r>
      <w:r>
        <w:rPr>
          <w:rFonts w:hint="eastAsia" w:hAnsi="宋体"/>
          <w:color w:val="auto"/>
          <w:sz w:val="24"/>
          <w:szCs w:val="24"/>
          <w:highlight w:val="none"/>
          <w:u w:val="single"/>
        </w:rPr>
        <w:t>按照建设单位要求使用工程信息管理系统</w:t>
      </w:r>
      <w:r>
        <w:rPr>
          <w:rFonts w:hint="eastAsia" w:hAnsi="宋体"/>
          <w:color w:val="auto"/>
          <w:sz w:val="24"/>
          <w:szCs w:val="24"/>
          <w:highlight w:val="none"/>
        </w:rPr>
        <w:t>。</w:t>
      </w:r>
    </w:p>
    <w:p w14:paraId="2D76EF13">
      <w:pPr>
        <w:pStyle w:val="5"/>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2"/>
        <w:tblpPr w:leftFromText="180" w:rightFromText="180" w:vertAnchor="text" w:horzAnchor="page" w:tblpX="1646" w:tblpY="65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242"/>
        <w:gridCol w:w="1519"/>
        <w:gridCol w:w="1033"/>
        <w:gridCol w:w="1559"/>
        <w:gridCol w:w="1134"/>
      </w:tblGrid>
      <w:tr w14:paraId="31FD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bottom w:val="single" w:color="auto" w:sz="4" w:space="0"/>
            </w:tcBorders>
            <w:noWrap w:val="0"/>
            <w:vAlign w:val="center"/>
          </w:tcPr>
          <w:p w14:paraId="53E1388E">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242" w:type="dxa"/>
            <w:tcBorders>
              <w:bottom w:val="single" w:color="auto" w:sz="4" w:space="0"/>
            </w:tcBorders>
            <w:noWrap w:val="0"/>
            <w:vAlign w:val="center"/>
          </w:tcPr>
          <w:p w14:paraId="3762E451">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519" w:type="dxa"/>
            <w:noWrap w:val="0"/>
            <w:vAlign w:val="top"/>
          </w:tcPr>
          <w:p w14:paraId="159EDF4F">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033" w:type="dxa"/>
            <w:tcBorders>
              <w:bottom w:val="single" w:color="auto" w:sz="4" w:space="0"/>
            </w:tcBorders>
            <w:noWrap w:val="0"/>
            <w:vAlign w:val="center"/>
          </w:tcPr>
          <w:p w14:paraId="258F9F6C">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559" w:type="dxa"/>
            <w:tcBorders>
              <w:bottom w:val="single" w:color="auto" w:sz="4" w:space="0"/>
            </w:tcBorders>
            <w:noWrap w:val="0"/>
            <w:vAlign w:val="top"/>
          </w:tcPr>
          <w:p w14:paraId="726AFF0C">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34" w:type="dxa"/>
            <w:tcBorders>
              <w:bottom w:val="single" w:color="auto" w:sz="4" w:space="0"/>
            </w:tcBorders>
            <w:noWrap w:val="0"/>
            <w:vAlign w:val="center"/>
          </w:tcPr>
          <w:p w14:paraId="762D7AFC">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14:paraId="29922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3725BE9E">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0"/>
                <w:szCs w:val="20"/>
                <w:u w:val="none"/>
                <w:lang w:val="en-US" w:eastAsia="zh-CN" w:bidi="ar"/>
              </w:rPr>
              <w:t xml:space="preserve">1 </w:t>
            </w:r>
          </w:p>
        </w:tc>
        <w:tc>
          <w:tcPr>
            <w:tcW w:w="2242" w:type="dxa"/>
            <w:tcBorders>
              <w:top w:val="single" w:color="auto" w:sz="4" w:space="0"/>
              <w:bottom w:val="single" w:color="auto" w:sz="4" w:space="0"/>
            </w:tcBorders>
            <w:noWrap w:val="0"/>
            <w:vAlign w:val="center"/>
          </w:tcPr>
          <w:p w14:paraId="5DE8DCB2">
            <w:pPr>
              <w:keepNext w:val="0"/>
              <w:keepLines w:val="0"/>
              <w:widowControl/>
              <w:suppressLineNumbers w:val="0"/>
              <w:jc w:val="left"/>
              <w:textAlignment w:val="center"/>
              <w:rPr>
                <w:rFonts w:hint="default" w:asciiTheme="minorEastAsia" w:hAnsiTheme="minorEastAsia" w:eastAsiaTheme="minorEastAsia" w:cstheme="minorEastAsia"/>
                <w:color w:val="auto"/>
                <w:highlight w:val="none"/>
                <w:u w:val="none"/>
                <w:lang w:val="en-US"/>
              </w:rPr>
            </w:pPr>
            <w:r>
              <w:rPr>
                <w:rFonts w:hint="eastAsia" w:ascii="宋体" w:hAnsi="宋体" w:eastAsia="宋体" w:cs="宋体"/>
                <w:b w:val="0"/>
                <w:bCs w:val="0"/>
                <w:i w:val="0"/>
                <w:iCs w:val="0"/>
                <w:color w:val="000000"/>
                <w:kern w:val="0"/>
                <w:sz w:val="20"/>
                <w:szCs w:val="20"/>
                <w:u w:val="none"/>
                <w:lang w:val="en-US" w:eastAsia="zh-CN" w:bidi="ar"/>
              </w:rPr>
              <w:t>110千伏</w:t>
            </w:r>
            <w:r>
              <w:rPr>
                <w:rFonts w:hint="eastAsia" w:ascii="宋体" w:hAnsi="宋体" w:cs="宋体"/>
                <w:b w:val="0"/>
                <w:bCs w:val="0"/>
                <w:i w:val="0"/>
                <w:iCs w:val="0"/>
                <w:color w:val="000000"/>
                <w:kern w:val="0"/>
                <w:sz w:val="20"/>
                <w:szCs w:val="20"/>
                <w:u w:val="none"/>
                <w:lang w:val="en-US" w:eastAsia="zh-CN" w:bidi="ar"/>
              </w:rPr>
              <w:t>旗坊输变电工程</w:t>
            </w:r>
          </w:p>
        </w:tc>
        <w:tc>
          <w:tcPr>
            <w:tcW w:w="1519" w:type="dxa"/>
            <w:noWrap w:val="0"/>
            <w:vAlign w:val="center"/>
          </w:tcPr>
          <w:p w14:paraId="232241A2">
            <w:pPr>
              <w:keepNext w:val="0"/>
              <w:keepLines w:val="0"/>
              <w:widowControl/>
              <w:suppressLineNumbers w:val="0"/>
              <w:jc w:val="right"/>
              <w:textAlignment w:val="center"/>
              <w:rPr>
                <w:rFonts w:hint="default" w:ascii="宋体" w:hAnsi="宋体"/>
                <w:color w:val="auto"/>
                <w:highlight w:val="none"/>
                <w:lang w:val="en-US"/>
              </w:rPr>
            </w:pPr>
            <w:r>
              <w:rPr>
                <w:rFonts w:hint="eastAsia" w:ascii="宋体" w:hAnsi="宋体" w:cs="宋体"/>
                <w:b/>
                <w:bCs/>
                <w:i w:val="0"/>
                <w:iCs w:val="0"/>
                <w:color w:val="000000"/>
                <w:kern w:val="0"/>
                <w:sz w:val="22"/>
                <w:szCs w:val="22"/>
                <w:highlight w:val="none"/>
                <w:u w:val="none"/>
                <w:lang w:val="en-US" w:eastAsia="zh-CN" w:bidi="ar"/>
              </w:rPr>
              <w:t xml:space="preserve">2383329.75 </w:t>
            </w:r>
          </w:p>
        </w:tc>
        <w:tc>
          <w:tcPr>
            <w:tcW w:w="1033" w:type="dxa"/>
            <w:vMerge w:val="restart"/>
            <w:tcBorders>
              <w:top w:val="single" w:color="auto" w:sz="4" w:space="0"/>
            </w:tcBorders>
            <w:noWrap w:val="0"/>
            <w:vAlign w:val="center"/>
          </w:tcPr>
          <w:p w14:paraId="116D0FAB">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559" w:type="dxa"/>
            <w:tcBorders>
              <w:top w:val="single" w:color="auto" w:sz="4" w:space="0"/>
            </w:tcBorders>
            <w:noWrap w:val="0"/>
            <w:vAlign w:val="top"/>
          </w:tcPr>
          <w:p w14:paraId="521A041A">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4E1804F3">
            <w:pPr>
              <w:tabs>
                <w:tab w:val="left" w:pos="900"/>
              </w:tabs>
              <w:snapToGrid w:val="0"/>
              <w:spacing w:before="60" w:after="120"/>
              <w:ind w:right="-24"/>
              <w:jc w:val="center"/>
              <w:rPr>
                <w:rFonts w:ascii="宋体" w:hAnsi="宋体"/>
                <w:color w:val="auto"/>
                <w:highlight w:val="none"/>
              </w:rPr>
            </w:pPr>
          </w:p>
        </w:tc>
      </w:tr>
      <w:tr w14:paraId="717E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7CE8FEB8">
            <w:pPr>
              <w:keepNext w:val="0"/>
              <w:keepLines w:val="0"/>
              <w:widowControl/>
              <w:suppressLineNumbers w:val="0"/>
              <w:jc w:val="center"/>
              <w:textAlignment w:val="center"/>
              <w:rPr>
                <w:rFonts w:hint="default" w:ascii="宋体" w:hAnsi="宋体" w:eastAsia="宋体"/>
                <w:color w:val="auto"/>
                <w:highlight w:val="none"/>
                <w:lang w:val="en-US" w:eastAsia="zh-CN"/>
              </w:rPr>
            </w:pPr>
            <w:r>
              <w:rPr>
                <w:rFonts w:hint="eastAsia" w:ascii="宋体" w:hAnsi="宋体" w:eastAsia="宋体" w:cs="宋体"/>
                <w:i w:val="0"/>
                <w:iCs w:val="0"/>
                <w:color w:val="000000"/>
                <w:kern w:val="0"/>
                <w:sz w:val="20"/>
                <w:szCs w:val="20"/>
                <w:u w:val="none"/>
                <w:lang w:val="en-US" w:eastAsia="zh-CN" w:bidi="ar"/>
              </w:rPr>
              <w:t>1.1</w:t>
            </w:r>
          </w:p>
        </w:tc>
        <w:tc>
          <w:tcPr>
            <w:tcW w:w="2242" w:type="dxa"/>
            <w:tcBorders>
              <w:top w:val="single" w:color="auto" w:sz="4" w:space="0"/>
              <w:bottom w:val="single" w:color="auto" w:sz="4" w:space="0"/>
            </w:tcBorders>
            <w:noWrap w:val="0"/>
            <w:vAlign w:val="center"/>
          </w:tcPr>
          <w:p w14:paraId="0FC16659">
            <w:pPr>
              <w:keepNext w:val="0"/>
              <w:keepLines w:val="0"/>
              <w:widowControl/>
              <w:suppressLineNumbers w:val="0"/>
              <w:jc w:val="left"/>
              <w:textAlignment w:val="center"/>
              <w:rPr>
                <w:rFonts w:hint="default" w:asciiTheme="minorEastAsia" w:hAnsiTheme="minorEastAsia" w:eastAsiaTheme="minorEastAsia" w:cstheme="minorEastAsia"/>
                <w:color w:val="auto"/>
                <w:highlight w:val="none"/>
                <w:u w:val="none"/>
                <w:lang w:val="en-US"/>
              </w:rPr>
            </w:pPr>
            <w:r>
              <w:rPr>
                <w:rFonts w:hint="eastAsia" w:ascii="宋体" w:hAnsi="宋体" w:eastAsia="宋体" w:cs="宋体"/>
                <w:b w:val="0"/>
                <w:bCs w:val="0"/>
                <w:i w:val="0"/>
                <w:iCs w:val="0"/>
                <w:color w:val="000000"/>
                <w:kern w:val="0"/>
                <w:sz w:val="20"/>
                <w:szCs w:val="20"/>
                <w:u w:val="none"/>
                <w:lang w:val="en-US" w:eastAsia="zh-CN" w:bidi="ar"/>
              </w:rPr>
              <w:t>110千伏</w:t>
            </w:r>
            <w:r>
              <w:rPr>
                <w:rFonts w:hint="eastAsia" w:ascii="宋体" w:hAnsi="宋体" w:cs="宋体"/>
                <w:b w:val="0"/>
                <w:bCs w:val="0"/>
                <w:i w:val="0"/>
                <w:iCs w:val="0"/>
                <w:color w:val="000000"/>
                <w:kern w:val="0"/>
                <w:sz w:val="20"/>
                <w:szCs w:val="20"/>
                <w:u w:val="none"/>
                <w:lang w:val="en-US" w:eastAsia="zh-CN" w:bidi="ar"/>
              </w:rPr>
              <w:t>旗坊变电站工程</w:t>
            </w:r>
          </w:p>
        </w:tc>
        <w:tc>
          <w:tcPr>
            <w:tcW w:w="1519" w:type="dxa"/>
            <w:noWrap w:val="0"/>
            <w:vAlign w:val="center"/>
          </w:tcPr>
          <w:p w14:paraId="6F0526A1">
            <w:pPr>
              <w:keepNext w:val="0"/>
              <w:keepLines w:val="0"/>
              <w:widowControl/>
              <w:suppressLineNumbers w:val="0"/>
              <w:jc w:val="right"/>
              <w:textAlignment w:val="center"/>
              <w:rPr>
                <w:rFonts w:ascii="宋体" w:hAnsi="宋体"/>
                <w:color w:val="auto"/>
                <w:highlight w:val="none"/>
              </w:rPr>
            </w:pPr>
            <w:r>
              <w:rPr>
                <w:rFonts w:hint="eastAsia" w:ascii="宋体" w:hAnsi="宋体" w:cs="宋体"/>
                <w:i w:val="0"/>
                <w:iCs w:val="0"/>
                <w:color w:val="000000"/>
                <w:kern w:val="0"/>
                <w:sz w:val="22"/>
                <w:szCs w:val="22"/>
                <w:highlight w:val="none"/>
                <w:u w:val="none"/>
                <w:lang w:val="en-US" w:eastAsia="zh-CN" w:bidi="ar"/>
              </w:rPr>
              <w:t>2083863.54</w:t>
            </w:r>
            <w:r>
              <w:rPr>
                <w:rFonts w:hint="eastAsia" w:ascii="宋体" w:hAnsi="宋体" w:eastAsia="宋体" w:cs="宋体"/>
                <w:i w:val="0"/>
                <w:iCs w:val="0"/>
                <w:color w:val="000000"/>
                <w:kern w:val="0"/>
                <w:sz w:val="22"/>
                <w:szCs w:val="22"/>
                <w:highlight w:val="none"/>
                <w:u w:val="none"/>
                <w:lang w:val="en-US" w:eastAsia="zh-CN" w:bidi="ar"/>
              </w:rPr>
              <w:t xml:space="preserve">  </w:t>
            </w:r>
          </w:p>
        </w:tc>
        <w:tc>
          <w:tcPr>
            <w:tcW w:w="1033" w:type="dxa"/>
            <w:vMerge w:val="continue"/>
            <w:noWrap w:val="0"/>
            <w:vAlign w:val="center"/>
          </w:tcPr>
          <w:p w14:paraId="0F1E3AEC">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0EE12FDE">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367446DC">
            <w:pPr>
              <w:tabs>
                <w:tab w:val="left" w:pos="900"/>
              </w:tabs>
              <w:snapToGrid w:val="0"/>
              <w:spacing w:before="60" w:after="120"/>
              <w:ind w:right="-24"/>
              <w:jc w:val="center"/>
              <w:rPr>
                <w:rFonts w:ascii="宋体" w:hAnsi="宋体"/>
                <w:color w:val="auto"/>
                <w:highlight w:val="none"/>
              </w:rPr>
            </w:pPr>
          </w:p>
        </w:tc>
      </w:tr>
      <w:tr w14:paraId="5B92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476F45B7">
            <w:pPr>
              <w:keepNext w:val="0"/>
              <w:keepLines w:val="0"/>
              <w:widowControl/>
              <w:suppressLineNumbers w:val="0"/>
              <w:jc w:val="center"/>
              <w:textAlignment w:val="center"/>
              <w:rPr>
                <w:rFonts w:hint="default" w:ascii="宋体" w:hAnsi="宋体" w:eastAsia="宋体"/>
                <w:color w:val="auto"/>
                <w:highlight w:val="none"/>
                <w:lang w:val="en-US" w:eastAsia="zh-CN"/>
              </w:rPr>
            </w:pPr>
            <w:r>
              <w:rPr>
                <w:rFonts w:hint="eastAsia" w:ascii="宋体" w:hAnsi="宋体" w:eastAsia="宋体" w:cs="宋体"/>
                <w:i w:val="0"/>
                <w:iCs w:val="0"/>
                <w:color w:val="000000"/>
                <w:kern w:val="0"/>
                <w:sz w:val="20"/>
                <w:szCs w:val="20"/>
                <w:u w:val="none"/>
                <w:lang w:val="en-US" w:eastAsia="zh-CN" w:bidi="ar"/>
              </w:rPr>
              <w:t>1.2</w:t>
            </w:r>
          </w:p>
        </w:tc>
        <w:tc>
          <w:tcPr>
            <w:tcW w:w="2242" w:type="dxa"/>
            <w:tcBorders>
              <w:top w:val="single" w:color="auto" w:sz="4" w:space="0"/>
              <w:bottom w:val="single" w:color="auto" w:sz="4" w:space="0"/>
            </w:tcBorders>
            <w:noWrap w:val="0"/>
            <w:vAlign w:val="center"/>
          </w:tcPr>
          <w:p w14:paraId="1C2F31CE">
            <w:pPr>
              <w:keepNext w:val="0"/>
              <w:keepLines w:val="0"/>
              <w:widowControl/>
              <w:suppressLineNumbers w:val="0"/>
              <w:jc w:val="left"/>
              <w:textAlignment w:val="center"/>
              <w:rPr>
                <w:rFonts w:hint="default" w:asciiTheme="minorEastAsia" w:hAnsiTheme="minorEastAsia" w:eastAsiaTheme="minorEastAsia" w:cstheme="minorEastAsia"/>
                <w:color w:val="auto"/>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对侧110kV琶洲站改造工程</w:t>
            </w:r>
          </w:p>
        </w:tc>
        <w:tc>
          <w:tcPr>
            <w:tcW w:w="1519" w:type="dxa"/>
            <w:noWrap w:val="0"/>
            <w:vAlign w:val="center"/>
          </w:tcPr>
          <w:p w14:paraId="4C8D9160">
            <w:pPr>
              <w:keepNext w:val="0"/>
              <w:keepLines w:val="0"/>
              <w:widowControl/>
              <w:suppressLineNumbers w:val="0"/>
              <w:jc w:val="right"/>
              <w:textAlignment w:val="center"/>
              <w:rPr>
                <w:rFonts w:ascii="宋体" w:hAnsi="宋体"/>
                <w:color w:val="auto"/>
                <w:highlight w:val="none"/>
              </w:rPr>
            </w:pPr>
            <w:r>
              <w:rPr>
                <w:rFonts w:hint="eastAsia" w:ascii="宋体" w:hAnsi="宋体" w:cs="宋体"/>
                <w:i w:val="0"/>
                <w:iCs w:val="0"/>
                <w:color w:val="000000"/>
                <w:kern w:val="0"/>
                <w:sz w:val="22"/>
                <w:szCs w:val="22"/>
                <w:highlight w:val="none"/>
                <w:u w:val="none"/>
                <w:lang w:val="en-US" w:eastAsia="zh-CN" w:bidi="ar"/>
              </w:rPr>
              <w:t>3281.87</w:t>
            </w:r>
            <w:r>
              <w:rPr>
                <w:rFonts w:hint="eastAsia" w:ascii="宋体" w:hAnsi="宋体" w:eastAsia="宋体" w:cs="宋体"/>
                <w:i w:val="0"/>
                <w:iCs w:val="0"/>
                <w:color w:val="000000"/>
                <w:kern w:val="0"/>
                <w:sz w:val="22"/>
                <w:szCs w:val="22"/>
                <w:highlight w:val="none"/>
                <w:u w:val="none"/>
                <w:lang w:val="en-US" w:eastAsia="zh-CN" w:bidi="ar"/>
              </w:rPr>
              <w:t xml:space="preserve"> </w:t>
            </w:r>
          </w:p>
        </w:tc>
        <w:tc>
          <w:tcPr>
            <w:tcW w:w="1033" w:type="dxa"/>
            <w:vMerge w:val="continue"/>
            <w:noWrap w:val="0"/>
            <w:vAlign w:val="center"/>
          </w:tcPr>
          <w:p w14:paraId="6DAE13B7">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790DD468">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043AB0C9">
            <w:pPr>
              <w:tabs>
                <w:tab w:val="left" w:pos="900"/>
              </w:tabs>
              <w:snapToGrid w:val="0"/>
              <w:spacing w:before="60" w:after="120"/>
              <w:ind w:right="-24"/>
              <w:jc w:val="center"/>
              <w:rPr>
                <w:rFonts w:ascii="宋体" w:hAnsi="宋体"/>
                <w:color w:val="auto"/>
                <w:highlight w:val="none"/>
              </w:rPr>
            </w:pPr>
          </w:p>
        </w:tc>
      </w:tr>
      <w:tr w14:paraId="2A40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285B1437">
            <w:pPr>
              <w:keepNext w:val="0"/>
              <w:keepLines w:val="0"/>
              <w:widowControl/>
              <w:suppressLineNumbers w:val="0"/>
              <w:jc w:val="center"/>
              <w:textAlignment w:val="center"/>
              <w:rPr>
                <w:rFonts w:hint="default" w:ascii="宋体" w:hAnsi="宋体" w:eastAsia="宋体"/>
                <w:color w:val="auto"/>
                <w:highlight w:val="none"/>
                <w:lang w:val="en-US" w:eastAsia="zh-CN"/>
              </w:rPr>
            </w:pPr>
            <w:r>
              <w:rPr>
                <w:rFonts w:hint="eastAsia" w:ascii="宋体" w:hAnsi="宋体" w:eastAsia="宋体" w:cs="宋体"/>
                <w:i w:val="0"/>
                <w:iCs w:val="0"/>
                <w:color w:val="000000"/>
                <w:kern w:val="0"/>
                <w:sz w:val="20"/>
                <w:szCs w:val="20"/>
                <w:u w:val="none"/>
                <w:lang w:val="en-US" w:eastAsia="zh-CN" w:bidi="ar"/>
              </w:rPr>
              <w:t>1.3</w:t>
            </w:r>
          </w:p>
        </w:tc>
        <w:tc>
          <w:tcPr>
            <w:tcW w:w="2242" w:type="dxa"/>
            <w:tcBorders>
              <w:top w:val="single" w:color="auto" w:sz="4" w:space="0"/>
              <w:bottom w:val="single" w:color="auto" w:sz="4" w:space="0"/>
            </w:tcBorders>
            <w:noWrap w:val="0"/>
            <w:vAlign w:val="center"/>
          </w:tcPr>
          <w:p w14:paraId="4D8281EF">
            <w:pPr>
              <w:keepNext w:val="0"/>
              <w:keepLines w:val="0"/>
              <w:widowControl/>
              <w:suppressLineNumbers w:val="0"/>
              <w:jc w:val="left"/>
              <w:textAlignment w:val="center"/>
              <w:rPr>
                <w:rFonts w:hint="eastAsia" w:asciiTheme="minorEastAsia" w:hAnsiTheme="minorEastAsia" w:eastAsiaTheme="minorEastAsia" w:cstheme="minorEastAsia"/>
                <w:color w:val="auto"/>
                <w:highlight w:val="none"/>
                <w:u w:val="none"/>
              </w:rPr>
            </w:pPr>
            <w:r>
              <w:rPr>
                <w:rFonts w:hint="eastAsia" w:ascii="宋体" w:hAnsi="宋体" w:eastAsia="宋体" w:cs="宋体"/>
                <w:i w:val="0"/>
                <w:iCs w:val="0"/>
                <w:color w:val="000000"/>
                <w:kern w:val="0"/>
                <w:sz w:val="21"/>
                <w:szCs w:val="21"/>
                <w:highlight w:val="none"/>
                <w:u w:val="none"/>
                <w:lang w:val="en-US" w:eastAsia="zh-CN" w:bidi="ar"/>
              </w:rPr>
              <w:t>对侧220kV磨碟洲站间隔改造工程</w:t>
            </w:r>
          </w:p>
        </w:tc>
        <w:tc>
          <w:tcPr>
            <w:tcW w:w="1519" w:type="dxa"/>
            <w:noWrap w:val="0"/>
            <w:vAlign w:val="center"/>
          </w:tcPr>
          <w:p w14:paraId="0209EB9B">
            <w:pPr>
              <w:keepNext w:val="0"/>
              <w:keepLines w:val="0"/>
              <w:widowControl/>
              <w:suppressLineNumbers w:val="0"/>
              <w:jc w:val="right"/>
              <w:textAlignment w:val="center"/>
              <w:rPr>
                <w:rFonts w:ascii="宋体" w:hAnsi="宋体"/>
                <w:color w:val="auto"/>
                <w:highlight w:val="none"/>
              </w:rPr>
            </w:pPr>
            <w:r>
              <w:rPr>
                <w:rFonts w:hint="eastAsia" w:ascii="宋体" w:hAnsi="宋体" w:cs="宋体"/>
                <w:i w:val="0"/>
                <w:iCs w:val="0"/>
                <w:color w:val="000000"/>
                <w:kern w:val="0"/>
                <w:sz w:val="22"/>
                <w:szCs w:val="22"/>
                <w:highlight w:val="none"/>
                <w:u w:val="none"/>
                <w:lang w:val="en-US" w:eastAsia="zh-CN" w:bidi="ar"/>
              </w:rPr>
              <w:t>413.26</w:t>
            </w:r>
            <w:r>
              <w:rPr>
                <w:rFonts w:hint="eastAsia" w:ascii="宋体" w:hAnsi="宋体" w:eastAsia="宋体" w:cs="宋体"/>
                <w:i w:val="0"/>
                <w:iCs w:val="0"/>
                <w:color w:val="000000"/>
                <w:kern w:val="0"/>
                <w:sz w:val="22"/>
                <w:szCs w:val="22"/>
                <w:highlight w:val="none"/>
                <w:u w:val="none"/>
                <w:lang w:val="en-US" w:eastAsia="zh-CN" w:bidi="ar"/>
              </w:rPr>
              <w:t xml:space="preserve"> </w:t>
            </w:r>
          </w:p>
        </w:tc>
        <w:tc>
          <w:tcPr>
            <w:tcW w:w="1033" w:type="dxa"/>
            <w:vMerge w:val="continue"/>
            <w:noWrap w:val="0"/>
            <w:vAlign w:val="center"/>
          </w:tcPr>
          <w:p w14:paraId="520CF0CA">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4B9D3BCF">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08EB791E">
            <w:pPr>
              <w:tabs>
                <w:tab w:val="left" w:pos="900"/>
              </w:tabs>
              <w:snapToGrid w:val="0"/>
              <w:spacing w:before="60" w:after="120"/>
              <w:ind w:right="-24"/>
              <w:jc w:val="center"/>
              <w:rPr>
                <w:rFonts w:ascii="宋体" w:hAnsi="宋体"/>
                <w:color w:val="auto"/>
                <w:highlight w:val="none"/>
              </w:rPr>
            </w:pPr>
          </w:p>
        </w:tc>
      </w:tr>
      <w:tr w14:paraId="0566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0C7BCB8E">
            <w:pPr>
              <w:keepNext w:val="0"/>
              <w:keepLines w:val="0"/>
              <w:widowControl/>
              <w:suppressLineNumbers w:val="0"/>
              <w:jc w:val="center"/>
              <w:textAlignment w:val="center"/>
              <w:rPr>
                <w:rFonts w:hint="default" w:ascii="宋体" w:hAnsi="宋体" w:eastAsia="宋体"/>
                <w:color w:val="auto"/>
                <w:highlight w:val="none"/>
                <w:lang w:val="en-US" w:eastAsia="zh-CN"/>
              </w:rPr>
            </w:pPr>
            <w:r>
              <w:rPr>
                <w:rFonts w:hint="eastAsia" w:ascii="宋体" w:hAnsi="宋体" w:eastAsia="宋体" w:cs="宋体"/>
                <w:i w:val="0"/>
                <w:iCs w:val="0"/>
                <w:color w:val="000000"/>
                <w:kern w:val="0"/>
                <w:sz w:val="20"/>
                <w:szCs w:val="20"/>
                <w:u w:val="none"/>
                <w:lang w:val="en-US" w:eastAsia="zh-CN" w:bidi="ar"/>
              </w:rPr>
              <w:t>1.4</w:t>
            </w:r>
          </w:p>
        </w:tc>
        <w:tc>
          <w:tcPr>
            <w:tcW w:w="2242" w:type="dxa"/>
            <w:tcBorders>
              <w:top w:val="single" w:color="auto" w:sz="4" w:space="0"/>
              <w:bottom w:val="single" w:color="auto" w:sz="4" w:space="0"/>
            </w:tcBorders>
            <w:noWrap w:val="0"/>
            <w:vAlign w:val="center"/>
          </w:tcPr>
          <w:p w14:paraId="4220EEE5">
            <w:pPr>
              <w:keepNext w:val="0"/>
              <w:keepLines w:val="0"/>
              <w:widowControl/>
              <w:suppressLineNumbers w:val="0"/>
              <w:jc w:val="left"/>
              <w:textAlignment w:val="center"/>
              <w:rPr>
                <w:rFonts w:hint="eastAsia" w:asciiTheme="minorEastAsia" w:hAnsiTheme="minorEastAsia" w:eastAsiaTheme="minorEastAsia" w:cstheme="minorEastAsia"/>
                <w:color w:val="auto"/>
                <w:highlight w:val="none"/>
                <w:u w:val="none"/>
              </w:rPr>
            </w:pPr>
            <w:r>
              <w:rPr>
                <w:rFonts w:hint="eastAsia" w:ascii="宋体" w:hAnsi="宋体" w:eastAsia="宋体" w:cs="宋体"/>
                <w:i w:val="0"/>
                <w:iCs w:val="0"/>
                <w:color w:val="000000"/>
                <w:kern w:val="0"/>
                <w:sz w:val="21"/>
                <w:szCs w:val="21"/>
                <w:highlight w:val="none"/>
                <w:u w:val="none"/>
                <w:lang w:val="en-US" w:eastAsia="zh-CN" w:bidi="ar"/>
              </w:rPr>
              <w:t>琶洲～旗坊（旗坊T接热赤琶线）单回110kV电缆线路工程</w:t>
            </w:r>
          </w:p>
        </w:tc>
        <w:tc>
          <w:tcPr>
            <w:tcW w:w="1519" w:type="dxa"/>
            <w:noWrap w:val="0"/>
            <w:vAlign w:val="center"/>
          </w:tcPr>
          <w:p w14:paraId="5BA40958">
            <w:pPr>
              <w:keepNext w:val="0"/>
              <w:keepLines w:val="0"/>
              <w:widowControl/>
              <w:suppressLineNumbers w:val="0"/>
              <w:jc w:val="right"/>
              <w:textAlignment w:val="center"/>
              <w:rPr>
                <w:rFonts w:ascii="宋体" w:hAnsi="宋体"/>
                <w:color w:val="auto"/>
                <w:highlight w:val="none"/>
              </w:rPr>
            </w:pPr>
            <w:r>
              <w:rPr>
                <w:rFonts w:hint="eastAsia" w:ascii="宋体" w:hAnsi="宋体" w:cs="宋体"/>
                <w:i w:val="0"/>
                <w:iCs w:val="0"/>
                <w:color w:val="000000"/>
                <w:kern w:val="0"/>
                <w:sz w:val="22"/>
                <w:szCs w:val="22"/>
                <w:highlight w:val="none"/>
                <w:u w:val="none"/>
                <w:lang w:val="en-US" w:eastAsia="zh-CN" w:bidi="ar"/>
              </w:rPr>
              <w:t>131382.06</w:t>
            </w:r>
            <w:r>
              <w:rPr>
                <w:rFonts w:hint="eastAsia" w:ascii="宋体" w:hAnsi="宋体" w:eastAsia="宋体" w:cs="宋体"/>
                <w:i w:val="0"/>
                <w:iCs w:val="0"/>
                <w:color w:val="000000"/>
                <w:kern w:val="0"/>
                <w:sz w:val="22"/>
                <w:szCs w:val="22"/>
                <w:highlight w:val="none"/>
                <w:u w:val="none"/>
                <w:lang w:val="en-US" w:eastAsia="zh-CN" w:bidi="ar"/>
              </w:rPr>
              <w:t xml:space="preserve">  </w:t>
            </w:r>
          </w:p>
        </w:tc>
        <w:tc>
          <w:tcPr>
            <w:tcW w:w="1033" w:type="dxa"/>
            <w:vMerge w:val="continue"/>
            <w:noWrap w:val="0"/>
            <w:vAlign w:val="center"/>
          </w:tcPr>
          <w:p w14:paraId="774663B7">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7549438C">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3A07AA45">
            <w:pPr>
              <w:tabs>
                <w:tab w:val="left" w:pos="900"/>
              </w:tabs>
              <w:snapToGrid w:val="0"/>
              <w:spacing w:before="60" w:after="120"/>
              <w:ind w:right="-24"/>
              <w:jc w:val="center"/>
              <w:rPr>
                <w:rFonts w:ascii="宋体" w:hAnsi="宋体"/>
                <w:color w:val="auto"/>
                <w:highlight w:val="none"/>
              </w:rPr>
            </w:pPr>
          </w:p>
        </w:tc>
      </w:tr>
      <w:tr w14:paraId="685D6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2333035B">
            <w:pPr>
              <w:keepNext w:val="0"/>
              <w:keepLines w:val="0"/>
              <w:widowControl/>
              <w:suppressLineNumbers w:val="0"/>
              <w:jc w:val="center"/>
              <w:textAlignment w:val="center"/>
              <w:rPr>
                <w:rFonts w:hint="eastAsia" w:ascii="宋体" w:hAnsi="宋体"/>
                <w:color w:val="auto"/>
                <w:highlight w:val="none"/>
                <w:lang w:val="en-US" w:eastAsia="zh-CN"/>
              </w:rPr>
            </w:pPr>
            <w:r>
              <w:rPr>
                <w:rFonts w:hint="eastAsia" w:ascii="宋体" w:hAnsi="宋体" w:eastAsia="宋体" w:cs="宋体"/>
                <w:i w:val="0"/>
                <w:iCs w:val="0"/>
                <w:color w:val="000000"/>
                <w:kern w:val="0"/>
                <w:sz w:val="20"/>
                <w:szCs w:val="20"/>
                <w:u w:val="none"/>
                <w:lang w:val="en-US" w:eastAsia="zh-CN" w:bidi="ar"/>
              </w:rPr>
              <w:t>1.5</w:t>
            </w:r>
          </w:p>
        </w:tc>
        <w:tc>
          <w:tcPr>
            <w:tcW w:w="2242" w:type="dxa"/>
            <w:tcBorders>
              <w:top w:val="single" w:color="auto" w:sz="4" w:space="0"/>
              <w:bottom w:val="single" w:color="auto" w:sz="4" w:space="0"/>
            </w:tcBorders>
            <w:noWrap w:val="0"/>
            <w:vAlign w:val="center"/>
          </w:tcPr>
          <w:p w14:paraId="05272510">
            <w:pPr>
              <w:keepNext w:val="0"/>
              <w:keepLines w:val="0"/>
              <w:widowControl/>
              <w:suppressLineNumbers w:val="0"/>
              <w:jc w:val="left"/>
              <w:textAlignment w:val="center"/>
              <w:rPr>
                <w:rFonts w:hint="eastAsia" w:asciiTheme="minorEastAsia" w:hAnsiTheme="minorEastAsia" w:eastAsiaTheme="minorEastAsia" w:cstheme="minorEastAsia"/>
                <w:color w:val="auto"/>
                <w:highlight w:val="none"/>
                <w:u w:val="none"/>
              </w:rPr>
            </w:pPr>
            <w:r>
              <w:rPr>
                <w:rFonts w:hint="eastAsia" w:ascii="宋体" w:hAnsi="宋体" w:eastAsia="宋体" w:cs="宋体"/>
                <w:i w:val="0"/>
                <w:iCs w:val="0"/>
                <w:color w:val="000000"/>
                <w:kern w:val="0"/>
                <w:sz w:val="21"/>
                <w:szCs w:val="21"/>
                <w:highlight w:val="none"/>
                <w:u w:val="none"/>
                <w:lang w:val="en-US" w:eastAsia="zh-CN" w:bidi="ar"/>
              </w:rPr>
              <w:t>磨碟洲～旗坊（旗坊T接磨岗厚线）单回110kV电缆线路工程（电气部分）</w:t>
            </w:r>
          </w:p>
        </w:tc>
        <w:tc>
          <w:tcPr>
            <w:tcW w:w="1519" w:type="dxa"/>
            <w:noWrap w:val="0"/>
            <w:vAlign w:val="center"/>
          </w:tcPr>
          <w:p w14:paraId="3B4F0166">
            <w:pPr>
              <w:keepNext w:val="0"/>
              <w:keepLines w:val="0"/>
              <w:widowControl/>
              <w:suppressLineNumbers w:val="0"/>
              <w:jc w:val="righ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124185.95</w:t>
            </w:r>
            <w:r>
              <w:rPr>
                <w:rFonts w:hint="eastAsia" w:ascii="宋体" w:hAnsi="宋体" w:eastAsia="宋体" w:cs="宋体"/>
                <w:i w:val="0"/>
                <w:iCs w:val="0"/>
                <w:color w:val="000000"/>
                <w:kern w:val="0"/>
                <w:sz w:val="22"/>
                <w:szCs w:val="22"/>
                <w:highlight w:val="none"/>
                <w:u w:val="none"/>
                <w:lang w:val="en-US" w:eastAsia="zh-CN" w:bidi="ar"/>
              </w:rPr>
              <w:t xml:space="preserve">  </w:t>
            </w:r>
          </w:p>
        </w:tc>
        <w:tc>
          <w:tcPr>
            <w:tcW w:w="1033" w:type="dxa"/>
            <w:vMerge w:val="continue"/>
            <w:noWrap w:val="0"/>
            <w:vAlign w:val="center"/>
          </w:tcPr>
          <w:p w14:paraId="05D54407">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7D7AE875">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5063B73F">
            <w:pPr>
              <w:tabs>
                <w:tab w:val="left" w:pos="900"/>
              </w:tabs>
              <w:snapToGrid w:val="0"/>
              <w:spacing w:before="60" w:after="120"/>
              <w:ind w:right="-24"/>
              <w:jc w:val="center"/>
              <w:rPr>
                <w:rFonts w:ascii="宋体" w:hAnsi="宋体"/>
                <w:color w:val="auto"/>
                <w:highlight w:val="none"/>
              </w:rPr>
            </w:pPr>
          </w:p>
        </w:tc>
      </w:tr>
      <w:tr w14:paraId="42F9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5D62AAA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1.6</w:t>
            </w:r>
          </w:p>
        </w:tc>
        <w:tc>
          <w:tcPr>
            <w:tcW w:w="2242" w:type="dxa"/>
            <w:tcBorders>
              <w:top w:val="single" w:color="auto" w:sz="4" w:space="0"/>
              <w:bottom w:val="single" w:color="auto" w:sz="4" w:space="0"/>
            </w:tcBorders>
            <w:noWrap w:val="0"/>
            <w:vAlign w:val="center"/>
          </w:tcPr>
          <w:p w14:paraId="3892F63D">
            <w:pPr>
              <w:keepNext w:val="0"/>
              <w:keepLines w:val="0"/>
              <w:widowControl/>
              <w:suppressLineNumbers w:val="0"/>
              <w:jc w:val="lef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default" w:ascii="宋体" w:hAnsi="宋体" w:eastAsia="宋体" w:cs="宋体"/>
                <w:i w:val="0"/>
                <w:iCs w:val="0"/>
                <w:color w:val="000000"/>
                <w:kern w:val="0"/>
                <w:sz w:val="21"/>
                <w:szCs w:val="21"/>
                <w:highlight w:val="none"/>
                <w:u w:val="none"/>
                <w:lang w:val="en-US" w:eastAsia="zh-CN" w:bidi="ar"/>
              </w:rPr>
              <w:t>110kV 旗坊变电站工程（站内通信）</w:t>
            </w:r>
          </w:p>
        </w:tc>
        <w:tc>
          <w:tcPr>
            <w:tcW w:w="1519" w:type="dxa"/>
            <w:noWrap w:val="0"/>
            <w:vAlign w:val="center"/>
          </w:tcPr>
          <w:p w14:paraId="5561EC65">
            <w:pPr>
              <w:keepNext w:val="0"/>
              <w:keepLines w:val="0"/>
              <w:widowControl/>
              <w:suppressLineNumbers w:val="0"/>
              <w:jc w:val="right"/>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30502.52</w:t>
            </w:r>
          </w:p>
        </w:tc>
        <w:tc>
          <w:tcPr>
            <w:tcW w:w="1033" w:type="dxa"/>
            <w:vMerge w:val="continue"/>
            <w:noWrap w:val="0"/>
            <w:vAlign w:val="center"/>
          </w:tcPr>
          <w:p w14:paraId="3A48D0FF">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1EA37F94">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231D18F1">
            <w:pPr>
              <w:tabs>
                <w:tab w:val="left" w:pos="900"/>
              </w:tabs>
              <w:snapToGrid w:val="0"/>
              <w:spacing w:before="60" w:after="120"/>
              <w:ind w:right="-24"/>
              <w:jc w:val="center"/>
              <w:rPr>
                <w:rFonts w:ascii="宋体" w:hAnsi="宋体"/>
                <w:color w:val="auto"/>
                <w:highlight w:val="none"/>
              </w:rPr>
            </w:pPr>
          </w:p>
        </w:tc>
      </w:tr>
      <w:tr w14:paraId="39BA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2E007C9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w:t>
            </w:r>
          </w:p>
        </w:tc>
        <w:tc>
          <w:tcPr>
            <w:tcW w:w="2242" w:type="dxa"/>
            <w:tcBorders>
              <w:top w:val="single" w:color="auto" w:sz="4" w:space="0"/>
              <w:bottom w:val="single" w:color="auto" w:sz="4" w:space="0"/>
            </w:tcBorders>
            <w:noWrap w:val="0"/>
            <w:vAlign w:val="center"/>
          </w:tcPr>
          <w:p w14:paraId="5527778A">
            <w:pPr>
              <w:keepNext w:val="0"/>
              <w:keepLines w:val="0"/>
              <w:widowControl/>
              <w:suppressLineNumbers w:val="0"/>
              <w:jc w:val="lef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琶洲～旗坊（旗坊T接热赤琶线）单回110kV电缆线路工程（管道光缆）</w:t>
            </w:r>
          </w:p>
        </w:tc>
        <w:tc>
          <w:tcPr>
            <w:tcW w:w="1519" w:type="dxa"/>
            <w:noWrap w:val="0"/>
            <w:vAlign w:val="center"/>
          </w:tcPr>
          <w:p w14:paraId="52C9F7D3">
            <w:pPr>
              <w:keepNext w:val="0"/>
              <w:keepLines w:val="0"/>
              <w:widowControl/>
              <w:suppressLineNumbers w:val="0"/>
              <w:jc w:val="right"/>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6211.53</w:t>
            </w:r>
          </w:p>
        </w:tc>
        <w:tc>
          <w:tcPr>
            <w:tcW w:w="1033" w:type="dxa"/>
            <w:vMerge w:val="continue"/>
            <w:noWrap w:val="0"/>
            <w:vAlign w:val="center"/>
          </w:tcPr>
          <w:p w14:paraId="49D2FAD7">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62727347">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65C80EC8">
            <w:pPr>
              <w:tabs>
                <w:tab w:val="left" w:pos="900"/>
              </w:tabs>
              <w:snapToGrid w:val="0"/>
              <w:spacing w:before="60" w:after="120"/>
              <w:ind w:right="-24"/>
              <w:jc w:val="center"/>
              <w:rPr>
                <w:rFonts w:ascii="宋体" w:hAnsi="宋体"/>
                <w:color w:val="auto"/>
                <w:highlight w:val="none"/>
              </w:rPr>
            </w:pPr>
          </w:p>
        </w:tc>
      </w:tr>
      <w:tr w14:paraId="5491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14:paraId="776974E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1.8</w:t>
            </w:r>
          </w:p>
        </w:tc>
        <w:tc>
          <w:tcPr>
            <w:tcW w:w="2242" w:type="dxa"/>
            <w:tcBorders>
              <w:top w:val="single" w:color="auto" w:sz="4" w:space="0"/>
              <w:bottom w:val="single" w:color="auto" w:sz="4" w:space="0"/>
            </w:tcBorders>
            <w:noWrap w:val="0"/>
            <w:vAlign w:val="center"/>
          </w:tcPr>
          <w:p w14:paraId="2E3265C9">
            <w:pPr>
              <w:keepNext w:val="0"/>
              <w:keepLines w:val="0"/>
              <w:widowControl/>
              <w:suppressLineNumbers w:val="0"/>
              <w:jc w:val="lef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磨碟洲～旗坊（旗坊T接磨岗厚线）单回110kV电缆线路工程（管道光缆）</w:t>
            </w:r>
          </w:p>
        </w:tc>
        <w:tc>
          <w:tcPr>
            <w:tcW w:w="1519" w:type="dxa"/>
            <w:noWrap w:val="0"/>
            <w:vAlign w:val="center"/>
          </w:tcPr>
          <w:p w14:paraId="046401B9">
            <w:pPr>
              <w:keepNext w:val="0"/>
              <w:keepLines w:val="0"/>
              <w:widowControl/>
              <w:suppressLineNumbers w:val="0"/>
              <w:jc w:val="right"/>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3489.02</w:t>
            </w:r>
          </w:p>
        </w:tc>
        <w:tc>
          <w:tcPr>
            <w:tcW w:w="1033" w:type="dxa"/>
            <w:vMerge w:val="continue"/>
            <w:noWrap w:val="0"/>
            <w:vAlign w:val="center"/>
          </w:tcPr>
          <w:p w14:paraId="1B41CBA1">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14:paraId="0AAA2B4F">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3C0D12FC">
            <w:pPr>
              <w:tabs>
                <w:tab w:val="left" w:pos="900"/>
              </w:tabs>
              <w:snapToGrid w:val="0"/>
              <w:spacing w:before="60" w:after="120"/>
              <w:ind w:right="-24"/>
              <w:jc w:val="center"/>
              <w:rPr>
                <w:rFonts w:ascii="宋体" w:hAnsi="宋体"/>
                <w:color w:val="auto"/>
                <w:highlight w:val="none"/>
              </w:rPr>
            </w:pPr>
          </w:p>
        </w:tc>
      </w:tr>
      <w:tr w14:paraId="656E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85" w:type="dxa"/>
            <w:gridSpan w:val="2"/>
            <w:tcBorders>
              <w:top w:val="single" w:color="auto" w:sz="4" w:space="0"/>
              <w:bottom w:val="single" w:color="auto" w:sz="4" w:space="0"/>
            </w:tcBorders>
            <w:noWrap w:val="0"/>
            <w:vAlign w:val="center"/>
          </w:tcPr>
          <w:p w14:paraId="4EF495F6">
            <w:pPr>
              <w:tabs>
                <w:tab w:val="left" w:pos="900"/>
              </w:tabs>
              <w:snapToGrid w:val="0"/>
              <w:spacing w:before="60" w:after="120"/>
              <w:ind w:right="-24"/>
              <w:jc w:val="center"/>
              <w:rPr>
                <w:rFonts w:ascii="宋体" w:hAnsi="宋体"/>
                <w:b/>
                <w:color w:val="auto"/>
                <w:szCs w:val="21"/>
                <w:highlight w:val="none"/>
              </w:rPr>
            </w:pPr>
            <w:r>
              <w:rPr>
                <w:rFonts w:hint="eastAsia" w:ascii="宋体" w:hAnsi="宋体"/>
                <w:b/>
                <w:color w:val="auto"/>
                <w:szCs w:val="21"/>
                <w:highlight w:val="none"/>
              </w:rPr>
              <w:t>投标报价总金额(大写)</w:t>
            </w:r>
          </w:p>
        </w:tc>
        <w:tc>
          <w:tcPr>
            <w:tcW w:w="1519" w:type="dxa"/>
            <w:tcBorders>
              <w:top w:val="single" w:color="auto" w:sz="4" w:space="0"/>
              <w:bottom w:val="single" w:color="auto" w:sz="4" w:space="0"/>
              <w:tr2bl w:val="single" w:color="auto" w:sz="4" w:space="0"/>
            </w:tcBorders>
            <w:noWrap w:val="0"/>
            <w:vAlign w:val="top"/>
          </w:tcPr>
          <w:p w14:paraId="4B36A158">
            <w:pPr>
              <w:tabs>
                <w:tab w:val="left" w:pos="900"/>
              </w:tabs>
              <w:snapToGrid w:val="0"/>
              <w:spacing w:before="60" w:after="120"/>
              <w:ind w:right="-24"/>
              <w:jc w:val="center"/>
              <w:rPr>
                <w:rFonts w:ascii="宋体" w:hAnsi="宋体"/>
                <w:color w:val="auto"/>
                <w:highlight w:val="none"/>
              </w:rPr>
            </w:pPr>
          </w:p>
        </w:tc>
        <w:tc>
          <w:tcPr>
            <w:tcW w:w="1033" w:type="dxa"/>
            <w:tcBorders>
              <w:top w:val="single" w:color="auto" w:sz="4" w:space="0"/>
              <w:bottom w:val="single" w:color="auto" w:sz="4" w:space="0"/>
              <w:tr2bl w:val="single" w:color="auto" w:sz="4" w:space="0"/>
            </w:tcBorders>
            <w:noWrap w:val="0"/>
            <w:vAlign w:val="center"/>
          </w:tcPr>
          <w:p w14:paraId="15B94AF8">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bottom w:val="single" w:color="auto" w:sz="4" w:space="0"/>
              <w:tr2bl w:val="single" w:color="auto" w:sz="4" w:space="0"/>
            </w:tcBorders>
            <w:noWrap w:val="0"/>
            <w:vAlign w:val="top"/>
          </w:tcPr>
          <w:p w14:paraId="78C12386">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14:paraId="7AD6279C">
            <w:pPr>
              <w:tabs>
                <w:tab w:val="left" w:pos="900"/>
              </w:tabs>
              <w:snapToGrid w:val="0"/>
              <w:spacing w:before="60" w:after="120"/>
              <w:ind w:right="-24"/>
              <w:jc w:val="center"/>
              <w:rPr>
                <w:rFonts w:ascii="宋体" w:hAnsi="宋体"/>
                <w:color w:val="auto"/>
                <w:highlight w:val="none"/>
              </w:rPr>
            </w:pPr>
          </w:p>
        </w:tc>
      </w:tr>
    </w:tbl>
    <w:p w14:paraId="38924534">
      <w:pPr>
        <w:pStyle w:val="4"/>
        <w:rPr>
          <w:rFonts w:hint="eastAsia"/>
          <w:highlight w:val="none"/>
          <w:lang w:val="en-US" w:eastAsia="zh-CN"/>
        </w:rPr>
      </w:pPr>
    </w:p>
    <w:p w14:paraId="27126841">
      <w:pPr>
        <w:rPr>
          <w:rFonts w:hint="eastAsia"/>
          <w:highlight w:val="none"/>
          <w:lang w:val="en-US" w:eastAsia="zh-CN"/>
        </w:rPr>
      </w:pPr>
    </w:p>
    <w:p w14:paraId="7DE13959">
      <w:pPr>
        <w:pStyle w:val="4"/>
        <w:rPr>
          <w:rFonts w:hint="eastAsia"/>
          <w:highlight w:val="none"/>
          <w:lang w:val="en-US" w:eastAsia="zh-CN"/>
        </w:rPr>
      </w:pPr>
    </w:p>
    <w:p w14:paraId="75536853">
      <w:pPr>
        <w:rPr>
          <w:rFonts w:hint="eastAsia"/>
          <w:highlight w:val="none"/>
          <w:lang w:val="en-US" w:eastAsia="zh-CN"/>
        </w:rPr>
      </w:pPr>
    </w:p>
    <w:p w14:paraId="3D2974C8">
      <w:pPr>
        <w:pStyle w:val="4"/>
        <w:rPr>
          <w:rFonts w:hint="eastAsia"/>
          <w:highlight w:val="none"/>
          <w:lang w:val="en-US" w:eastAsia="zh-CN"/>
        </w:rPr>
      </w:pPr>
    </w:p>
    <w:p w14:paraId="34800D62">
      <w:pPr>
        <w:rPr>
          <w:rFonts w:hint="eastAsia"/>
          <w:highlight w:val="none"/>
          <w:lang w:val="en-US" w:eastAsia="zh-CN"/>
        </w:rPr>
      </w:pPr>
    </w:p>
    <w:p w14:paraId="3AFEE951">
      <w:pPr>
        <w:rPr>
          <w:rFonts w:hint="eastAsia"/>
          <w:highlight w:val="none"/>
          <w:lang w:val="en-US" w:eastAsia="zh-CN"/>
        </w:rPr>
      </w:pPr>
    </w:p>
    <w:p w14:paraId="4C172308">
      <w:pPr>
        <w:pStyle w:val="5"/>
        <w:rPr>
          <w:rFonts w:hint="eastAsia"/>
          <w:highlight w:val="none"/>
          <w:lang w:val="en-US" w:eastAsia="zh-CN"/>
        </w:rPr>
      </w:pPr>
    </w:p>
    <w:p w14:paraId="58258C4E">
      <w:pPr>
        <w:rPr>
          <w:rFonts w:hint="eastAsia"/>
          <w:highlight w:val="none"/>
          <w:lang w:val="en-US" w:eastAsia="zh-CN"/>
        </w:rPr>
      </w:pPr>
    </w:p>
    <w:p w14:paraId="72842373">
      <w:pPr>
        <w:pStyle w:val="5"/>
        <w:rPr>
          <w:rFonts w:hint="eastAsia"/>
          <w:highlight w:val="none"/>
          <w:lang w:val="en-US" w:eastAsia="zh-CN"/>
        </w:rPr>
      </w:pPr>
    </w:p>
    <w:p w14:paraId="0F4F5068">
      <w:pPr>
        <w:pStyle w:val="3"/>
        <w:rPr>
          <w:rFonts w:hint="eastAsia" w:ascii="宋体" w:hAnsi="宋体" w:eastAsia="宋体" w:cs="宋体"/>
          <w:color w:val="auto"/>
          <w:kern w:val="2"/>
          <w:sz w:val="24"/>
          <w:szCs w:val="24"/>
          <w:highlight w:val="none"/>
          <w:u w:val="none"/>
          <w:lang w:val="en-US" w:eastAsia="zh-CN" w:bidi="ar-SA"/>
        </w:rPr>
      </w:pPr>
    </w:p>
    <w:p w14:paraId="33692AD8">
      <w:pPr>
        <w:pStyle w:val="3"/>
        <w:rPr>
          <w:rFonts w:hint="eastAsia" w:ascii="宋体" w:hAnsi="宋体" w:eastAsia="宋体" w:cs="宋体"/>
          <w:color w:val="auto"/>
          <w:kern w:val="2"/>
          <w:sz w:val="24"/>
          <w:szCs w:val="24"/>
          <w:highlight w:val="none"/>
          <w:u w:val="none"/>
          <w:lang w:val="en-US" w:eastAsia="zh-CN" w:bidi="ar-SA"/>
        </w:rPr>
      </w:pPr>
    </w:p>
    <w:p w14:paraId="19BEE8A6">
      <w:pPr>
        <w:pStyle w:val="3"/>
        <w:rPr>
          <w:rFonts w:hint="eastAsia" w:ascii="宋体" w:hAnsi="宋体" w:eastAsia="宋体" w:cs="宋体"/>
          <w:color w:val="auto"/>
          <w:kern w:val="2"/>
          <w:sz w:val="24"/>
          <w:szCs w:val="24"/>
          <w:highlight w:val="none"/>
          <w:u w:val="none"/>
          <w:lang w:val="en-US" w:eastAsia="zh-CN" w:bidi="ar-SA"/>
        </w:rPr>
      </w:pPr>
    </w:p>
    <w:p w14:paraId="1188A661">
      <w:pPr>
        <w:pStyle w:val="3"/>
        <w:rPr>
          <w:rFonts w:hint="eastAsia" w:ascii="宋体" w:hAnsi="宋体" w:eastAsia="宋体" w:cs="宋体"/>
          <w:color w:val="auto"/>
          <w:kern w:val="2"/>
          <w:sz w:val="24"/>
          <w:szCs w:val="24"/>
          <w:highlight w:val="none"/>
          <w:u w:val="none"/>
          <w:lang w:val="en-US" w:eastAsia="zh-CN" w:bidi="ar-SA"/>
        </w:rPr>
      </w:pPr>
    </w:p>
    <w:p w14:paraId="4D6B2F10">
      <w:pPr>
        <w:pStyle w:val="3"/>
        <w:rPr>
          <w:rFonts w:hint="eastAsia" w:ascii="宋体" w:hAnsi="宋体" w:eastAsia="宋体" w:cs="宋体"/>
          <w:color w:val="auto"/>
          <w:kern w:val="2"/>
          <w:sz w:val="24"/>
          <w:szCs w:val="24"/>
          <w:highlight w:val="none"/>
          <w:u w:val="none"/>
          <w:lang w:val="en-US" w:eastAsia="zh-CN" w:bidi="ar-SA"/>
        </w:rPr>
      </w:pPr>
    </w:p>
    <w:p w14:paraId="13109293">
      <w:pPr>
        <w:pStyle w:val="3"/>
        <w:rPr>
          <w:rFonts w:hint="eastAsia" w:ascii="宋体" w:hAnsi="宋体" w:eastAsia="宋体" w:cs="宋体"/>
          <w:color w:val="auto"/>
          <w:kern w:val="2"/>
          <w:sz w:val="24"/>
          <w:szCs w:val="24"/>
          <w:highlight w:val="none"/>
          <w:u w:val="none"/>
          <w:lang w:val="en-US" w:eastAsia="zh-CN" w:bidi="ar-SA"/>
        </w:rPr>
      </w:pPr>
    </w:p>
    <w:p w14:paraId="0C27A88B">
      <w:pPr>
        <w:pStyle w:val="3"/>
        <w:rPr>
          <w:rFonts w:hint="eastAsia" w:ascii="宋体" w:hAnsi="宋体" w:eastAsia="宋体" w:cs="宋体"/>
          <w:color w:val="auto"/>
          <w:kern w:val="2"/>
          <w:sz w:val="24"/>
          <w:szCs w:val="24"/>
          <w:highlight w:val="none"/>
          <w:u w:val="none"/>
          <w:lang w:val="en-US" w:eastAsia="zh-CN" w:bidi="ar-SA"/>
        </w:rPr>
      </w:pPr>
    </w:p>
    <w:p w14:paraId="4BC75925">
      <w:pPr>
        <w:pStyle w:val="3"/>
        <w:rPr>
          <w:rFonts w:hint="eastAsia" w:ascii="宋体" w:hAnsi="宋体" w:eastAsia="宋体" w:cs="宋体"/>
          <w:color w:val="auto"/>
          <w:kern w:val="2"/>
          <w:sz w:val="24"/>
          <w:szCs w:val="24"/>
          <w:highlight w:val="none"/>
          <w:u w:val="none"/>
          <w:lang w:val="en-US" w:eastAsia="zh-CN" w:bidi="ar-SA"/>
        </w:rPr>
      </w:pPr>
    </w:p>
    <w:p w14:paraId="6DEFFE49">
      <w:pPr>
        <w:pStyle w:val="3"/>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14:paraId="3998A949">
      <w:pPr>
        <w:pStyle w:val="11"/>
        <w:spacing w:line="360" w:lineRule="auto"/>
        <w:jc w:val="left"/>
        <w:rPr>
          <w:rFonts w:hint="eastAsia"/>
          <w:highlight w:val="none"/>
          <w:lang w:val="en-US" w:eastAsia="zh-CN"/>
        </w:rPr>
      </w:pPr>
      <w:r>
        <w:rPr>
          <w:rFonts w:hint="eastAsia" w:ascii="宋体" w:hAnsi="宋体" w:eastAsia="宋体" w:cs="宋体"/>
          <w:color w:val="auto"/>
          <w:kern w:val="2"/>
          <w:sz w:val="24"/>
          <w:szCs w:val="24"/>
          <w:highlight w:val="none"/>
          <w:u w:val="single"/>
          <w:lang w:val="en-US" w:eastAsia="zh-CN" w:bidi="ar-SA"/>
        </w:rPr>
        <w:t>（1）按下浮率报价（保留两位小数，如8.88%），同时填报投标报价（投标报价=最高投标限价*（1-投标下浮率），四舍五入保留两位小数）。当投标报价与投标下浮率计算结果不一致时，以投标下浮率为准，按上述公式修订投标报价。</w:t>
      </w:r>
      <w:r>
        <w:rPr>
          <w:rFonts w:hint="eastAsia" w:ascii="宋体" w:hAnsi="宋体" w:eastAsia="宋体" w:cs="宋体"/>
          <w:color w:val="auto"/>
          <w:kern w:val="2"/>
          <w:sz w:val="24"/>
          <w:szCs w:val="24"/>
          <w:highlight w:val="none"/>
          <w:u w:val="single"/>
          <w:lang w:val="en-US" w:eastAsia="zh-CN" w:bidi="ar-SA"/>
        </w:rPr>
        <w:br w:type="textWrapping"/>
      </w:r>
      <w:r>
        <w:rPr>
          <w:rFonts w:hint="eastAsia" w:ascii="宋体" w:hAnsi="宋体" w:eastAsia="宋体" w:cs="宋体"/>
          <w:color w:val="auto"/>
          <w:kern w:val="2"/>
          <w:sz w:val="24"/>
          <w:szCs w:val="24"/>
          <w:highlight w:val="none"/>
          <w:u w:val="single"/>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r>
        <w:rPr>
          <w:rFonts w:hint="eastAsia" w:ascii="宋体" w:hAnsi="宋体" w:eastAsia="宋体" w:cs="宋体"/>
          <w:color w:val="auto"/>
          <w:kern w:val="2"/>
          <w:sz w:val="24"/>
          <w:szCs w:val="24"/>
          <w:highlight w:val="none"/>
          <w:u w:val="single"/>
          <w:lang w:val="en-US" w:eastAsia="zh-CN" w:bidi="ar-SA"/>
        </w:rPr>
        <w:br w:type="textWrapping"/>
      </w:r>
      <w:r>
        <w:rPr>
          <w:rFonts w:hint="eastAsia" w:ascii="宋体" w:hAnsi="宋体" w:eastAsia="宋体" w:cs="宋体"/>
          <w:color w:val="auto"/>
          <w:kern w:val="2"/>
          <w:sz w:val="24"/>
          <w:szCs w:val="24"/>
          <w:highlight w:val="none"/>
          <w:u w:val="single"/>
          <w:lang w:val="en-US" w:eastAsia="zh-CN" w:bidi="ar-SA"/>
        </w:rPr>
        <w:t>（3）价格分计算时，投标人评标价按（100-投标人填写的下浮数值）参与计算。如：下浮率为1.88％时，评标价按（100-1.88）参与计算。</w:t>
      </w:r>
    </w:p>
    <w:p w14:paraId="655C5B59">
      <w:pPr>
        <w:pStyle w:val="5"/>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14:paraId="6AF6CD76">
      <w:pPr>
        <w:pStyle w:val="11"/>
        <w:spacing w:line="360" w:lineRule="auto"/>
        <w:ind w:firstLine="482" w:firstLineChars="200"/>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本合同采用总价形式，最终合同结算价为：（审定初步设计概算监理费+ 初设概算监理计费范围以外的监理工作费用）×（1-投标下浮率）±合同内约定且实际发生的相关奖罚费用 + 招标代理服务费。 </w:t>
      </w:r>
    </w:p>
    <w:p w14:paraId="41702214">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14:paraId="54DBCAFD">
      <w:pPr>
        <w:pStyle w:val="2"/>
        <w:numPr>
          <w:ilvl w:val="0"/>
          <w:numId w:val="0"/>
        </w:numPr>
        <w:spacing w:line="360" w:lineRule="auto"/>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14:paraId="263F19E6">
      <w:pPr>
        <w:pStyle w:val="2"/>
        <w:numPr>
          <w:ilvl w:val="0"/>
          <w:numId w:val="0"/>
        </w:numPr>
        <w:spacing w:line="360" w:lineRule="auto"/>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14:paraId="6B14657E">
      <w:pPr>
        <w:pStyle w:val="11"/>
        <w:spacing w:line="360" w:lineRule="auto"/>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14:paraId="5E67DA7F">
      <w:pPr>
        <w:pStyle w:val="11"/>
        <w:spacing w:line="360" w:lineRule="auto"/>
        <w:jc w:val="left"/>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14:paraId="00EE5F5B">
      <w:pPr>
        <w:pStyle w:val="5"/>
        <w:spacing w:before="0" w:after="0" w:line="36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14:paraId="4713FB65">
      <w:pPr>
        <w:pStyle w:val="5"/>
        <w:spacing w:before="0" w:after="0" w:line="36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14:paraId="34F10D73">
      <w:pPr>
        <w:autoSpaceDE w:val="0"/>
        <w:autoSpaceDN w:val="0"/>
        <w:adjustRightInd w:val="0"/>
        <w:spacing w:line="360" w:lineRule="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14:paraId="72890219">
      <w:pPr>
        <w:pStyle w:val="5"/>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14:paraId="139C3809">
      <w:pPr>
        <w:pStyle w:val="5"/>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14:paraId="637DF95A">
      <w:pPr>
        <w:pStyle w:val="10"/>
        <w:numPr>
          <w:ilvl w:val="0"/>
          <w:numId w:val="0"/>
        </w:numPr>
        <w:spacing w:line="360" w:lineRule="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14:paraId="557BF0CD">
      <w:pPr>
        <w:pStyle w:val="10"/>
        <w:numPr>
          <w:ilvl w:val="0"/>
          <w:numId w:val="4"/>
        </w:numPr>
        <w:spacing w:line="360" w:lineRule="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14:paraId="6B7D4039">
      <w:pPr>
        <w:pStyle w:val="10"/>
        <w:numPr>
          <w:ilvl w:val="0"/>
          <w:numId w:val="4"/>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14:paraId="33B8E463">
      <w:pPr>
        <w:pStyle w:val="10"/>
        <w:numPr>
          <w:ilvl w:val="0"/>
          <w:numId w:val="4"/>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14:paraId="520891E7">
      <w:pPr>
        <w:pStyle w:val="10"/>
        <w:numPr>
          <w:ilvl w:val="0"/>
          <w:numId w:val="4"/>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14:paraId="7A3CB1C7">
      <w:pPr>
        <w:pStyle w:val="10"/>
        <w:numPr>
          <w:ilvl w:val="0"/>
          <w:numId w:val="4"/>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14:paraId="6B4273F9">
      <w:pPr>
        <w:pStyle w:val="10"/>
        <w:numPr>
          <w:ilvl w:val="0"/>
          <w:numId w:val="4"/>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14:paraId="44828ADF">
      <w:pPr>
        <w:pStyle w:val="10"/>
        <w:numPr>
          <w:ilvl w:val="0"/>
          <w:numId w:val="4"/>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14:paraId="1C5F56C1">
      <w:pPr>
        <w:pStyle w:val="10"/>
        <w:numPr>
          <w:ilvl w:val="0"/>
          <w:numId w:val="4"/>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14:paraId="5B391EB6">
      <w:pPr>
        <w:pStyle w:val="10"/>
        <w:numPr>
          <w:ilvl w:val="0"/>
          <w:numId w:val="4"/>
        </w:numPr>
        <w:spacing w:line="360" w:lineRule="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14:paraId="04876FA0">
      <w:pPr>
        <w:pStyle w:val="5"/>
        <w:keepNext w:val="0"/>
        <w:keepLines w:val="0"/>
        <w:pageBreakBefore w:val="0"/>
        <w:widowControl w:val="0"/>
        <w:shd w:val="clear" w:color="auto" w:fill="auto"/>
        <w:kinsoku/>
        <w:wordWrap/>
        <w:overflowPunct/>
        <w:topLinePunct w:val="0"/>
        <w:autoSpaceDE w:val="0"/>
        <w:autoSpaceDN w:val="0"/>
        <w:bidi w:val="0"/>
        <w:adjustRightInd w:val="0"/>
        <w:snapToGrid/>
        <w:spacing w:before="157" w:beforeLines="50" w:after="157" w:afterLines="50" w:line="360" w:lineRule="auto"/>
        <w:textAlignment w:val="auto"/>
        <w:rPr>
          <w:rFonts w:hint="eastAsia" w:asciiTheme="minorEastAsia" w:hAnsiTheme="minorEastAsia" w:eastAsiaTheme="minorEastAsia" w:cstheme="minorEastAsia"/>
          <w:i w:val="0"/>
          <w:iCs/>
          <w:color w:val="auto"/>
          <w:sz w:val="24"/>
          <w:szCs w:val="24"/>
          <w:highlight w:val="none"/>
          <w:lang w:eastAsia="zh-CN"/>
        </w:rPr>
      </w:pPr>
      <w:bookmarkStart w:id="3" w:name="_Toc482188640"/>
      <w:bookmarkStart w:id="4" w:name="_Toc11396"/>
      <w:r>
        <w:rPr>
          <w:rFonts w:hint="eastAsia" w:asciiTheme="minorEastAsia" w:hAnsiTheme="minorEastAsia" w:eastAsiaTheme="minorEastAsia" w:cstheme="minorEastAsia"/>
          <w:i w:val="0"/>
          <w:iCs/>
          <w:color w:val="auto"/>
          <w:sz w:val="24"/>
          <w:szCs w:val="24"/>
          <w:highlight w:val="none"/>
          <w:lang w:eastAsia="zh-CN"/>
        </w:rPr>
        <w:t>三、</w:t>
      </w:r>
      <w:bookmarkEnd w:id="3"/>
      <w:r>
        <w:rPr>
          <w:rFonts w:hint="eastAsia" w:asciiTheme="minorEastAsia" w:hAnsiTheme="minorEastAsia" w:eastAsiaTheme="minorEastAsia" w:cstheme="minorEastAsia"/>
          <w:i w:val="0"/>
          <w:iCs/>
          <w:color w:val="auto"/>
          <w:sz w:val="24"/>
          <w:szCs w:val="24"/>
          <w:highlight w:val="none"/>
          <w:lang w:eastAsia="zh-CN"/>
        </w:rPr>
        <w:t>图纸</w:t>
      </w:r>
      <w:bookmarkEnd w:id="4"/>
    </w:p>
    <w:p w14:paraId="30375562">
      <w:pPr>
        <w:spacing w:line="360" w:lineRule="auto"/>
        <w:ind w:firstLine="480" w:firstLineChars="200"/>
        <w:rPr>
          <w:rFonts w:hint="eastAsia"/>
          <w:color w:val="auto"/>
          <w:sz w:val="24"/>
          <w:szCs w:val="24"/>
          <w:highlight w:val="none"/>
        </w:rPr>
      </w:pPr>
      <w:bookmarkStart w:id="5" w:name="_Toc482188644"/>
      <w:r>
        <w:rPr>
          <w:rFonts w:hint="eastAsia"/>
          <w:color w:val="auto"/>
          <w:sz w:val="24"/>
          <w:szCs w:val="24"/>
          <w:highlight w:val="none"/>
        </w:rPr>
        <w:t>有关设计文件、图纸及资料。</w:t>
      </w:r>
    </w:p>
    <w:p w14:paraId="4846276D">
      <w:pPr>
        <w:pStyle w:val="5"/>
        <w:keepNext w:val="0"/>
        <w:keepLines w:val="0"/>
        <w:pageBreakBefore w:val="0"/>
        <w:widowControl w:val="0"/>
        <w:shd w:val="clear" w:color="auto" w:fill="auto"/>
        <w:kinsoku/>
        <w:wordWrap/>
        <w:overflowPunct/>
        <w:topLinePunct w:val="0"/>
        <w:autoSpaceDE w:val="0"/>
        <w:autoSpaceDN w:val="0"/>
        <w:bidi w:val="0"/>
        <w:adjustRightInd w:val="0"/>
        <w:snapToGrid/>
        <w:spacing w:before="157" w:beforeLines="50" w:after="157" w:afterLines="50" w:line="360" w:lineRule="auto"/>
        <w:textAlignment w:val="auto"/>
        <w:rPr>
          <w:rFonts w:hint="eastAsia" w:asciiTheme="minorEastAsia" w:hAnsiTheme="minorEastAsia" w:eastAsiaTheme="minorEastAsia" w:cstheme="minorEastAsia"/>
          <w:i w:val="0"/>
          <w:iCs/>
          <w:color w:val="auto"/>
          <w:sz w:val="24"/>
          <w:szCs w:val="24"/>
          <w:highlight w:val="none"/>
          <w:lang w:eastAsia="zh-CN"/>
        </w:rPr>
      </w:pPr>
      <w:bookmarkStart w:id="6" w:name="_Toc30760"/>
      <w:r>
        <w:rPr>
          <w:rFonts w:hint="eastAsia" w:asciiTheme="minorEastAsia" w:hAnsiTheme="minorEastAsia" w:eastAsiaTheme="minorEastAsia" w:cstheme="minorEastAsia"/>
          <w:i w:val="0"/>
          <w:iCs/>
          <w:color w:val="auto"/>
          <w:sz w:val="24"/>
          <w:szCs w:val="24"/>
          <w:highlight w:val="none"/>
          <w:lang w:eastAsia="zh-CN"/>
        </w:rPr>
        <w:t>四、</w:t>
      </w:r>
      <w:bookmarkEnd w:id="5"/>
      <w:bookmarkStart w:id="7" w:name="_Toc482188646"/>
      <w:r>
        <w:rPr>
          <w:rFonts w:hint="eastAsia" w:asciiTheme="minorEastAsia" w:hAnsiTheme="minorEastAsia" w:eastAsiaTheme="minorEastAsia" w:cstheme="minorEastAsia"/>
          <w:i w:val="0"/>
          <w:iCs/>
          <w:color w:val="auto"/>
          <w:sz w:val="24"/>
          <w:szCs w:val="24"/>
          <w:highlight w:val="none"/>
          <w:lang w:eastAsia="zh-CN"/>
        </w:rPr>
        <w:t>其他要求</w:t>
      </w:r>
      <w:bookmarkEnd w:id="6"/>
      <w:bookmarkEnd w:id="7"/>
    </w:p>
    <w:p w14:paraId="6E1D5BB2">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人根据委托的监理范围和内容，随招标文件向投标人提供与监理范围和内容有关的以下文件、资料：</w:t>
      </w:r>
    </w:p>
    <w:p w14:paraId="2D8E9B1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（1）工程前期有关文件（可研审批文件）。</w:t>
      </w:r>
    </w:p>
    <w:p w14:paraId="465C2486">
      <w:pPr>
        <w:rPr>
          <w:rFonts w:hint="eastAsia" w:ascii="宋体" w:hAnsi="宋体" w:eastAsia="宋体" w:cs="宋体"/>
          <w:color w:val="auto"/>
          <w:sz w:val="24"/>
          <w:szCs w:val="24"/>
          <w:highlight w:val="none"/>
          <w:u w:val="single"/>
          <w:lang w:val="en-US" w:eastAsia="zh-CN"/>
        </w:rPr>
      </w:pPr>
      <w:bookmarkStart w:id="8" w:name="_GoBack"/>
      <w:bookmarkEnd w:id="8"/>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2F32B6"/>
    <w:multiLevelType w:val="singleLevel"/>
    <w:tmpl w:val="C12F32B6"/>
    <w:lvl w:ilvl="0" w:tentative="0">
      <w:start w:val="2"/>
      <w:numFmt w:val="decimal"/>
      <w:suff w:val="nothing"/>
      <w:lvlText w:val="%1、"/>
      <w:lvlJc w:val="left"/>
    </w:lvl>
  </w:abstractNum>
  <w:abstractNum w:abstractNumId="1">
    <w:nsid w:val="E4B43FF3"/>
    <w:multiLevelType w:val="singleLevel"/>
    <w:tmpl w:val="E4B43FF3"/>
    <w:lvl w:ilvl="0" w:tentative="0">
      <w:start w:val="1"/>
      <w:numFmt w:val="decimal"/>
      <w:suff w:val="nothing"/>
      <w:lvlText w:val="%1、"/>
      <w:lvlJc w:val="left"/>
    </w:lvl>
  </w:abstractNum>
  <w:abstractNum w:abstractNumId="2">
    <w:nsid w:val="0D7920FF"/>
    <w:multiLevelType w:val="singleLevel"/>
    <w:tmpl w:val="0D7920FF"/>
    <w:lvl w:ilvl="0" w:tentative="0">
      <w:start w:val="1"/>
      <w:numFmt w:val="chineseCounting"/>
      <w:suff w:val="nothing"/>
      <w:lvlText w:val="第%1部分."/>
      <w:lvlJc w:val="left"/>
      <w:rPr>
        <w:rFonts w:hint="eastAsia"/>
      </w:rPr>
    </w:lvl>
  </w:abstractNum>
  <w:abstractNum w:abstractNumId="3">
    <w:nsid w:val="4122DDE1"/>
    <w:multiLevelType w:val="singleLevel"/>
    <w:tmpl w:val="4122DDE1"/>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3ZjNjNWZiNTA5N2E5ODI3ZjQwNWU1ZmQxMWYzNmQifQ=="/>
  </w:docVars>
  <w:rsids>
    <w:rsidRoot w:val="24F737D8"/>
    <w:rsid w:val="001270A5"/>
    <w:rsid w:val="007A4AD7"/>
    <w:rsid w:val="031234E3"/>
    <w:rsid w:val="034C42F7"/>
    <w:rsid w:val="03F1316B"/>
    <w:rsid w:val="04A24F71"/>
    <w:rsid w:val="07641EAE"/>
    <w:rsid w:val="076F3B3B"/>
    <w:rsid w:val="07CA37DF"/>
    <w:rsid w:val="07CC3833"/>
    <w:rsid w:val="080753BF"/>
    <w:rsid w:val="09481422"/>
    <w:rsid w:val="099152FC"/>
    <w:rsid w:val="0BC07002"/>
    <w:rsid w:val="0BD30473"/>
    <w:rsid w:val="0DB6770F"/>
    <w:rsid w:val="0DCD5FA6"/>
    <w:rsid w:val="0E2F4C02"/>
    <w:rsid w:val="0E3616E0"/>
    <w:rsid w:val="0E937FF7"/>
    <w:rsid w:val="0F4F2D90"/>
    <w:rsid w:val="0F81532F"/>
    <w:rsid w:val="0F96563E"/>
    <w:rsid w:val="107144D2"/>
    <w:rsid w:val="116419AD"/>
    <w:rsid w:val="11794537"/>
    <w:rsid w:val="11DF6CFE"/>
    <w:rsid w:val="13383335"/>
    <w:rsid w:val="13CB4149"/>
    <w:rsid w:val="14440D4B"/>
    <w:rsid w:val="14B666F3"/>
    <w:rsid w:val="15056A61"/>
    <w:rsid w:val="165D73D9"/>
    <w:rsid w:val="182633AB"/>
    <w:rsid w:val="1876024A"/>
    <w:rsid w:val="18E57496"/>
    <w:rsid w:val="190817A0"/>
    <w:rsid w:val="19AD3FE2"/>
    <w:rsid w:val="1A2D5CFF"/>
    <w:rsid w:val="1A386933"/>
    <w:rsid w:val="1A4F176B"/>
    <w:rsid w:val="1A912F72"/>
    <w:rsid w:val="1B663F82"/>
    <w:rsid w:val="1C2D4629"/>
    <w:rsid w:val="1C43636C"/>
    <w:rsid w:val="1C717572"/>
    <w:rsid w:val="1CD8394C"/>
    <w:rsid w:val="1D904223"/>
    <w:rsid w:val="1F653C49"/>
    <w:rsid w:val="1F6C0D31"/>
    <w:rsid w:val="1FEE3421"/>
    <w:rsid w:val="1FF914D4"/>
    <w:rsid w:val="20735046"/>
    <w:rsid w:val="20D016E3"/>
    <w:rsid w:val="216F4D5B"/>
    <w:rsid w:val="23A71175"/>
    <w:rsid w:val="23B738BA"/>
    <w:rsid w:val="24E67795"/>
    <w:rsid w:val="24F737D8"/>
    <w:rsid w:val="25100685"/>
    <w:rsid w:val="25E5275E"/>
    <w:rsid w:val="26A73075"/>
    <w:rsid w:val="2837056F"/>
    <w:rsid w:val="28D041C3"/>
    <w:rsid w:val="2B52570F"/>
    <w:rsid w:val="2BFF530E"/>
    <w:rsid w:val="2CA17C08"/>
    <w:rsid w:val="2DDF66E3"/>
    <w:rsid w:val="2FB947C6"/>
    <w:rsid w:val="2FF65FF8"/>
    <w:rsid w:val="300D195C"/>
    <w:rsid w:val="30BF37B5"/>
    <w:rsid w:val="31510416"/>
    <w:rsid w:val="31C955A9"/>
    <w:rsid w:val="33B200AF"/>
    <w:rsid w:val="33E61BE2"/>
    <w:rsid w:val="361736AD"/>
    <w:rsid w:val="36D200CF"/>
    <w:rsid w:val="370746F3"/>
    <w:rsid w:val="379951F8"/>
    <w:rsid w:val="37A97B52"/>
    <w:rsid w:val="38382DC3"/>
    <w:rsid w:val="38DE045C"/>
    <w:rsid w:val="3A546240"/>
    <w:rsid w:val="3B446CD0"/>
    <w:rsid w:val="3BF24D81"/>
    <w:rsid w:val="3BFE7BEA"/>
    <w:rsid w:val="3C4750A3"/>
    <w:rsid w:val="3C4A35F1"/>
    <w:rsid w:val="3E664B6D"/>
    <w:rsid w:val="3ED7087B"/>
    <w:rsid w:val="3F141BFC"/>
    <w:rsid w:val="3FB8126D"/>
    <w:rsid w:val="415A1696"/>
    <w:rsid w:val="428763D6"/>
    <w:rsid w:val="444D481C"/>
    <w:rsid w:val="44982260"/>
    <w:rsid w:val="44D414C9"/>
    <w:rsid w:val="45F46D6D"/>
    <w:rsid w:val="46472D5E"/>
    <w:rsid w:val="476475F1"/>
    <w:rsid w:val="496A657E"/>
    <w:rsid w:val="49843C09"/>
    <w:rsid w:val="4B3A1BDA"/>
    <w:rsid w:val="4BF83760"/>
    <w:rsid w:val="4C8349B8"/>
    <w:rsid w:val="509E7607"/>
    <w:rsid w:val="520D6E5F"/>
    <w:rsid w:val="52BB16BB"/>
    <w:rsid w:val="53115540"/>
    <w:rsid w:val="54102BB0"/>
    <w:rsid w:val="54375964"/>
    <w:rsid w:val="55C3156A"/>
    <w:rsid w:val="5782183A"/>
    <w:rsid w:val="57BD355E"/>
    <w:rsid w:val="58E65065"/>
    <w:rsid w:val="59A5419F"/>
    <w:rsid w:val="5B0320E2"/>
    <w:rsid w:val="5B8B11A7"/>
    <w:rsid w:val="5B9E2EC4"/>
    <w:rsid w:val="5BA81F51"/>
    <w:rsid w:val="5DB1014B"/>
    <w:rsid w:val="608606DE"/>
    <w:rsid w:val="610E324A"/>
    <w:rsid w:val="61F31EFD"/>
    <w:rsid w:val="63066BC7"/>
    <w:rsid w:val="63343091"/>
    <w:rsid w:val="63D0487B"/>
    <w:rsid w:val="64672037"/>
    <w:rsid w:val="64911DA0"/>
    <w:rsid w:val="65945D8D"/>
    <w:rsid w:val="66C35559"/>
    <w:rsid w:val="67D57489"/>
    <w:rsid w:val="68570F93"/>
    <w:rsid w:val="68FD6738"/>
    <w:rsid w:val="6A287B5E"/>
    <w:rsid w:val="6B303A1A"/>
    <w:rsid w:val="6B6D3ABD"/>
    <w:rsid w:val="6BB5696B"/>
    <w:rsid w:val="6C776701"/>
    <w:rsid w:val="6DAA2FDF"/>
    <w:rsid w:val="6E121228"/>
    <w:rsid w:val="6EF85BC7"/>
    <w:rsid w:val="6FC971BF"/>
    <w:rsid w:val="6FE8390D"/>
    <w:rsid w:val="70D1495F"/>
    <w:rsid w:val="70ED510D"/>
    <w:rsid w:val="70EF5E33"/>
    <w:rsid w:val="73A50FC7"/>
    <w:rsid w:val="74695E39"/>
    <w:rsid w:val="75121074"/>
    <w:rsid w:val="754C6F3B"/>
    <w:rsid w:val="75852DDC"/>
    <w:rsid w:val="75B11AFF"/>
    <w:rsid w:val="75D32619"/>
    <w:rsid w:val="765369C1"/>
    <w:rsid w:val="767D6887"/>
    <w:rsid w:val="77BA76EF"/>
    <w:rsid w:val="77F562C3"/>
    <w:rsid w:val="780B6A75"/>
    <w:rsid w:val="78890BE9"/>
    <w:rsid w:val="79F83E18"/>
    <w:rsid w:val="7A262145"/>
    <w:rsid w:val="7BEC3F2B"/>
    <w:rsid w:val="7D0F76D8"/>
    <w:rsid w:val="7E3420E0"/>
    <w:rsid w:val="7E4D6442"/>
    <w:rsid w:val="7E535DCD"/>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5">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paragraph" w:styleId="6">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Normal Indent"/>
    <w:basedOn w:val="1"/>
    <w:qFormat/>
    <w:uiPriority w:val="0"/>
    <w:pPr>
      <w:ind w:firstLine="420"/>
    </w:pPr>
    <w:rPr>
      <w:rFonts w:ascii="Times New Roman" w:hAnsi="Times New Roman" w:cs="Times New Roman"/>
      <w:kern w:val="0"/>
      <w:sz w:val="20"/>
      <w:szCs w:val="20"/>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paragraph" w:customStyle="1" w:styleId="16">
    <w:name w:val="正文首行缩进1"/>
    <w:basedOn w:val="1"/>
    <w:qFormat/>
    <w:uiPriority w:val="0"/>
    <w:pPr>
      <w:spacing w:line="360" w:lineRule="auto"/>
      <w:ind w:firstLine="200" w:firstLineChars="200"/>
    </w:pPr>
    <w:rPr>
      <w:kern w:val="2"/>
      <w:sz w:val="24"/>
      <w:szCs w:val="24"/>
    </w:rPr>
  </w:style>
  <w:style w:type="paragraph" w:customStyle="1" w:styleId="17">
    <w:name w:val="表格文字"/>
    <w:basedOn w:val="10"/>
    <w:qFormat/>
    <w:uiPriority w:val="0"/>
    <w:pPr>
      <w:ind w:firstLine="22" w:firstLineChars="8"/>
      <w:textAlignment w:val="center"/>
    </w:pPr>
    <w:rPr>
      <w:rFonts w:ascii="Times New Roman" w:hAnsi="Times New Roman"/>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3292</Words>
  <Characters>3928</Characters>
  <Lines>0</Lines>
  <Paragraphs>0</Paragraphs>
  <TotalTime>3</TotalTime>
  <ScaleCrop>false</ScaleCrop>
  <LinksUpToDate>false</LinksUpToDate>
  <CharactersWithSpaces>4206</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hepeng</cp:lastModifiedBy>
  <cp:lastPrinted>2025-03-10T01:07:00Z</cp:lastPrinted>
  <dcterms:modified xsi:type="dcterms:W3CDTF">2026-06-25T01:23:35Z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8A8C54658E2D41C7A1BB357F29FDF6BB</vt:lpwstr>
  </property>
</Properties>
</file>