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0"/>
        <w:rPr>
          <w:rFonts w:hint="eastAsia" w:ascii="方正小标宋_GBK" w:hAnsi="方正小标宋_GBK" w:eastAsia="方正小标宋_GBK" w:cs="方正小标宋_GBK"/>
          <w:b/>
          <w:color w:val="auto"/>
          <w:sz w:val="36"/>
          <w:szCs w:val="36"/>
          <w:lang w:val="en-US" w:eastAsia="zh-CN"/>
        </w:rPr>
      </w:pPr>
      <w:bookmarkStart w:id="16" w:name="_GoBack"/>
      <w:bookmarkStart w:id="0" w:name="_Toc17586"/>
      <w:bookmarkStart w:id="1" w:name="_Toc266713645"/>
      <w:bookmarkStart w:id="2" w:name="_Toc25821"/>
      <w:bookmarkStart w:id="3" w:name="_Toc32511"/>
      <w:bookmarkStart w:id="4" w:name="_Toc19589"/>
      <w:bookmarkStart w:id="5" w:name="_Toc32374"/>
      <w:bookmarkStart w:id="6" w:name="heading_0"/>
      <w:r>
        <w:rPr>
          <w:rFonts w:hint="eastAsia" w:ascii="方正小标宋_GBK" w:hAnsi="方正小标宋_GBK" w:eastAsia="方正小标宋_GBK" w:cs="方正小标宋_GBK"/>
          <w:b/>
          <w:color w:val="auto"/>
          <w:sz w:val="36"/>
          <w:szCs w:val="36"/>
          <w:lang w:val="en-US" w:eastAsia="zh-CN"/>
        </w:rPr>
        <w:t>南方电网供应链（云南）有限公司2026年</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0"/>
        <w:rPr>
          <w:rFonts w:hint="eastAsia" w:ascii="方正小标宋_GBK" w:hAnsi="方正小标宋_GBK" w:eastAsia="方正小标宋_GBK" w:cs="方正小标宋_GBK"/>
          <w:b/>
          <w:color w:val="auto"/>
          <w:sz w:val="36"/>
          <w:szCs w:val="36"/>
          <w:lang w:val="en-US" w:eastAsia="zh-CN"/>
        </w:rPr>
      </w:pPr>
      <w:r>
        <w:rPr>
          <w:rFonts w:hint="eastAsia" w:ascii="方正小标宋_GBK" w:hAnsi="方正小标宋_GBK" w:eastAsia="方正小标宋_GBK" w:cs="方正小标宋_GBK"/>
          <w:b/>
          <w:color w:val="auto"/>
          <w:sz w:val="36"/>
          <w:szCs w:val="36"/>
          <w:lang w:val="en-US" w:eastAsia="zh-CN"/>
        </w:rPr>
        <w:t>媒体</w:t>
      </w:r>
      <w:r>
        <w:rPr>
          <w:rFonts w:hint="eastAsia" w:ascii="方正小标宋_GBK" w:hAnsi="方正小标宋_GBK" w:eastAsia="方正小标宋_GBK" w:cs="方正小标宋_GBK"/>
          <w:b/>
          <w:color w:val="auto"/>
          <w:sz w:val="36"/>
          <w:szCs w:val="36"/>
          <w:highlight w:val="none"/>
          <w:lang w:val="en-US" w:eastAsia="zh-CN"/>
        </w:rPr>
        <w:t>推广</w:t>
      </w:r>
      <w:r>
        <w:rPr>
          <w:rFonts w:hint="eastAsia" w:ascii="方正小标宋_GBK" w:hAnsi="方正小标宋_GBK" w:eastAsia="方正小标宋_GBK" w:cs="方正小标宋_GBK"/>
          <w:b/>
          <w:color w:val="auto"/>
          <w:sz w:val="36"/>
          <w:szCs w:val="36"/>
          <w:lang w:val="en-US" w:eastAsia="zh-CN"/>
        </w:rPr>
        <w:t>服务项目技术规范书</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0"/>
        <w:rPr>
          <w:rFonts w:hint="eastAsia" w:ascii="仿宋_GB2312" w:hAnsi="仿宋_GB2312" w:eastAsia="仿宋_GB2312" w:cs="仿宋_GB2312"/>
          <w:b/>
          <w:color w:val="auto"/>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0"/>
        <w:rPr>
          <w:rFonts w:hint="eastAsia" w:ascii="仿宋_GB2312" w:hAnsi="仿宋_GB2312" w:eastAsia="仿宋_GB2312" w:cs="仿宋_GB2312"/>
          <w:b/>
          <w:color w:val="auto"/>
          <w:sz w:val="32"/>
          <w:szCs w:val="32"/>
          <w:highlight w:val="none"/>
          <w:u w:val="none"/>
        </w:rPr>
      </w:pPr>
      <w:r>
        <w:rPr>
          <w:rFonts w:hint="eastAsia" w:ascii="仿宋_GB2312" w:hAnsi="仿宋_GB2312" w:eastAsia="仿宋_GB2312" w:cs="仿宋_GB2312"/>
          <w:b/>
          <w:color w:val="auto"/>
          <w:sz w:val="32"/>
          <w:szCs w:val="32"/>
          <w:highlight w:val="none"/>
          <w:u w:val="none"/>
          <w:lang w:val="en-US" w:eastAsia="zh-CN"/>
        </w:rPr>
        <w:t>一、</w:t>
      </w:r>
      <w:r>
        <w:rPr>
          <w:rFonts w:hint="eastAsia" w:ascii="仿宋_GB2312" w:hAnsi="仿宋_GB2312" w:eastAsia="仿宋_GB2312" w:cs="仿宋_GB2312"/>
          <w:b/>
          <w:color w:val="auto"/>
          <w:sz w:val="32"/>
          <w:szCs w:val="32"/>
          <w:highlight w:val="none"/>
          <w:u w:val="none"/>
        </w:rPr>
        <w:t>总</w:t>
      </w:r>
      <w:r>
        <w:rPr>
          <w:rFonts w:hint="eastAsia" w:ascii="仿宋_GB2312" w:hAnsi="仿宋_GB2312" w:eastAsia="仿宋_GB2312" w:cs="仿宋_GB2312"/>
          <w:b/>
          <w:color w:val="auto"/>
          <w:sz w:val="32"/>
          <w:szCs w:val="32"/>
          <w:highlight w:val="none"/>
          <w:u w:val="none"/>
          <w:lang w:val="en-US" w:eastAsia="zh-CN"/>
        </w:rPr>
        <w:t xml:space="preserve"> </w:t>
      </w:r>
      <w:r>
        <w:rPr>
          <w:rFonts w:hint="eastAsia" w:ascii="仿宋_GB2312" w:hAnsi="仿宋_GB2312" w:eastAsia="仿宋_GB2312" w:cs="仿宋_GB2312"/>
          <w:b/>
          <w:color w:val="auto"/>
          <w:sz w:val="32"/>
          <w:szCs w:val="32"/>
          <w:highlight w:val="none"/>
          <w:u w:val="none"/>
        </w:rPr>
        <w:t>则</w:t>
      </w:r>
      <w:bookmarkEnd w:id="0"/>
      <w:bookmarkEnd w:id="1"/>
      <w:bookmarkEnd w:id="2"/>
      <w:bookmarkEnd w:id="3"/>
      <w:bookmarkEnd w:id="4"/>
      <w:bookmarkEnd w:id="5"/>
    </w:p>
    <w:p>
      <w:pPr>
        <w:pStyle w:val="6"/>
        <w:keepNext w:val="0"/>
        <w:keepLines w:val="0"/>
        <w:pageBreakBefore w:val="0"/>
        <w:widowControl w:val="0"/>
        <w:numPr>
          <w:ilvl w:val="0"/>
          <w:numId w:val="0"/>
        </w:numPr>
        <w:tabs>
          <w:tab w:val="left" w:pos="1167"/>
        </w:tabs>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1.</w:t>
      </w:r>
      <w:r>
        <w:rPr>
          <w:rFonts w:hint="eastAsia" w:ascii="仿宋_GB2312" w:hAnsi="仿宋_GB2312" w:eastAsia="仿宋_GB2312" w:cs="仿宋_GB2312"/>
          <w:color w:val="auto"/>
          <w:sz w:val="32"/>
          <w:szCs w:val="32"/>
          <w:highlight w:val="none"/>
          <w:u w:val="none"/>
        </w:rPr>
        <w:t>本技术规范是</w:t>
      </w:r>
      <w:r>
        <w:rPr>
          <w:rFonts w:hint="eastAsia" w:ascii="仿宋_GB2312" w:hAnsi="仿宋_GB2312" w:eastAsia="仿宋_GB2312" w:cs="仿宋_GB2312"/>
          <w:color w:val="auto"/>
          <w:sz w:val="32"/>
          <w:szCs w:val="32"/>
          <w:highlight w:val="none"/>
          <w:u w:val="none"/>
          <w:lang w:eastAsia="zh-CN"/>
        </w:rPr>
        <w:t>南方电网供应链（云南）有限公司</w:t>
      </w:r>
      <w:r>
        <w:rPr>
          <w:rFonts w:hint="eastAsia" w:ascii="仿宋_GB2312" w:hAnsi="仿宋_GB2312" w:eastAsia="仿宋_GB2312" w:cs="仿宋_GB2312"/>
          <w:color w:val="auto"/>
          <w:sz w:val="32"/>
          <w:szCs w:val="32"/>
          <w:highlight w:val="none"/>
          <w:u w:val="none"/>
        </w:rPr>
        <w:t>（以下简称</w:t>
      </w:r>
      <w:r>
        <w:rPr>
          <w:rFonts w:hint="eastAsia" w:ascii="仿宋_GB2312" w:hAnsi="仿宋_GB2312" w:eastAsia="仿宋_GB2312" w:cs="仿宋_GB2312"/>
          <w:color w:val="auto"/>
          <w:sz w:val="32"/>
          <w:szCs w:val="32"/>
          <w:highlight w:val="none"/>
          <w:u w:val="none"/>
          <w:lang w:eastAsia="zh-CN"/>
        </w:rPr>
        <w:t>采购方</w:t>
      </w:r>
      <w:r>
        <w:rPr>
          <w:rFonts w:hint="eastAsia" w:ascii="仿宋_GB2312" w:hAnsi="仿宋_GB2312" w:eastAsia="仿宋_GB2312" w:cs="仿宋_GB2312"/>
          <w:color w:val="auto"/>
          <w:sz w:val="32"/>
          <w:szCs w:val="32"/>
          <w:highlight w:val="none"/>
          <w:u w:val="none"/>
        </w:rPr>
        <w:t>）针对</w:t>
      </w:r>
      <w:r>
        <w:rPr>
          <w:rFonts w:hint="eastAsia" w:ascii="仿宋_GB2312" w:hAnsi="仿宋_GB2312" w:eastAsia="仿宋_GB2312" w:cs="仿宋_GB2312"/>
          <w:color w:val="auto"/>
          <w:sz w:val="32"/>
          <w:szCs w:val="32"/>
          <w:highlight w:val="none"/>
          <w:u w:val="none"/>
          <w:lang w:eastAsia="zh-CN"/>
        </w:rPr>
        <w:t>南方电网供应链（云南）有限公司2026年媒体</w:t>
      </w:r>
      <w:r>
        <w:rPr>
          <w:rFonts w:hint="eastAsia" w:ascii="仿宋_GB2312" w:hAnsi="仿宋_GB2312" w:eastAsia="仿宋_GB2312" w:cs="仿宋_GB2312"/>
          <w:color w:val="auto"/>
          <w:sz w:val="32"/>
          <w:szCs w:val="32"/>
          <w:highlight w:val="none"/>
          <w:u w:val="none"/>
          <w:lang w:eastAsia="zh-CN"/>
        </w:rPr>
        <w:t>推广</w:t>
      </w:r>
      <w:r>
        <w:rPr>
          <w:rFonts w:hint="eastAsia" w:ascii="仿宋_GB2312" w:hAnsi="仿宋_GB2312" w:eastAsia="仿宋_GB2312" w:cs="仿宋_GB2312"/>
          <w:color w:val="auto"/>
          <w:sz w:val="32"/>
          <w:szCs w:val="32"/>
          <w:highlight w:val="none"/>
          <w:u w:val="none"/>
          <w:lang w:eastAsia="zh-CN"/>
        </w:rPr>
        <w:t>服务项目</w:t>
      </w:r>
      <w:r>
        <w:rPr>
          <w:rFonts w:hint="eastAsia" w:ascii="仿宋_GB2312" w:hAnsi="仿宋_GB2312" w:eastAsia="仿宋_GB2312" w:cs="仿宋_GB2312"/>
          <w:color w:val="auto"/>
          <w:sz w:val="32"/>
          <w:szCs w:val="32"/>
          <w:highlight w:val="none"/>
          <w:u w:val="none"/>
        </w:rPr>
        <w:t>提出需求，关于项目目标、项目服务内容、项目服务质量保证等的技术要求。</w:t>
      </w:r>
    </w:p>
    <w:p>
      <w:pPr>
        <w:pStyle w:val="6"/>
        <w:keepNext w:val="0"/>
        <w:keepLines w:val="0"/>
        <w:pageBreakBefore w:val="0"/>
        <w:widowControl w:val="0"/>
        <w:tabs>
          <w:tab w:val="left" w:pos="1172"/>
        </w:tabs>
        <w:kinsoku/>
        <w:wordWrap/>
        <w:overflowPunct/>
        <w:topLinePunct w:val="0"/>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lang w:val="en-US" w:eastAsia="zh-CN"/>
        </w:rPr>
        <w:t>2.</w:t>
      </w:r>
      <w:r>
        <w:rPr>
          <w:rFonts w:hint="eastAsia" w:ascii="仿宋_GB2312" w:hAnsi="仿宋_GB2312" w:eastAsia="仿宋_GB2312" w:cs="仿宋_GB2312"/>
          <w:color w:val="auto"/>
          <w:sz w:val="32"/>
          <w:szCs w:val="32"/>
          <w:highlight w:val="none"/>
          <w:u w:val="none"/>
        </w:rPr>
        <w:t>本技术规范书仅提出了</w:t>
      </w:r>
      <w:r>
        <w:rPr>
          <w:rFonts w:hint="eastAsia" w:ascii="仿宋_GB2312" w:hAnsi="仿宋_GB2312" w:eastAsia="仿宋_GB2312" w:cs="仿宋_GB2312"/>
          <w:color w:val="auto"/>
          <w:sz w:val="32"/>
          <w:szCs w:val="32"/>
          <w:highlight w:val="none"/>
          <w:u w:val="none"/>
          <w:lang w:eastAsia="zh-CN"/>
        </w:rPr>
        <w:t>南方电网供应链（云南）有限公司</w:t>
      </w:r>
      <w:r>
        <w:rPr>
          <w:rFonts w:hint="eastAsia" w:ascii="仿宋_GB2312" w:hAnsi="仿宋_GB2312" w:eastAsia="仿宋_GB2312" w:cs="仿宋_GB2312"/>
          <w:color w:val="auto"/>
          <w:sz w:val="32"/>
          <w:szCs w:val="32"/>
          <w:highlight w:val="none"/>
          <w:u w:val="none"/>
        </w:rPr>
        <w:t>2026年媒体</w:t>
      </w:r>
      <w:r>
        <w:rPr>
          <w:rFonts w:hint="eastAsia" w:ascii="仿宋_GB2312" w:hAnsi="仿宋_GB2312" w:eastAsia="仿宋_GB2312" w:cs="仿宋_GB2312"/>
          <w:color w:val="auto"/>
          <w:sz w:val="32"/>
          <w:szCs w:val="32"/>
          <w:highlight w:val="none"/>
          <w:u w:val="none"/>
          <w:lang w:eastAsia="zh-CN"/>
        </w:rPr>
        <w:t>推广</w:t>
      </w:r>
      <w:r>
        <w:rPr>
          <w:rFonts w:hint="eastAsia" w:ascii="仿宋_GB2312" w:hAnsi="仿宋_GB2312" w:eastAsia="仿宋_GB2312" w:cs="仿宋_GB2312"/>
          <w:color w:val="auto"/>
          <w:sz w:val="32"/>
          <w:szCs w:val="32"/>
          <w:highlight w:val="none"/>
          <w:u w:val="none"/>
        </w:rPr>
        <w:t>服务项目需求的基本要求，</w:t>
      </w:r>
      <w:r>
        <w:rPr>
          <w:rFonts w:hint="eastAsia" w:ascii="仿宋_GB2312" w:hAnsi="仿宋_GB2312" w:eastAsia="仿宋_GB2312" w:cs="仿宋_GB2312"/>
          <w:color w:val="auto"/>
          <w:sz w:val="32"/>
          <w:szCs w:val="32"/>
          <w:highlight w:val="none"/>
          <w:u w:val="none"/>
          <w:lang w:eastAsia="zh-CN"/>
        </w:rPr>
        <w:t>响应方</w:t>
      </w:r>
      <w:r>
        <w:rPr>
          <w:rFonts w:hint="eastAsia" w:ascii="仿宋_GB2312" w:hAnsi="仿宋_GB2312" w:eastAsia="仿宋_GB2312" w:cs="仿宋_GB2312"/>
          <w:color w:val="auto"/>
          <w:sz w:val="32"/>
          <w:szCs w:val="32"/>
          <w:highlight w:val="none"/>
          <w:u w:val="none"/>
        </w:rPr>
        <w:t>可以推荐任何满足技术规范书中技术要求或高于规范书要求的技术方案。</w:t>
      </w:r>
    </w:p>
    <w:p>
      <w:pPr>
        <w:pStyle w:val="6"/>
        <w:keepNext w:val="0"/>
        <w:keepLines w:val="0"/>
        <w:pageBreakBefore w:val="0"/>
        <w:widowControl w:val="0"/>
        <w:tabs>
          <w:tab w:val="left" w:pos="1172"/>
        </w:tabs>
        <w:kinsoku/>
        <w:wordWrap/>
        <w:overflowPunct/>
        <w:topLinePunct w:val="0"/>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lang w:val="en-US" w:eastAsia="zh-CN"/>
        </w:rPr>
        <w:t>3.</w:t>
      </w:r>
      <w:r>
        <w:rPr>
          <w:rFonts w:hint="eastAsia" w:ascii="仿宋_GB2312" w:hAnsi="仿宋_GB2312" w:eastAsia="仿宋_GB2312" w:cs="仿宋_GB2312"/>
          <w:color w:val="auto"/>
          <w:sz w:val="32"/>
          <w:szCs w:val="32"/>
          <w:highlight w:val="none"/>
          <w:u w:val="none"/>
          <w:lang w:eastAsia="zh-CN"/>
        </w:rPr>
        <w:t>响应方</w:t>
      </w:r>
      <w:r>
        <w:rPr>
          <w:rFonts w:hint="eastAsia" w:ascii="仿宋_GB2312" w:hAnsi="仿宋_GB2312" w:eastAsia="仿宋_GB2312" w:cs="仿宋_GB2312"/>
          <w:color w:val="auto"/>
          <w:sz w:val="32"/>
          <w:szCs w:val="32"/>
          <w:highlight w:val="none"/>
          <w:u w:val="none"/>
        </w:rPr>
        <w:t>在技术方案中，对本技术规范书中所提的技术和要求，应逐项予以说明和答复。对涉及到的技术及服务，应提供详细说明。</w:t>
      </w:r>
      <w:r>
        <w:rPr>
          <w:rFonts w:hint="eastAsia" w:ascii="仿宋_GB2312" w:hAnsi="仿宋_GB2312" w:eastAsia="仿宋_GB2312" w:cs="仿宋_GB2312"/>
          <w:color w:val="auto"/>
          <w:sz w:val="32"/>
          <w:szCs w:val="32"/>
          <w:highlight w:val="none"/>
          <w:u w:val="none"/>
          <w:lang w:eastAsia="zh-CN"/>
        </w:rPr>
        <w:t>响应方</w:t>
      </w:r>
      <w:r>
        <w:rPr>
          <w:rFonts w:hint="eastAsia" w:ascii="仿宋_GB2312" w:hAnsi="仿宋_GB2312" w:eastAsia="仿宋_GB2312" w:cs="仿宋_GB2312"/>
          <w:color w:val="auto"/>
          <w:sz w:val="32"/>
          <w:szCs w:val="32"/>
          <w:highlight w:val="none"/>
          <w:u w:val="none"/>
        </w:rPr>
        <w:t>亦可根据自己的服务技术性能具体情况，在技术方案中提出建议，并附详细资料和说明。</w:t>
      </w:r>
    </w:p>
    <w:p>
      <w:pPr>
        <w:pStyle w:val="6"/>
        <w:keepNext w:val="0"/>
        <w:keepLines w:val="0"/>
        <w:pageBreakBefore w:val="0"/>
        <w:widowControl w:val="0"/>
        <w:tabs>
          <w:tab w:val="left" w:pos="1172"/>
        </w:tabs>
        <w:kinsoku/>
        <w:wordWrap/>
        <w:overflowPunct/>
        <w:topLinePunct w:val="0"/>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lang w:val="en-US" w:eastAsia="zh-CN"/>
        </w:rPr>
        <w:t>4.</w:t>
      </w:r>
      <w:r>
        <w:rPr>
          <w:rFonts w:hint="eastAsia" w:ascii="仿宋_GB2312" w:hAnsi="仿宋_GB2312" w:eastAsia="仿宋_GB2312" w:cs="仿宋_GB2312"/>
          <w:color w:val="auto"/>
          <w:sz w:val="32"/>
          <w:szCs w:val="32"/>
          <w:highlight w:val="none"/>
          <w:u w:val="none"/>
        </w:rPr>
        <w:t>本技术规范书及附件提出的是最低限度的服务质量及技术要求，并未对一切细节做出规定，也未充分引述有关标准和规范的条文，</w:t>
      </w:r>
      <w:r>
        <w:rPr>
          <w:rFonts w:hint="eastAsia" w:ascii="仿宋_GB2312" w:hAnsi="仿宋_GB2312" w:eastAsia="仿宋_GB2312" w:cs="仿宋_GB2312"/>
          <w:color w:val="auto"/>
          <w:sz w:val="32"/>
          <w:szCs w:val="32"/>
          <w:highlight w:val="none"/>
          <w:u w:val="none"/>
          <w:lang w:eastAsia="zh-CN"/>
        </w:rPr>
        <w:t>响应方</w:t>
      </w:r>
      <w:r>
        <w:rPr>
          <w:rFonts w:hint="eastAsia" w:ascii="仿宋_GB2312" w:hAnsi="仿宋_GB2312" w:eastAsia="仿宋_GB2312" w:cs="仿宋_GB2312"/>
          <w:color w:val="auto"/>
          <w:sz w:val="32"/>
          <w:szCs w:val="32"/>
          <w:highlight w:val="none"/>
          <w:u w:val="none"/>
        </w:rPr>
        <w:t>应提供符合本规范书和标准的优质服务。</w:t>
      </w:r>
    </w:p>
    <w:p>
      <w:pPr>
        <w:pStyle w:val="6"/>
        <w:keepNext w:val="0"/>
        <w:keepLines w:val="0"/>
        <w:pageBreakBefore w:val="0"/>
        <w:widowControl w:val="0"/>
        <w:tabs>
          <w:tab w:val="left" w:pos="1172"/>
        </w:tabs>
        <w:kinsoku/>
        <w:wordWrap/>
        <w:overflowPunct/>
        <w:topLinePunct w:val="0"/>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lang w:val="en-US" w:eastAsia="zh-CN"/>
        </w:rPr>
        <w:t>5.</w:t>
      </w:r>
      <w:r>
        <w:rPr>
          <w:rFonts w:hint="eastAsia" w:ascii="仿宋_GB2312" w:hAnsi="仿宋_GB2312" w:eastAsia="仿宋_GB2312" w:cs="仿宋_GB2312"/>
          <w:color w:val="auto"/>
          <w:sz w:val="32"/>
          <w:szCs w:val="32"/>
          <w:highlight w:val="none"/>
          <w:u w:val="none"/>
        </w:rPr>
        <w:t>本技术规范及附件所使用的标准如遇与</w:t>
      </w:r>
      <w:r>
        <w:rPr>
          <w:rFonts w:hint="eastAsia" w:ascii="仿宋_GB2312" w:hAnsi="仿宋_GB2312" w:eastAsia="仿宋_GB2312" w:cs="仿宋_GB2312"/>
          <w:color w:val="auto"/>
          <w:sz w:val="32"/>
          <w:szCs w:val="32"/>
          <w:highlight w:val="none"/>
          <w:u w:val="none"/>
          <w:lang w:eastAsia="zh-CN"/>
        </w:rPr>
        <w:t>响应方</w:t>
      </w:r>
      <w:r>
        <w:rPr>
          <w:rFonts w:hint="eastAsia" w:ascii="仿宋_GB2312" w:hAnsi="仿宋_GB2312" w:eastAsia="仿宋_GB2312" w:cs="仿宋_GB2312"/>
          <w:color w:val="auto"/>
          <w:sz w:val="32"/>
          <w:szCs w:val="32"/>
          <w:highlight w:val="none"/>
          <w:u w:val="none"/>
        </w:rPr>
        <w:t>所执行的标准不一致时，按较高标准执行。</w:t>
      </w:r>
    </w:p>
    <w:p>
      <w:pPr>
        <w:pStyle w:val="6"/>
        <w:keepNext w:val="0"/>
        <w:keepLines w:val="0"/>
        <w:pageBreakBefore w:val="0"/>
        <w:widowControl w:val="0"/>
        <w:tabs>
          <w:tab w:val="left" w:pos="1172"/>
        </w:tabs>
        <w:kinsoku/>
        <w:wordWrap/>
        <w:overflowPunct/>
        <w:topLinePunct w:val="0"/>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lang w:val="en-US" w:eastAsia="zh-CN"/>
        </w:rPr>
        <w:t>6.</w:t>
      </w:r>
      <w:r>
        <w:rPr>
          <w:rFonts w:hint="eastAsia" w:ascii="仿宋_GB2312" w:hAnsi="仿宋_GB2312" w:eastAsia="仿宋_GB2312" w:cs="仿宋_GB2312"/>
          <w:color w:val="auto"/>
          <w:sz w:val="32"/>
          <w:szCs w:val="32"/>
          <w:highlight w:val="none"/>
          <w:u w:val="none"/>
        </w:rPr>
        <w:t>如果</w:t>
      </w:r>
      <w:r>
        <w:rPr>
          <w:rFonts w:hint="eastAsia" w:ascii="仿宋_GB2312" w:hAnsi="仿宋_GB2312" w:eastAsia="仿宋_GB2312" w:cs="仿宋_GB2312"/>
          <w:color w:val="auto"/>
          <w:sz w:val="32"/>
          <w:szCs w:val="32"/>
          <w:highlight w:val="none"/>
          <w:u w:val="none"/>
          <w:lang w:eastAsia="zh-CN"/>
        </w:rPr>
        <w:t>响应方</w:t>
      </w:r>
      <w:r>
        <w:rPr>
          <w:rFonts w:hint="eastAsia" w:ascii="仿宋_GB2312" w:hAnsi="仿宋_GB2312" w:eastAsia="仿宋_GB2312" w:cs="仿宋_GB2312"/>
          <w:color w:val="auto"/>
          <w:sz w:val="32"/>
          <w:szCs w:val="32"/>
          <w:highlight w:val="none"/>
          <w:u w:val="none"/>
        </w:rPr>
        <w:t>没有以书面形式对本规范书及附件的条文提出异议，则意味着</w:t>
      </w:r>
      <w:r>
        <w:rPr>
          <w:rFonts w:hint="eastAsia" w:ascii="仿宋_GB2312" w:hAnsi="仿宋_GB2312" w:eastAsia="仿宋_GB2312" w:cs="仿宋_GB2312"/>
          <w:color w:val="auto"/>
          <w:sz w:val="32"/>
          <w:szCs w:val="32"/>
          <w:highlight w:val="none"/>
          <w:u w:val="none"/>
          <w:lang w:eastAsia="zh-CN"/>
        </w:rPr>
        <w:t>响应方</w:t>
      </w:r>
      <w:r>
        <w:rPr>
          <w:rFonts w:hint="eastAsia" w:ascii="仿宋_GB2312" w:hAnsi="仿宋_GB2312" w:eastAsia="仿宋_GB2312" w:cs="仿宋_GB2312"/>
          <w:color w:val="auto"/>
          <w:sz w:val="32"/>
          <w:szCs w:val="32"/>
          <w:highlight w:val="none"/>
          <w:u w:val="none"/>
        </w:rPr>
        <w:t>提供的服务完全符合本规范书的要求。如有异议，都应在报价书中以“对规范书的意见和同规范书的差异”为标题的专门章节中加以详细描述。</w:t>
      </w:r>
    </w:p>
    <w:p>
      <w:pPr>
        <w:keepNext w:val="0"/>
        <w:keepLines w:val="0"/>
        <w:pageBreakBefore w:val="0"/>
        <w:widowControl w:val="0"/>
        <w:tabs>
          <w:tab w:val="left" w:pos="1167"/>
        </w:tabs>
        <w:kinsoku/>
        <w:wordWrap/>
        <w:overflowPunct/>
        <w:topLinePunct w:val="0"/>
        <w:autoSpaceDE w:val="0"/>
        <w:autoSpaceDN w:val="0"/>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lang w:val="en-US" w:eastAsia="zh-CN"/>
        </w:rPr>
        <w:t>7.</w:t>
      </w:r>
      <w:r>
        <w:rPr>
          <w:rFonts w:hint="eastAsia" w:ascii="仿宋_GB2312" w:hAnsi="仿宋_GB2312" w:eastAsia="仿宋_GB2312" w:cs="仿宋_GB2312"/>
          <w:color w:val="auto"/>
          <w:sz w:val="32"/>
          <w:szCs w:val="32"/>
          <w:highlight w:val="none"/>
          <w:u w:val="none"/>
        </w:rPr>
        <w:t>本技术规范书应视为保证服务质量的最低要求，如有遗漏</w:t>
      </w:r>
      <w:r>
        <w:rPr>
          <w:rFonts w:hint="eastAsia" w:ascii="仿宋_GB2312" w:hAnsi="仿宋_GB2312" w:eastAsia="仿宋_GB2312" w:cs="仿宋_GB2312"/>
          <w:color w:val="auto"/>
          <w:sz w:val="32"/>
          <w:szCs w:val="32"/>
          <w:highlight w:val="none"/>
          <w:u w:val="none"/>
          <w:lang w:eastAsia="zh-CN"/>
        </w:rPr>
        <w:t>，响应方</w:t>
      </w:r>
      <w:r>
        <w:rPr>
          <w:rFonts w:hint="eastAsia" w:ascii="仿宋_GB2312" w:hAnsi="仿宋_GB2312" w:eastAsia="仿宋_GB2312" w:cs="仿宋_GB2312"/>
          <w:color w:val="auto"/>
          <w:sz w:val="32"/>
          <w:szCs w:val="32"/>
          <w:highlight w:val="none"/>
          <w:u w:val="none"/>
        </w:rPr>
        <w:t>应予以补充</w:t>
      </w:r>
      <w:r>
        <w:rPr>
          <w:rFonts w:hint="eastAsia" w:ascii="仿宋_GB2312" w:hAnsi="仿宋_GB2312" w:eastAsia="仿宋_GB2312" w:cs="仿宋_GB2312"/>
          <w:color w:val="auto"/>
          <w:sz w:val="32"/>
          <w:szCs w:val="32"/>
          <w:highlight w:val="none"/>
          <w:u w:val="none"/>
          <w:lang w:eastAsia="zh-CN"/>
        </w:rPr>
        <w:t>，</w:t>
      </w:r>
      <w:r>
        <w:rPr>
          <w:rFonts w:hint="eastAsia" w:ascii="仿宋_GB2312" w:hAnsi="仿宋_GB2312" w:eastAsia="仿宋_GB2312" w:cs="仿宋_GB2312"/>
          <w:color w:val="auto"/>
          <w:sz w:val="32"/>
          <w:szCs w:val="32"/>
          <w:highlight w:val="none"/>
          <w:u w:val="none"/>
        </w:rPr>
        <w:t>否则一旦</w:t>
      </w:r>
      <w:r>
        <w:rPr>
          <w:rFonts w:hint="eastAsia" w:ascii="仿宋_GB2312" w:hAnsi="仿宋_GB2312" w:eastAsia="仿宋_GB2312" w:cs="仿宋_GB2312"/>
          <w:color w:val="auto"/>
          <w:sz w:val="32"/>
          <w:szCs w:val="32"/>
          <w:highlight w:val="none"/>
          <w:u w:val="none"/>
          <w:lang w:val="en-US" w:eastAsia="zh-CN"/>
        </w:rPr>
        <w:t>成交</w:t>
      </w:r>
      <w:r>
        <w:rPr>
          <w:rFonts w:hint="eastAsia" w:ascii="仿宋_GB2312" w:hAnsi="仿宋_GB2312" w:eastAsia="仿宋_GB2312" w:cs="仿宋_GB2312"/>
          <w:color w:val="auto"/>
          <w:sz w:val="32"/>
          <w:szCs w:val="32"/>
          <w:highlight w:val="none"/>
          <w:u w:val="none"/>
        </w:rPr>
        <w:t>将认为</w:t>
      </w:r>
      <w:r>
        <w:rPr>
          <w:rFonts w:hint="eastAsia" w:ascii="仿宋_GB2312" w:hAnsi="仿宋_GB2312" w:eastAsia="仿宋_GB2312" w:cs="仿宋_GB2312"/>
          <w:color w:val="auto"/>
          <w:sz w:val="32"/>
          <w:szCs w:val="32"/>
          <w:highlight w:val="none"/>
          <w:u w:val="none"/>
          <w:lang w:eastAsia="zh-CN"/>
        </w:rPr>
        <w:t>响应方</w:t>
      </w:r>
      <w:r>
        <w:rPr>
          <w:rFonts w:hint="eastAsia" w:ascii="仿宋_GB2312" w:hAnsi="仿宋_GB2312" w:eastAsia="仿宋_GB2312" w:cs="仿宋_GB2312"/>
          <w:color w:val="auto"/>
          <w:sz w:val="32"/>
          <w:szCs w:val="32"/>
          <w:highlight w:val="none"/>
          <w:u w:val="none"/>
        </w:rPr>
        <w:t>认同遗漏部分并免费提供。</w:t>
      </w:r>
    </w:p>
    <w:p>
      <w:pPr>
        <w:keepNext w:val="0"/>
        <w:keepLines w:val="0"/>
        <w:pageBreakBefore w:val="0"/>
        <w:widowControl w:val="0"/>
        <w:tabs>
          <w:tab w:val="left" w:pos="1167"/>
        </w:tabs>
        <w:kinsoku/>
        <w:wordWrap/>
        <w:overflowPunct/>
        <w:topLinePunct w:val="0"/>
        <w:autoSpaceDE w:val="0"/>
        <w:autoSpaceDN w:val="0"/>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lang w:val="en-US" w:eastAsia="zh-CN"/>
        </w:rPr>
        <w:t>8.</w:t>
      </w:r>
      <w:r>
        <w:rPr>
          <w:rFonts w:hint="eastAsia" w:ascii="仿宋_GB2312" w:hAnsi="仿宋_GB2312" w:eastAsia="仿宋_GB2312" w:cs="仿宋_GB2312"/>
          <w:color w:val="auto"/>
          <w:sz w:val="32"/>
          <w:szCs w:val="32"/>
          <w:highlight w:val="none"/>
          <w:u w:val="none"/>
        </w:rPr>
        <w:t>本规范书经双方确认后作为项目合同的技术附件，与合同正文具有同等的法律效力。</w:t>
      </w:r>
    </w:p>
    <w:p>
      <w:pPr>
        <w:keepNext w:val="0"/>
        <w:keepLines w:val="0"/>
        <w:pageBreakBefore w:val="0"/>
        <w:widowControl w:val="0"/>
        <w:tabs>
          <w:tab w:val="left" w:pos="1169"/>
        </w:tabs>
        <w:kinsoku/>
        <w:wordWrap/>
        <w:overflowPunct/>
        <w:topLinePunct w:val="0"/>
        <w:autoSpaceDE w:val="0"/>
        <w:autoSpaceDN w:val="0"/>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lang w:val="en-US" w:eastAsia="zh-CN"/>
        </w:rPr>
        <w:t>9.成交方</w:t>
      </w:r>
      <w:r>
        <w:rPr>
          <w:rFonts w:hint="eastAsia" w:ascii="仿宋_GB2312" w:hAnsi="仿宋_GB2312" w:eastAsia="仿宋_GB2312" w:cs="仿宋_GB2312"/>
          <w:color w:val="auto"/>
          <w:sz w:val="32"/>
          <w:szCs w:val="32"/>
          <w:highlight w:val="none"/>
          <w:u w:val="none"/>
        </w:rPr>
        <w:t>应提供服务期内相关技术支持。</w:t>
      </w:r>
    </w:p>
    <w:p>
      <w:pPr>
        <w:keepNext w:val="0"/>
        <w:keepLines w:val="0"/>
        <w:pageBreakBefore w:val="0"/>
        <w:widowControl w:val="0"/>
        <w:tabs>
          <w:tab w:val="left" w:pos="1169"/>
        </w:tabs>
        <w:kinsoku/>
        <w:wordWrap/>
        <w:overflowPunct/>
        <w:topLinePunct w:val="0"/>
        <w:autoSpaceDE w:val="0"/>
        <w:autoSpaceDN w:val="0"/>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lang w:val="en-US" w:eastAsia="zh-CN"/>
        </w:rPr>
        <w:t>10.</w:t>
      </w:r>
      <w:r>
        <w:rPr>
          <w:rFonts w:hint="eastAsia" w:ascii="仿宋_GB2312" w:hAnsi="仿宋_GB2312" w:eastAsia="仿宋_GB2312" w:cs="仿宋_GB2312"/>
          <w:color w:val="auto"/>
          <w:sz w:val="32"/>
          <w:szCs w:val="32"/>
          <w:highlight w:val="none"/>
          <w:u w:val="none"/>
        </w:rPr>
        <w:t>要求</w:t>
      </w:r>
      <w:r>
        <w:rPr>
          <w:rFonts w:hint="eastAsia" w:ascii="仿宋_GB2312" w:hAnsi="仿宋_GB2312" w:eastAsia="仿宋_GB2312" w:cs="仿宋_GB2312"/>
          <w:color w:val="auto"/>
          <w:sz w:val="32"/>
          <w:szCs w:val="32"/>
          <w:highlight w:val="none"/>
          <w:u w:val="none"/>
          <w:lang w:eastAsia="zh-CN"/>
        </w:rPr>
        <w:t>响应方</w:t>
      </w:r>
      <w:r>
        <w:rPr>
          <w:rFonts w:hint="eastAsia" w:ascii="仿宋_GB2312" w:hAnsi="仿宋_GB2312" w:eastAsia="仿宋_GB2312" w:cs="仿宋_GB2312"/>
          <w:color w:val="auto"/>
          <w:sz w:val="32"/>
          <w:szCs w:val="32"/>
          <w:highlight w:val="none"/>
          <w:u w:val="none"/>
        </w:rPr>
        <w:t>对项目进行整体报价，</w:t>
      </w:r>
      <w:r>
        <w:rPr>
          <w:rFonts w:hint="eastAsia" w:ascii="仿宋_GB2312" w:hAnsi="仿宋_GB2312" w:eastAsia="仿宋_GB2312" w:cs="仿宋_GB2312"/>
          <w:color w:val="auto"/>
          <w:sz w:val="32"/>
          <w:szCs w:val="32"/>
          <w:highlight w:val="none"/>
          <w:u w:val="none"/>
          <w:lang w:eastAsia="zh-CN"/>
        </w:rPr>
        <w:t>采购方</w:t>
      </w:r>
      <w:r>
        <w:rPr>
          <w:rFonts w:hint="eastAsia" w:ascii="仿宋_GB2312" w:hAnsi="仿宋_GB2312" w:eastAsia="仿宋_GB2312" w:cs="仿宋_GB2312"/>
          <w:color w:val="auto"/>
          <w:sz w:val="32"/>
          <w:szCs w:val="32"/>
          <w:highlight w:val="none"/>
          <w:u w:val="none"/>
        </w:rPr>
        <w:t>不再支付额外费用。</w:t>
      </w:r>
    </w:p>
    <w:p>
      <w:pPr>
        <w:keepNext w:val="0"/>
        <w:keepLines w:val="0"/>
        <w:pageBreakBefore w:val="0"/>
        <w:widowControl w:val="0"/>
        <w:tabs>
          <w:tab w:val="left" w:pos="1169"/>
        </w:tabs>
        <w:kinsoku/>
        <w:wordWrap/>
        <w:overflowPunct/>
        <w:topLinePunct w:val="0"/>
        <w:autoSpaceDE w:val="0"/>
        <w:autoSpaceDN w:val="0"/>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lang w:val="en-US" w:eastAsia="zh-CN"/>
        </w:rPr>
        <w:t>11.</w:t>
      </w:r>
      <w:r>
        <w:rPr>
          <w:rFonts w:hint="eastAsia" w:ascii="仿宋_GB2312" w:hAnsi="仿宋_GB2312" w:eastAsia="仿宋_GB2312" w:cs="仿宋_GB2312"/>
          <w:color w:val="auto"/>
          <w:sz w:val="32"/>
          <w:szCs w:val="32"/>
          <w:highlight w:val="none"/>
          <w:u w:val="none"/>
        </w:rPr>
        <w:t>技术规范书、</w:t>
      </w:r>
      <w:r>
        <w:rPr>
          <w:rFonts w:hint="eastAsia" w:ascii="仿宋_GB2312" w:hAnsi="仿宋_GB2312" w:eastAsia="仿宋_GB2312" w:cs="仿宋_GB2312"/>
          <w:color w:val="auto"/>
          <w:sz w:val="32"/>
          <w:szCs w:val="32"/>
          <w:highlight w:val="none"/>
          <w:u w:val="none"/>
          <w:lang w:eastAsia="zh-CN"/>
        </w:rPr>
        <w:t>响应方</w:t>
      </w:r>
      <w:r>
        <w:rPr>
          <w:rFonts w:hint="eastAsia" w:ascii="仿宋_GB2312" w:hAnsi="仿宋_GB2312" w:eastAsia="仿宋_GB2312" w:cs="仿宋_GB2312"/>
          <w:color w:val="auto"/>
          <w:sz w:val="32"/>
          <w:szCs w:val="32"/>
          <w:highlight w:val="none"/>
          <w:u w:val="none"/>
        </w:rPr>
        <w:t>应答等</w:t>
      </w:r>
      <w:r>
        <w:rPr>
          <w:rFonts w:hint="eastAsia" w:ascii="仿宋_GB2312" w:hAnsi="仿宋_GB2312" w:eastAsia="仿宋_GB2312" w:cs="仿宋_GB2312"/>
          <w:color w:val="auto"/>
          <w:sz w:val="32"/>
          <w:szCs w:val="32"/>
          <w:highlight w:val="none"/>
          <w:u w:val="none"/>
          <w:lang w:val="en-US" w:eastAsia="zh-CN"/>
        </w:rPr>
        <w:t>采购</w:t>
      </w:r>
      <w:r>
        <w:rPr>
          <w:rFonts w:hint="eastAsia" w:ascii="仿宋_GB2312" w:hAnsi="仿宋_GB2312" w:eastAsia="仿宋_GB2312" w:cs="仿宋_GB2312"/>
          <w:color w:val="auto"/>
          <w:sz w:val="32"/>
          <w:szCs w:val="32"/>
          <w:highlight w:val="none"/>
          <w:u w:val="none"/>
        </w:rPr>
        <w:t>文件将作为合同的附件</w:t>
      </w:r>
      <w:r>
        <w:rPr>
          <w:rFonts w:hint="eastAsia" w:ascii="仿宋_GB2312" w:hAnsi="仿宋_GB2312" w:eastAsia="仿宋_GB2312" w:cs="仿宋_GB2312"/>
          <w:color w:val="auto"/>
          <w:sz w:val="32"/>
          <w:szCs w:val="32"/>
          <w:highlight w:val="none"/>
          <w:u w:val="none"/>
          <w:lang w:eastAsia="zh-CN"/>
        </w:rPr>
        <w:t>，</w:t>
      </w:r>
      <w:r>
        <w:rPr>
          <w:rFonts w:hint="eastAsia" w:ascii="仿宋_GB2312" w:hAnsi="仿宋_GB2312" w:eastAsia="仿宋_GB2312" w:cs="仿宋_GB2312"/>
          <w:color w:val="auto"/>
          <w:sz w:val="32"/>
          <w:szCs w:val="32"/>
          <w:highlight w:val="none"/>
          <w:u w:val="none"/>
        </w:rPr>
        <w:t>与合同具有同等法律效率。如有不一致则以高指标为准。</w:t>
      </w:r>
    </w:p>
    <w:p>
      <w:pPr>
        <w:keepNext w:val="0"/>
        <w:keepLines w:val="0"/>
        <w:pageBreakBefore w:val="0"/>
        <w:widowControl w:val="0"/>
        <w:tabs>
          <w:tab w:val="left" w:pos="1308"/>
        </w:tabs>
        <w:kinsoku/>
        <w:wordWrap/>
        <w:overflowPunct/>
        <w:topLinePunct w:val="0"/>
        <w:autoSpaceDE w:val="0"/>
        <w:autoSpaceDN w:val="0"/>
        <w:bidi w:val="0"/>
        <w:adjustRightInd/>
        <w:snapToGrid/>
        <w:spacing w:line="560" w:lineRule="exact"/>
        <w:ind w:left="0" w:leftChars="0" w:firstLine="640" w:firstLineChars="200"/>
        <w:jc w:val="both"/>
        <w:textAlignment w:val="auto"/>
        <w:rPr>
          <w:rFonts w:hint="eastAsia" w:ascii="仿宋_GB2312" w:hAnsi="仿宋_GB2312" w:eastAsia="仿宋_GB2312" w:cs="仿宋_GB2312"/>
          <w:b/>
          <w:color w:val="auto"/>
          <w:sz w:val="32"/>
          <w:szCs w:val="32"/>
        </w:rPr>
      </w:pPr>
      <w:r>
        <w:rPr>
          <w:rFonts w:hint="eastAsia" w:ascii="仿宋_GB2312" w:hAnsi="仿宋_GB2312" w:eastAsia="仿宋_GB2312" w:cs="仿宋_GB2312"/>
          <w:color w:val="auto"/>
          <w:sz w:val="32"/>
          <w:szCs w:val="32"/>
          <w:highlight w:val="none"/>
          <w:u w:val="none"/>
          <w:lang w:val="en-US" w:eastAsia="zh-CN"/>
        </w:rPr>
        <w:t>12.</w:t>
      </w:r>
      <w:r>
        <w:rPr>
          <w:rFonts w:hint="eastAsia" w:ascii="仿宋_GB2312" w:hAnsi="仿宋_GB2312" w:eastAsia="仿宋_GB2312" w:cs="仿宋_GB2312"/>
          <w:color w:val="auto"/>
          <w:sz w:val="32"/>
          <w:szCs w:val="32"/>
          <w:highlight w:val="none"/>
          <w:u w:val="none"/>
        </w:rPr>
        <w:t>本技术规范书未尽事宜</w:t>
      </w:r>
      <w:r>
        <w:rPr>
          <w:rFonts w:hint="eastAsia" w:ascii="仿宋_GB2312" w:hAnsi="仿宋_GB2312" w:eastAsia="仿宋_GB2312" w:cs="仿宋_GB2312"/>
          <w:color w:val="auto"/>
          <w:sz w:val="32"/>
          <w:szCs w:val="32"/>
          <w:highlight w:val="none"/>
          <w:u w:val="none"/>
          <w:lang w:eastAsia="zh-CN"/>
        </w:rPr>
        <w:t>，</w:t>
      </w:r>
      <w:r>
        <w:rPr>
          <w:rFonts w:hint="eastAsia" w:ascii="仿宋_GB2312" w:hAnsi="仿宋_GB2312" w:eastAsia="仿宋_GB2312" w:cs="仿宋_GB2312"/>
          <w:color w:val="auto"/>
          <w:sz w:val="32"/>
          <w:szCs w:val="32"/>
          <w:highlight w:val="none"/>
          <w:u w:val="none"/>
        </w:rPr>
        <w:t>由双方协商确定。</w:t>
      </w:r>
      <w:bookmarkStart w:id="7" w:name="二、技术规范"/>
      <w:bookmarkEnd w:id="7"/>
      <w:bookmarkStart w:id="8" w:name="_bookmark1"/>
      <w:bookmarkEnd w:id="8"/>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jc w:val="both"/>
        <w:textAlignment w:val="auto"/>
        <w:outlineLvl w:val="1"/>
        <w:rPr>
          <w:rFonts w:hint="eastAsia" w:ascii="仿宋_GB2312" w:hAnsi="仿宋_GB2312" w:eastAsia="仿宋_GB2312" w:cs="仿宋_GB2312"/>
          <w:color w:val="auto"/>
          <w:sz w:val="32"/>
          <w:szCs w:val="32"/>
        </w:rPr>
      </w:pPr>
      <w:r>
        <w:rPr>
          <w:rFonts w:hint="eastAsia" w:ascii="仿宋_GB2312" w:hAnsi="仿宋_GB2312" w:eastAsia="仿宋_GB2312" w:cs="仿宋_GB2312"/>
          <w:b/>
          <w:color w:val="auto"/>
          <w:sz w:val="32"/>
          <w:szCs w:val="32"/>
          <w:lang w:val="en-US" w:eastAsia="zh-CN"/>
        </w:rPr>
        <w:t>二</w:t>
      </w:r>
      <w:r>
        <w:rPr>
          <w:rFonts w:hint="eastAsia" w:ascii="仿宋_GB2312" w:hAnsi="仿宋_GB2312" w:eastAsia="仿宋_GB2312" w:cs="仿宋_GB2312"/>
          <w:b/>
          <w:color w:val="auto"/>
          <w:sz w:val="32"/>
          <w:szCs w:val="32"/>
        </w:rPr>
        <w:t>、项目概况</w:t>
      </w:r>
      <w:bookmarkEnd w:id="6"/>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b w:val="0"/>
          <w:bCs/>
          <w:color w:val="auto"/>
          <w:sz w:val="32"/>
          <w:szCs w:val="32"/>
        </w:rPr>
      </w:pPr>
      <w:bookmarkStart w:id="9" w:name="heading_7"/>
      <w:r>
        <w:rPr>
          <w:rFonts w:hint="eastAsia" w:ascii="仿宋_GB2312" w:hAnsi="仿宋_GB2312" w:eastAsia="仿宋_GB2312" w:cs="仿宋_GB2312"/>
          <w:b w:val="0"/>
          <w:bCs/>
          <w:color w:val="auto"/>
          <w:sz w:val="32"/>
          <w:szCs w:val="32"/>
        </w:rPr>
        <w:t>为系统化提升企业品牌形象，强化公司对外品牌宣传展示力度，全方位展示公司在自然灾害应急响应、国际供应链服务、采购仓储运营管理等业务板块工作实绩与建设成效。拟通过聘请第三方专业宣传服务机构，在指定权威行业媒体平台开展企业形象宣传推广工作，宣传形式包含</w:t>
      </w:r>
      <w:r>
        <w:rPr>
          <w:rFonts w:hint="eastAsia" w:ascii="仿宋_GB2312" w:hAnsi="仿宋_GB2312" w:eastAsia="仿宋_GB2312" w:cs="仿宋_GB2312"/>
          <w:b w:val="0"/>
          <w:bCs/>
          <w:color w:val="auto"/>
          <w:sz w:val="32"/>
          <w:szCs w:val="32"/>
          <w:highlight w:val="none"/>
        </w:rPr>
        <w:t>企业形象推广素材挖掘、专题策划、深度品牌故事</w:t>
      </w:r>
      <w:r>
        <w:rPr>
          <w:rFonts w:hint="eastAsia" w:ascii="仿宋_GB2312" w:hAnsi="仿宋_GB2312" w:eastAsia="仿宋_GB2312" w:cs="仿宋_GB2312"/>
          <w:b w:val="0"/>
          <w:bCs/>
          <w:color w:val="auto"/>
          <w:sz w:val="32"/>
          <w:szCs w:val="32"/>
          <w:highlight w:val="none"/>
          <w:lang w:eastAsia="zh-CN"/>
        </w:rPr>
        <w:t>推广</w:t>
      </w:r>
      <w:r>
        <w:rPr>
          <w:rFonts w:hint="eastAsia" w:ascii="仿宋_GB2312" w:hAnsi="仿宋_GB2312" w:eastAsia="仿宋_GB2312" w:cs="仿宋_GB2312"/>
          <w:b w:val="0"/>
          <w:bCs/>
          <w:color w:val="auto"/>
          <w:sz w:val="32"/>
          <w:szCs w:val="32"/>
        </w:rPr>
        <w:t>等，通过平台</w:t>
      </w:r>
      <w:r>
        <w:rPr>
          <w:rFonts w:hint="eastAsia" w:ascii="仿宋_GB2312" w:hAnsi="仿宋_GB2312" w:eastAsia="仿宋_GB2312" w:cs="仿宋_GB2312"/>
          <w:color w:val="auto"/>
          <w:sz w:val="32"/>
          <w:szCs w:val="32"/>
          <w:highlight w:val="none"/>
          <w:u w:val="none"/>
          <w:lang w:eastAsia="zh-CN"/>
        </w:rPr>
        <w:t>推广</w:t>
      </w:r>
      <w:r>
        <w:rPr>
          <w:rFonts w:hint="eastAsia" w:ascii="仿宋_GB2312" w:hAnsi="仿宋_GB2312" w:eastAsia="仿宋_GB2312" w:cs="仿宋_GB2312"/>
          <w:b w:val="0"/>
          <w:bCs/>
          <w:color w:val="auto"/>
          <w:sz w:val="32"/>
          <w:szCs w:val="32"/>
        </w:rPr>
        <w:t>传播，讲好企业发展故事，扩大行业知名度与社会影响力。</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b w:val="0"/>
          <w:bCs/>
          <w:color w:val="auto"/>
          <w:sz w:val="32"/>
          <w:szCs w:val="32"/>
        </w:rPr>
      </w:pPr>
      <w:r>
        <w:rPr>
          <w:rFonts w:hint="eastAsia" w:ascii="仿宋_GB2312" w:hAnsi="仿宋_GB2312" w:eastAsia="仿宋_GB2312" w:cs="仿宋_GB2312"/>
          <w:b w:val="0"/>
          <w:bCs/>
          <w:color w:val="auto"/>
          <w:sz w:val="32"/>
          <w:szCs w:val="32"/>
        </w:rPr>
        <w:t>发布平台清单：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outlineLvl w:val="1"/>
        <w:rPr>
          <w:rFonts w:hint="eastAsia" w:ascii="仿宋_GB2312" w:hAnsi="仿宋_GB2312" w:eastAsia="仿宋_GB2312" w:cs="仿宋_GB2312"/>
          <w:b w:val="0"/>
          <w:bCs/>
          <w:color w:val="auto"/>
          <w:sz w:val="32"/>
          <w:szCs w:val="32"/>
        </w:rPr>
      </w:pPr>
      <w:r>
        <w:rPr>
          <w:rFonts w:hint="eastAsia" w:ascii="仿宋_GB2312" w:hAnsi="仿宋_GB2312" w:eastAsia="仿宋_GB2312" w:cs="仿宋_GB2312"/>
          <w:b w:val="0"/>
          <w:bCs/>
          <w:color w:val="auto"/>
          <w:sz w:val="32"/>
          <w:szCs w:val="32"/>
          <w:lang w:val="en-US" w:eastAsia="zh-CN"/>
        </w:rPr>
        <w:t>1.</w:t>
      </w:r>
      <w:r>
        <w:rPr>
          <w:rFonts w:hint="eastAsia" w:ascii="仿宋_GB2312" w:hAnsi="仿宋_GB2312" w:eastAsia="仿宋_GB2312" w:cs="仿宋_GB2312"/>
          <w:b w:val="0"/>
          <w:bCs/>
          <w:color w:val="auto"/>
          <w:sz w:val="32"/>
          <w:szCs w:val="32"/>
        </w:rPr>
        <w:t>《中国电力报》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outlineLvl w:val="1"/>
        <w:rPr>
          <w:rFonts w:hint="eastAsia" w:ascii="仿宋_GB2312" w:hAnsi="仿宋_GB2312" w:eastAsia="仿宋_GB2312" w:cs="仿宋_GB2312"/>
          <w:b w:val="0"/>
          <w:bCs/>
          <w:color w:val="auto"/>
          <w:sz w:val="32"/>
          <w:szCs w:val="32"/>
        </w:rPr>
      </w:pPr>
      <w:r>
        <w:rPr>
          <w:rFonts w:hint="eastAsia" w:ascii="仿宋_GB2312" w:hAnsi="仿宋_GB2312" w:eastAsia="仿宋_GB2312" w:cs="仿宋_GB2312"/>
          <w:b w:val="0"/>
          <w:bCs/>
          <w:color w:val="auto"/>
          <w:sz w:val="32"/>
          <w:szCs w:val="32"/>
        </w:rPr>
        <w:t>2.中国能源新闻网</w:t>
      </w:r>
    </w:p>
    <w:p>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both"/>
        <w:textAlignment w:val="auto"/>
        <w:outlineLvl w:val="1"/>
        <w:rPr>
          <w:rFonts w:hint="eastAsia" w:ascii="仿宋_GB2312" w:hAnsi="仿宋_GB2312" w:eastAsia="仿宋_GB2312" w:cs="仿宋_GB2312"/>
          <w:b w:val="0"/>
          <w:bCs/>
          <w:color w:val="auto"/>
          <w:sz w:val="32"/>
          <w:szCs w:val="32"/>
        </w:rPr>
      </w:pPr>
      <w:r>
        <w:rPr>
          <w:rFonts w:hint="eastAsia" w:ascii="仿宋_GB2312" w:hAnsi="仿宋_GB2312" w:eastAsia="仿宋_GB2312" w:cs="仿宋_GB2312"/>
          <w:b w:val="0"/>
          <w:bCs/>
          <w:color w:val="auto"/>
          <w:sz w:val="32"/>
          <w:szCs w:val="32"/>
        </w:rPr>
        <w:t>3.中国电力报/中能传媒南方观察微信公众号</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b w:val="0"/>
          <w:bCs/>
          <w:color w:val="auto"/>
          <w:sz w:val="32"/>
          <w:szCs w:val="32"/>
        </w:rPr>
      </w:pPr>
      <w:r>
        <w:rPr>
          <w:rFonts w:hint="eastAsia" w:ascii="仿宋_GB2312" w:hAnsi="仿宋_GB2312" w:eastAsia="仿宋_GB2312" w:cs="仿宋_GB2312"/>
          <w:b w:val="0"/>
          <w:bCs/>
          <w:color w:val="auto"/>
          <w:sz w:val="32"/>
          <w:szCs w:val="32"/>
        </w:rPr>
        <w:t>本次计划完成3个企业形象推广广告内容的策划、制作及媒体广告位投放，项目总预算最高限价金额（一般不超概算）：50000元。</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黑体" w:hAnsi="黑体" w:eastAsia="黑体" w:cs="黑体"/>
          <w:b w:val="0"/>
          <w:bCs/>
          <w:color w:val="auto"/>
          <w:sz w:val="32"/>
          <w:szCs w:val="32"/>
          <w:lang w:eastAsia="zh-CN"/>
        </w:rPr>
      </w:pPr>
      <w:r>
        <w:rPr>
          <w:rFonts w:hint="eastAsia" w:ascii="黑体" w:hAnsi="黑体" w:eastAsia="黑体" w:cs="黑体"/>
          <w:b w:val="0"/>
          <w:bCs/>
          <w:color w:val="auto"/>
          <w:sz w:val="32"/>
          <w:szCs w:val="32"/>
        </w:rPr>
        <w:t>三、</w:t>
      </w:r>
      <w:bookmarkEnd w:id="9"/>
      <w:r>
        <w:rPr>
          <w:rFonts w:hint="eastAsia" w:ascii="黑体" w:hAnsi="黑体" w:eastAsia="黑体" w:cs="黑体"/>
          <w:b w:val="0"/>
          <w:bCs/>
          <w:color w:val="auto"/>
          <w:sz w:val="32"/>
          <w:szCs w:val="32"/>
          <w:lang w:eastAsia="zh-CN"/>
        </w:rPr>
        <w:t>服务目标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.依托电力能源行业权威媒体矩阵，精准开展企业正面形象宣传，展示业务亮点、重大工作成效、企业文化建设成果</w:t>
      </w:r>
      <w:r>
        <w:rPr>
          <w:rFonts w:hint="eastAsia" w:ascii="仿宋_GB2312" w:hAnsi="仿宋_GB2312" w:eastAsia="仿宋_GB2312" w:cs="仿宋_GB2312"/>
          <w:color w:val="auto"/>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2. 拓宽公司对外宣传传播渠道，补齐深度行业媒体宣传资源短板，构建权威、长效的行业宣传发声窗口</w:t>
      </w:r>
      <w:r>
        <w:rPr>
          <w:rFonts w:hint="eastAsia" w:ascii="仿宋_GB2312" w:hAnsi="仿宋_GB2312" w:eastAsia="仿宋_GB2312" w:cs="仿宋_GB2312"/>
          <w:color w:val="auto"/>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 xml:space="preserve"> 对标集团及各兄弟单位宣传工作模式，借助主流媒体公信力，提升公司行业美誉度、品牌辨识度与社会影响力</w:t>
      </w:r>
      <w:r>
        <w:rPr>
          <w:rFonts w:hint="eastAsia" w:ascii="仿宋_GB2312" w:hAnsi="仿宋_GB2312" w:eastAsia="仿宋_GB2312" w:cs="仿宋_GB2312"/>
          <w:color w:val="auto"/>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严格把控</w:t>
      </w:r>
      <w:r>
        <w:rPr>
          <w:rFonts w:hint="eastAsia" w:ascii="仿宋_GB2312" w:hAnsi="仿宋_GB2312" w:eastAsia="仿宋_GB2312" w:cs="仿宋_GB2312"/>
          <w:color w:val="auto"/>
          <w:sz w:val="32"/>
          <w:szCs w:val="32"/>
          <w:lang w:eastAsia="zh-CN"/>
        </w:rPr>
        <w:t>广告</w:t>
      </w:r>
      <w:r>
        <w:rPr>
          <w:rFonts w:hint="eastAsia" w:ascii="仿宋_GB2312" w:hAnsi="仿宋_GB2312" w:eastAsia="仿宋_GB2312" w:cs="仿宋_GB2312"/>
          <w:color w:val="auto"/>
          <w:sz w:val="32"/>
          <w:szCs w:val="32"/>
        </w:rPr>
        <w:t>内容质量，</w:t>
      </w:r>
      <w:r>
        <w:rPr>
          <w:rFonts w:hint="eastAsia" w:ascii="仿宋_GB2312" w:hAnsi="仿宋_GB2312" w:eastAsia="仿宋_GB2312" w:cs="仿宋_GB2312"/>
          <w:color w:val="auto"/>
          <w:sz w:val="32"/>
          <w:szCs w:val="32"/>
          <w:lang w:eastAsia="zh-CN"/>
        </w:rPr>
        <w:t>确保广告信息</w:t>
      </w:r>
      <w:r>
        <w:rPr>
          <w:rFonts w:hint="eastAsia" w:ascii="仿宋_GB2312" w:hAnsi="仿宋_GB2312" w:eastAsia="仿宋_GB2312" w:cs="仿宋_GB2312"/>
          <w:color w:val="auto"/>
          <w:sz w:val="32"/>
          <w:szCs w:val="32"/>
        </w:rPr>
        <w:t>合规发布，做到传播及时、导向正确、内容务实，宣传成果可溯源、可核验。</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黑体" w:hAnsi="黑体" w:eastAsia="黑体" w:cs="黑体"/>
          <w:b w:val="0"/>
          <w:bCs/>
          <w:color w:val="auto"/>
          <w:sz w:val="32"/>
          <w:szCs w:val="32"/>
        </w:rPr>
      </w:pPr>
      <w:bookmarkStart w:id="10" w:name="heading_11"/>
      <w:r>
        <w:rPr>
          <w:rFonts w:hint="eastAsia" w:ascii="黑体" w:hAnsi="黑体" w:eastAsia="黑体" w:cs="黑体"/>
          <w:b w:val="0"/>
          <w:bCs/>
          <w:color w:val="auto"/>
          <w:sz w:val="32"/>
          <w:szCs w:val="32"/>
        </w:rPr>
        <w:t>四、</w:t>
      </w:r>
      <w:bookmarkEnd w:id="10"/>
      <w:r>
        <w:rPr>
          <w:rFonts w:hint="eastAsia" w:ascii="黑体" w:hAnsi="黑体" w:eastAsia="黑体" w:cs="黑体"/>
          <w:b w:val="0"/>
          <w:bCs/>
          <w:color w:val="auto"/>
          <w:sz w:val="32"/>
          <w:szCs w:val="32"/>
        </w:rPr>
        <w:t>服务内容及技术要求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highlight w:val="none"/>
          <w:lang w:val="en-US" w:eastAsia="zh-CN"/>
        </w:rPr>
      </w:pPr>
      <w:bookmarkStart w:id="11" w:name="heading_12"/>
      <w:r>
        <w:rPr>
          <w:rFonts w:hint="eastAsia" w:ascii="仿宋_GB2312" w:hAnsi="仿宋_GB2312" w:eastAsia="仿宋_GB2312" w:cs="仿宋_GB2312"/>
          <w:color w:val="auto"/>
          <w:sz w:val="32"/>
          <w:szCs w:val="32"/>
          <w:highlight w:val="none"/>
          <w:lang w:val="en-US" w:eastAsia="zh-CN"/>
        </w:rPr>
        <w:t>（一）稿件策划与选题服务</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1.服务商需结合公司年度</w:t>
      </w:r>
      <w:r>
        <w:rPr>
          <w:rFonts w:hint="eastAsia" w:ascii="仿宋_GB2312" w:hAnsi="仿宋_GB2312" w:eastAsia="仿宋_GB2312" w:cs="仿宋_GB2312"/>
          <w:color w:val="auto"/>
          <w:sz w:val="32"/>
          <w:szCs w:val="32"/>
          <w:highlight w:val="none"/>
          <w:lang w:val="en-US" w:eastAsia="zh-CN"/>
        </w:rPr>
        <w:t>品牌推广</w:t>
      </w:r>
      <w:r>
        <w:rPr>
          <w:rFonts w:hint="eastAsia" w:ascii="仿宋_GB2312" w:hAnsi="仿宋_GB2312" w:eastAsia="仿宋_GB2312" w:cs="仿宋_GB2312"/>
          <w:color w:val="auto"/>
          <w:sz w:val="32"/>
          <w:szCs w:val="32"/>
          <w:highlight w:val="none"/>
          <w:lang w:val="en-US" w:eastAsia="zh-CN"/>
        </w:rPr>
        <w:t>重点、阶段性重大事项、业务工作亮点，配合</w:t>
      </w:r>
      <w:r>
        <w:rPr>
          <w:rFonts w:hint="eastAsia" w:ascii="仿宋_GB2312" w:hAnsi="仿宋_GB2312" w:eastAsia="仿宋_GB2312" w:cs="仿宋_GB2312"/>
          <w:color w:val="auto"/>
          <w:sz w:val="32"/>
          <w:szCs w:val="32"/>
          <w:highlight w:val="none"/>
          <w:lang w:val="en-US" w:eastAsia="zh-CN"/>
        </w:rPr>
        <w:t>采购方</w:t>
      </w:r>
      <w:r>
        <w:rPr>
          <w:rFonts w:hint="eastAsia" w:ascii="仿宋_GB2312" w:hAnsi="仿宋_GB2312" w:eastAsia="仿宋_GB2312" w:cs="仿宋_GB2312"/>
          <w:color w:val="auto"/>
          <w:sz w:val="32"/>
          <w:szCs w:val="32"/>
          <w:highlight w:val="none"/>
          <w:lang w:val="en-US" w:eastAsia="zh-CN"/>
        </w:rPr>
        <w:t>共同</w:t>
      </w:r>
      <w:r>
        <w:rPr>
          <w:rFonts w:hint="eastAsia" w:ascii="仿宋_GB2312" w:hAnsi="仿宋_GB2312" w:eastAsia="仿宋_GB2312" w:cs="仿宋_GB2312"/>
          <w:color w:val="auto"/>
          <w:sz w:val="32"/>
          <w:szCs w:val="32"/>
          <w:highlight w:val="none"/>
          <w:lang w:val="en-US" w:eastAsia="zh-CN"/>
        </w:rPr>
        <w:t>挖掘具有品牌传播价值的选题，策划3个企业形象推广广告的主题方向。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2.根据</w:t>
      </w:r>
      <w:r>
        <w:rPr>
          <w:rFonts w:hint="eastAsia" w:ascii="仿宋_GB2312" w:hAnsi="仿宋_GB2312" w:eastAsia="仿宋_GB2312" w:cs="仿宋_GB2312"/>
          <w:color w:val="auto"/>
          <w:sz w:val="32"/>
          <w:szCs w:val="32"/>
          <w:highlight w:val="none"/>
          <w:lang w:val="en-US" w:eastAsia="zh-CN"/>
        </w:rPr>
        <w:t>采购</w:t>
      </w:r>
      <w:r>
        <w:rPr>
          <w:rFonts w:hint="eastAsia" w:ascii="仿宋_GB2312" w:hAnsi="仿宋_GB2312" w:eastAsia="仿宋_GB2312" w:cs="仿宋_GB2312"/>
          <w:color w:val="auto"/>
          <w:sz w:val="32"/>
          <w:szCs w:val="32"/>
          <w:highlight w:val="none"/>
          <w:lang w:val="en-US" w:eastAsia="zh-CN"/>
        </w:rPr>
        <w:t>方提供的</w:t>
      </w:r>
      <w:r>
        <w:rPr>
          <w:rFonts w:hint="eastAsia" w:ascii="仿宋_GB2312" w:hAnsi="仿宋_GB2312" w:eastAsia="仿宋_GB2312" w:cs="仿宋_GB2312"/>
          <w:color w:val="auto"/>
          <w:sz w:val="32"/>
          <w:szCs w:val="32"/>
          <w:highlight w:val="none"/>
          <w:lang w:val="en-US" w:eastAsia="zh-CN"/>
        </w:rPr>
        <w:t>企业</w:t>
      </w:r>
      <w:r>
        <w:rPr>
          <w:rFonts w:hint="eastAsia" w:ascii="仿宋_GB2312" w:hAnsi="仿宋_GB2312" w:eastAsia="仿宋_GB2312" w:cs="仿宋_GB2312"/>
          <w:color w:val="auto"/>
          <w:sz w:val="32"/>
          <w:szCs w:val="32"/>
          <w:highlight w:val="none"/>
          <w:lang w:val="en-US" w:eastAsia="zh-CN"/>
        </w:rPr>
        <w:t>素材、工作背景资料，完成</w:t>
      </w:r>
      <w:r>
        <w:rPr>
          <w:rFonts w:hint="eastAsia" w:ascii="仿宋_GB2312" w:hAnsi="仿宋_GB2312" w:eastAsia="仿宋_GB2312" w:cs="仿宋_GB2312"/>
          <w:color w:val="auto"/>
          <w:sz w:val="32"/>
          <w:szCs w:val="32"/>
          <w:highlight w:val="none"/>
          <w:lang w:val="en-US" w:eastAsia="zh-CN"/>
        </w:rPr>
        <w:t>广告</w:t>
      </w:r>
      <w:r>
        <w:rPr>
          <w:rFonts w:hint="eastAsia" w:ascii="仿宋_GB2312" w:hAnsi="仿宋_GB2312" w:eastAsia="仿宋_GB2312" w:cs="仿宋_GB2312"/>
          <w:color w:val="auto"/>
          <w:sz w:val="32"/>
          <w:szCs w:val="32"/>
          <w:highlight w:val="none"/>
          <w:lang w:val="en-US" w:eastAsia="zh-CN"/>
        </w:rPr>
        <w:t>素材梳理、</w:t>
      </w:r>
      <w:r>
        <w:rPr>
          <w:rFonts w:hint="eastAsia" w:ascii="仿宋_GB2312" w:hAnsi="仿宋_GB2312" w:eastAsia="仿宋_GB2312" w:cs="仿宋_GB2312"/>
          <w:color w:val="auto"/>
          <w:sz w:val="32"/>
          <w:szCs w:val="32"/>
          <w:highlight w:val="none"/>
          <w:lang w:val="en-US" w:eastAsia="zh-CN"/>
        </w:rPr>
        <w:t>广告文案撰写、</w:t>
      </w:r>
      <w:r>
        <w:rPr>
          <w:rFonts w:hint="eastAsia" w:ascii="仿宋_GB2312" w:hAnsi="仿宋_GB2312" w:eastAsia="仿宋_GB2312" w:cs="仿宋_GB2312"/>
          <w:color w:val="auto"/>
          <w:sz w:val="32"/>
          <w:szCs w:val="32"/>
          <w:highlight w:val="none"/>
          <w:lang w:val="en-US" w:eastAsia="zh-CN"/>
        </w:rPr>
        <w:t>内容打磨优化。</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val="en-US" w:eastAsia="zh-CN"/>
        </w:rPr>
        <w:t>广告</w:t>
      </w:r>
      <w:r>
        <w:rPr>
          <w:rFonts w:hint="eastAsia" w:ascii="仿宋_GB2312" w:hAnsi="仿宋_GB2312" w:eastAsia="仿宋_GB2312" w:cs="仿宋_GB2312"/>
          <w:color w:val="auto"/>
          <w:sz w:val="32"/>
          <w:szCs w:val="32"/>
          <w:highlight w:val="none"/>
          <w:lang w:val="en-US" w:eastAsia="zh-CN"/>
        </w:rPr>
        <w:t>初稿完成后提交</w:t>
      </w:r>
      <w:r>
        <w:rPr>
          <w:rFonts w:hint="eastAsia" w:ascii="仿宋_GB2312" w:hAnsi="仿宋_GB2312" w:eastAsia="仿宋_GB2312" w:cs="仿宋_GB2312"/>
          <w:color w:val="auto"/>
          <w:sz w:val="32"/>
          <w:szCs w:val="32"/>
          <w:highlight w:val="none"/>
          <w:lang w:val="en-US" w:eastAsia="zh-CN"/>
        </w:rPr>
        <w:t>采购</w:t>
      </w:r>
      <w:r>
        <w:rPr>
          <w:rFonts w:hint="eastAsia" w:ascii="仿宋_GB2312" w:hAnsi="仿宋_GB2312" w:eastAsia="仿宋_GB2312" w:cs="仿宋_GB2312"/>
          <w:color w:val="auto"/>
          <w:sz w:val="32"/>
          <w:szCs w:val="32"/>
          <w:highlight w:val="none"/>
          <w:lang w:val="en-US" w:eastAsia="zh-CN"/>
        </w:rPr>
        <w:t>方审核，严格按照修改意见完成多轮调整，直至</w:t>
      </w:r>
      <w:r>
        <w:rPr>
          <w:rFonts w:hint="eastAsia" w:ascii="仿宋_GB2312" w:hAnsi="仿宋_GB2312" w:eastAsia="仿宋_GB2312" w:cs="仿宋_GB2312"/>
          <w:color w:val="auto"/>
          <w:sz w:val="32"/>
          <w:szCs w:val="32"/>
          <w:highlight w:val="none"/>
          <w:lang w:val="en-US" w:eastAsia="zh-CN"/>
        </w:rPr>
        <w:t>采购</w:t>
      </w:r>
      <w:r>
        <w:rPr>
          <w:rFonts w:hint="eastAsia" w:ascii="仿宋_GB2312" w:hAnsi="仿宋_GB2312" w:eastAsia="仿宋_GB2312" w:cs="仿宋_GB2312"/>
          <w:color w:val="auto"/>
          <w:sz w:val="32"/>
          <w:szCs w:val="32"/>
          <w:highlight w:val="none"/>
          <w:lang w:val="en-US" w:eastAsia="zh-CN"/>
        </w:rPr>
        <w:t>方确认定稿，</w:t>
      </w:r>
      <w:r>
        <w:rPr>
          <w:rFonts w:hint="eastAsia" w:ascii="仿宋_GB2312" w:hAnsi="仿宋_GB2312" w:eastAsia="仿宋_GB2312" w:cs="仿宋_GB2312"/>
          <w:color w:val="auto"/>
          <w:sz w:val="32"/>
          <w:szCs w:val="32"/>
          <w:highlight w:val="none"/>
          <w:lang w:val="en-US" w:eastAsia="zh-CN"/>
        </w:rPr>
        <w:t>服务商方可进行推广。</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（二）媒体推广发布服务</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1.定稿稿件按约定在中国电力报、中国能源新闻网、中能传媒南方观察公众号</w:t>
      </w:r>
      <w:r>
        <w:rPr>
          <w:rFonts w:hint="eastAsia" w:ascii="仿宋_GB2312" w:hAnsi="仿宋_GB2312" w:eastAsia="仿宋_GB2312" w:cs="仿宋_GB2312"/>
          <w:color w:val="auto"/>
          <w:sz w:val="32"/>
          <w:szCs w:val="32"/>
          <w:highlight w:val="none"/>
          <w:lang w:val="en-US" w:eastAsia="zh-CN"/>
        </w:rPr>
        <w:t>等平台进行推广。</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2.严格按照排期计划落实</w:t>
      </w:r>
      <w:r>
        <w:rPr>
          <w:rFonts w:hint="eastAsia" w:ascii="仿宋_GB2312" w:hAnsi="仿宋_GB2312" w:eastAsia="仿宋_GB2312" w:cs="仿宋_GB2312"/>
          <w:color w:val="auto"/>
          <w:sz w:val="32"/>
          <w:szCs w:val="32"/>
          <w:highlight w:val="none"/>
          <w:lang w:val="en-US" w:eastAsia="zh-CN"/>
        </w:rPr>
        <w:t>推广</w:t>
      </w:r>
      <w:r>
        <w:rPr>
          <w:rFonts w:hint="eastAsia" w:ascii="仿宋_GB2312" w:hAnsi="仿宋_GB2312" w:eastAsia="仿宋_GB2312" w:cs="仿宋_GB2312"/>
          <w:color w:val="auto"/>
          <w:sz w:val="32"/>
          <w:szCs w:val="32"/>
          <w:highlight w:val="none"/>
          <w:lang w:val="en-US" w:eastAsia="zh-CN"/>
        </w:rPr>
        <w:t>时间，遇媒体版面调整需第一时间与我方沟通，协商调整</w:t>
      </w:r>
      <w:r>
        <w:rPr>
          <w:rFonts w:hint="eastAsia" w:ascii="仿宋_GB2312" w:hAnsi="仿宋_GB2312" w:eastAsia="仿宋_GB2312" w:cs="仿宋_GB2312"/>
          <w:color w:val="auto"/>
          <w:sz w:val="32"/>
          <w:szCs w:val="32"/>
          <w:highlight w:val="none"/>
          <w:lang w:val="en-US" w:eastAsia="zh-CN"/>
        </w:rPr>
        <w:t>推广</w:t>
      </w:r>
      <w:r>
        <w:rPr>
          <w:rFonts w:hint="eastAsia" w:ascii="仿宋_GB2312" w:hAnsi="仿宋_GB2312" w:eastAsia="仿宋_GB2312" w:cs="仿宋_GB2312"/>
          <w:color w:val="auto"/>
          <w:sz w:val="32"/>
          <w:szCs w:val="32"/>
          <w:highlight w:val="none"/>
          <w:lang w:val="en-US" w:eastAsia="zh-CN"/>
        </w:rPr>
        <w:t>周期，不得擅自更改</w:t>
      </w:r>
      <w:r>
        <w:rPr>
          <w:rFonts w:hint="eastAsia" w:ascii="仿宋_GB2312" w:hAnsi="仿宋_GB2312" w:eastAsia="仿宋_GB2312" w:cs="仿宋_GB2312"/>
          <w:color w:val="auto"/>
          <w:sz w:val="32"/>
          <w:szCs w:val="32"/>
          <w:highlight w:val="none"/>
          <w:lang w:val="en-US" w:eastAsia="zh-CN"/>
        </w:rPr>
        <w:t>推广</w:t>
      </w:r>
      <w:r>
        <w:rPr>
          <w:rFonts w:hint="eastAsia" w:ascii="仿宋_GB2312" w:hAnsi="仿宋_GB2312" w:eastAsia="仿宋_GB2312" w:cs="仿宋_GB2312"/>
          <w:color w:val="auto"/>
          <w:sz w:val="32"/>
          <w:szCs w:val="32"/>
          <w:highlight w:val="none"/>
          <w:lang w:val="en-US" w:eastAsia="zh-CN"/>
        </w:rPr>
        <w:t>平台及渠道。</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val="en-US" w:eastAsia="zh-CN"/>
        </w:rPr>
        <w:t>推广形式包含报纸广告、网站广告、公众号广告等，配图由双方协商确定，服务商可提供设计建议。</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（三）成果交付与核验要求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1.每篇宣传稿件发布完成后3个工作日内，向我方交付完整发布佐证材料：报纸版面截图、网页链接、公众号推文链接、完整发布截图。</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2.全部3篇宣传报道完成后，汇总全套宣传成果资料，形成本次宣传项目成果档案包，统一移交甲方归档留存。</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3.所有发布链接需保证链接长期有效，不得出现撤稿、删稿、链接失效等情况，如因媒体版面调整出现链接变更，服务商须及时提供最新有效访问地址。</w:t>
      </w:r>
    </w:p>
    <w:p>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both"/>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（四）服务时限要求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合同签订生效后，根据我方宣传工作节点需求分批安排稿件策划、撰稿、定稿、刊发。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整体3篇宣传报道，自合同生效之日起12个月内完成全部策划、撰稿、审核、刊发及资料交付工作，具体排期由双方根据宣传节点另行沟通确定。</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黑体" w:hAnsi="黑体" w:eastAsia="黑体" w:cs="黑体"/>
          <w:b w:val="0"/>
          <w:bCs/>
          <w:color w:val="auto"/>
          <w:sz w:val="32"/>
          <w:szCs w:val="32"/>
        </w:rPr>
      </w:pPr>
      <w:r>
        <w:rPr>
          <w:rFonts w:hint="eastAsia" w:ascii="黑体" w:hAnsi="黑体" w:eastAsia="黑体" w:cs="黑体"/>
          <w:b w:val="0"/>
          <w:bCs/>
          <w:color w:val="auto"/>
          <w:sz w:val="32"/>
          <w:szCs w:val="32"/>
        </w:rPr>
        <w:t>五、</w:t>
      </w:r>
      <w:bookmarkEnd w:id="11"/>
      <w:r>
        <w:rPr>
          <w:rFonts w:hint="eastAsia" w:ascii="黑体" w:hAnsi="黑体" w:eastAsia="黑体" w:cs="黑体"/>
          <w:b w:val="0"/>
          <w:bCs/>
          <w:color w:val="auto"/>
          <w:sz w:val="32"/>
          <w:szCs w:val="32"/>
        </w:rPr>
        <w:t>人员配置要求</w:t>
      </w:r>
    </w:p>
    <w:p>
      <w:pPr>
        <w:pStyle w:val="2"/>
        <w:keepNext w:val="0"/>
        <w:keepLines w:val="0"/>
        <w:pageBreakBefore w:val="0"/>
        <w:widowControl w:val="0"/>
        <w:numPr>
          <w:ilvl w:val="1"/>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eastAsia="仿宋_GB2312" w:cs="仿宋_GB2312"/>
          <w:b w:val="0"/>
          <w:bCs w:val="0"/>
          <w:color w:val="auto"/>
          <w:sz w:val="32"/>
          <w:szCs w:val="32"/>
        </w:rPr>
        <w:t>服务商须配置专职项目对接人员1名，全程负责选题沟通、稿件对接、修改反馈、排期协调、成果交付</w:t>
      </w:r>
      <w:r>
        <w:rPr>
          <w:rFonts w:hint="eastAsia" w:ascii="仿宋_GB2312" w:hAnsi="仿宋_GB2312" w:eastAsia="仿宋_GB2312" w:cs="仿宋_GB2312"/>
          <w:b w:val="0"/>
          <w:bCs w:val="0"/>
          <w:color w:val="auto"/>
          <w:sz w:val="32"/>
          <w:szCs w:val="32"/>
          <w:lang w:eastAsia="zh-CN"/>
        </w:rPr>
        <w:t>。</w:t>
      </w:r>
    </w:p>
    <w:p>
      <w:pPr>
        <w:pStyle w:val="2"/>
        <w:keepNext w:val="0"/>
        <w:keepLines w:val="0"/>
        <w:pageBreakBefore w:val="0"/>
        <w:widowControl w:val="0"/>
        <w:numPr>
          <w:ilvl w:val="1"/>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val="en-US" w:eastAsia="zh-CN"/>
        </w:rPr>
        <w:t>2.</w:t>
      </w:r>
      <w:r>
        <w:rPr>
          <w:rFonts w:hint="eastAsia" w:ascii="仿宋_GB2312" w:hAnsi="仿宋_GB2312" w:eastAsia="仿宋_GB2312" w:cs="仿宋_GB2312"/>
          <w:b w:val="0"/>
          <w:bCs w:val="0"/>
          <w:color w:val="auto"/>
          <w:sz w:val="32"/>
          <w:szCs w:val="32"/>
        </w:rPr>
        <w:t>配备具备能源电力行业撰稿经验采编人员，熟悉能源电力行业宣传口径，能够精准把握电力行业媒体行文风格</w:t>
      </w:r>
      <w:r>
        <w:rPr>
          <w:rFonts w:hint="eastAsia" w:ascii="仿宋_GB2312" w:hAnsi="仿宋_GB2312" w:eastAsia="仿宋_GB2312" w:cs="仿宋_GB2312"/>
          <w:b w:val="0"/>
          <w:bCs w:val="0"/>
          <w:color w:val="auto"/>
          <w:sz w:val="32"/>
          <w:szCs w:val="32"/>
          <w:lang w:eastAsia="zh-CN"/>
        </w:rPr>
        <w:t>。</w:t>
      </w:r>
    </w:p>
    <w:p>
      <w:pPr>
        <w:pStyle w:val="2"/>
        <w:keepNext w:val="0"/>
        <w:keepLines w:val="0"/>
        <w:pageBreakBefore w:val="0"/>
        <w:widowControl w:val="0"/>
        <w:numPr>
          <w:ilvl w:val="1"/>
          <w:numId w:val="0"/>
        </w:numPr>
        <w:kinsoku/>
        <w:wordWrap/>
        <w:overflowPunct/>
        <w:topLinePunct w:val="0"/>
        <w:autoSpaceDE/>
        <w:autoSpaceDN/>
        <w:bidi w:val="0"/>
        <w:adjustRightInd/>
        <w:snapToGrid/>
        <w:spacing w:line="560" w:lineRule="exact"/>
        <w:ind w:leftChars="0" w:firstLine="640" w:firstLineChars="200"/>
        <w:jc w:val="both"/>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w:t>
      </w:r>
      <w:r>
        <w:rPr>
          <w:rFonts w:hint="eastAsia" w:ascii="仿宋_GB2312" w:hAnsi="仿宋_GB2312" w:eastAsia="仿宋_GB2312" w:cs="仿宋_GB2312"/>
          <w:b w:val="0"/>
          <w:bCs w:val="0"/>
          <w:color w:val="auto"/>
          <w:sz w:val="32"/>
          <w:szCs w:val="32"/>
        </w:rPr>
        <w:t>对接人员工作日保持通讯畅通，收到甲方修改意见、业务需求后2小时内予以响应，1个工作日内反馈修改初稿或调整方案。</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黑体" w:hAnsi="黑体" w:eastAsia="黑体" w:cs="黑体"/>
          <w:b w:val="0"/>
          <w:bCs/>
          <w:color w:val="auto"/>
          <w:sz w:val="32"/>
          <w:szCs w:val="32"/>
        </w:rPr>
      </w:pPr>
      <w:bookmarkStart w:id="12" w:name="heading_17"/>
      <w:r>
        <w:rPr>
          <w:rFonts w:hint="eastAsia" w:ascii="黑体" w:hAnsi="黑体" w:eastAsia="黑体" w:cs="黑体"/>
          <w:b w:val="0"/>
          <w:bCs/>
          <w:color w:val="auto"/>
          <w:sz w:val="32"/>
          <w:szCs w:val="32"/>
        </w:rPr>
        <w:t>六、</w:t>
      </w:r>
      <w:bookmarkEnd w:id="12"/>
      <w:r>
        <w:rPr>
          <w:rFonts w:hint="eastAsia" w:ascii="黑体" w:hAnsi="黑体" w:eastAsia="黑体" w:cs="黑体"/>
          <w:b w:val="0"/>
          <w:bCs/>
          <w:color w:val="auto"/>
          <w:sz w:val="32"/>
          <w:szCs w:val="32"/>
        </w:rPr>
        <w:t>质量管控要求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b w:val="0"/>
          <w:bCs/>
          <w:color w:val="auto"/>
          <w:sz w:val="32"/>
          <w:szCs w:val="32"/>
          <w:lang w:eastAsia="zh-CN"/>
        </w:rPr>
      </w:pPr>
      <w:bookmarkStart w:id="13" w:name="heading_20"/>
      <w:r>
        <w:rPr>
          <w:rFonts w:hint="eastAsia" w:ascii="仿宋_GB2312" w:hAnsi="仿宋_GB2312" w:eastAsia="仿宋_GB2312" w:cs="仿宋_GB2312"/>
          <w:b w:val="0"/>
          <w:bCs/>
          <w:color w:val="auto"/>
          <w:sz w:val="32"/>
          <w:szCs w:val="32"/>
          <w:lang w:val="en-US" w:eastAsia="zh-CN"/>
        </w:rPr>
        <w:t>1.</w:t>
      </w:r>
      <w:r>
        <w:rPr>
          <w:rFonts w:hint="eastAsia" w:ascii="仿宋_GB2312" w:hAnsi="仿宋_GB2312" w:eastAsia="仿宋_GB2312" w:cs="仿宋_GB2312"/>
          <w:b w:val="0"/>
          <w:bCs/>
          <w:color w:val="auto"/>
          <w:sz w:val="32"/>
          <w:szCs w:val="32"/>
        </w:rPr>
        <w:t>内容管控：所有宣传稿件必须坚持正确舆论导向，符合新闻宣传纪律、国企对外宣传审核管理规定，不得出现事实错误、表述错误、政策偏差</w:t>
      </w:r>
      <w:r>
        <w:rPr>
          <w:rFonts w:hint="eastAsia" w:ascii="仿宋_GB2312" w:hAnsi="仿宋_GB2312" w:eastAsia="仿宋_GB2312" w:cs="仿宋_GB2312"/>
          <w:b w:val="0"/>
          <w:bCs/>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val="en-US" w:eastAsia="zh-CN"/>
        </w:rPr>
        <w:t>2.</w:t>
      </w:r>
      <w:r>
        <w:rPr>
          <w:rFonts w:hint="eastAsia" w:ascii="仿宋_GB2312" w:hAnsi="仿宋_GB2312" w:eastAsia="仿宋_GB2312" w:cs="仿宋_GB2312"/>
          <w:b w:val="0"/>
          <w:bCs/>
          <w:color w:val="auto"/>
          <w:sz w:val="32"/>
          <w:szCs w:val="32"/>
        </w:rPr>
        <w:t>流程管控：严格执行“素材收集→初稿撰写→甲方审核→修改完善→定稿→排期发布→成果交付”全流程</w:t>
      </w:r>
      <w:r>
        <w:rPr>
          <w:rFonts w:hint="eastAsia" w:ascii="仿宋_GB2312" w:hAnsi="仿宋_GB2312" w:eastAsia="仿宋_GB2312" w:cs="仿宋_GB2312"/>
          <w:b w:val="0"/>
          <w:bCs/>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b w:val="0"/>
          <w:bCs/>
          <w:color w:val="auto"/>
          <w:sz w:val="32"/>
          <w:szCs w:val="32"/>
        </w:rPr>
      </w:pPr>
      <w:r>
        <w:rPr>
          <w:rFonts w:hint="eastAsia" w:ascii="仿宋_GB2312" w:hAnsi="仿宋_GB2312" w:eastAsia="仿宋_GB2312" w:cs="仿宋_GB2312"/>
          <w:b w:val="0"/>
          <w:bCs/>
          <w:color w:val="auto"/>
          <w:sz w:val="32"/>
          <w:szCs w:val="32"/>
          <w:lang w:val="en-US" w:eastAsia="zh-CN"/>
        </w:rPr>
        <w:t>3.</w:t>
      </w:r>
      <w:r>
        <w:rPr>
          <w:rFonts w:hint="eastAsia" w:ascii="仿宋_GB2312" w:hAnsi="仿宋_GB2312" w:eastAsia="仿宋_GB2312" w:cs="仿宋_GB2312"/>
          <w:b w:val="0"/>
          <w:bCs/>
          <w:color w:val="auto"/>
          <w:sz w:val="32"/>
          <w:szCs w:val="32"/>
        </w:rPr>
        <w:t>风险管控：如媒体提出稿件政策性修改意见，服务商第一时间同步甲方，共同协商调整稿件内容，不得私自修改定稿内容。</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黑体" w:hAnsi="黑体" w:eastAsia="黑体" w:cs="黑体"/>
          <w:b w:val="0"/>
          <w:bCs/>
          <w:color w:val="auto"/>
          <w:sz w:val="32"/>
          <w:szCs w:val="32"/>
        </w:rPr>
      </w:pPr>
      <w:r>
        <w:rPr>
          <w:rFonts w:hint="eastAsia" w:ascii="黑体" w:hAnsi="黑体" w:eastAsia="黑体" w:cs="黑体"/>
          <w:b w:val="0"/>
          <w:bCs/>
          <w:color w:val="auto"/>
          <w:sz w:val="32"/>
          <w:szCs w:val="32"/>
        </w:rPr>
        <w:t>七、验收标准</w:t>
      </w:r>
      <w:bookmarkEnd w:id="13"/>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lang w:val="en-US" w:eastAsia="zh-CN"/>
        </w:rPr>
      </w:pPr>
      <w:bookmarkStart w:id="14" w:name="heading_21"/>
      <w:r>
        <w:rPr>
          <w:rFonts w:hint="eastAsia" w:ascii="仿宋_GB2312" w:hAnsi="仿宋_GB2312" w:eastAsia="仿宋_GB2312" w:cs="仿宋_GB2312"/>
          <w:color w:val="auto"/>
          <w:sz w:val="32"/>
          <w:szCs w:val="32"/>
          <w:lang w:val="en-US" w:eastAsia="zh-CN"/>
        </w:rPr>
        <w:t>1.每篇稿件按我方确认版完成撰稿修改，内容经甲方审核通过。</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2.每篇稿件均按约定平台成功刊发，提供报纸、网站、公众号完整发布凭证。</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3.全套宣传资料、发布链接、版面截图完整交付，资料清晰可查。</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4.无漏发、错发、擅自更换发布渠道、擅自撤稿等问题。</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全部满足以上条件，视为项目验收合格。</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黑体" w:hAnsi="黑体" w:eastAsia="黑体" w:cs="黑体"/>
          <w:b w:val="0"/>
          <w:bCs/>
          <w:color w:val="auto"/>
          <w:sz w:val="32"/>
          <w:szCs w:val="32"/>
        </w:rPr>
      </w:pPr>
      <w:r>
        <w:rPr>
          <w:rFonts w:hint="eastAsia" w:ascii="黑体" w:hAnsi="黑体" w:eastAsia="黑体" w:cs="黑体"/>
          <w:b w:val="0"/>
          <w:bCs/>
          <w:color w:val="auto"/>
          <w:sz w:val="32"/>
          <w:szCs w:val="32"/>
        </w:rPr>
        <w:t>八、报价要求</w:t>
      </w:r>
      <w:bookmarkEnd w:id="14"/>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本项目采用总价报价，报价包含全过程所有费用，采购方不再支付额外费用。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黑体" w:hAnsi="黑体" w:eastAsia="黑体" w:cs="黑体"/>
          <w:b w:val="0"/>
          <w:bCs/>
          <w:color w:val="auto"/>
          <w:sz w:val="32"/>
          <w:szCs w:val="32"/>
          <w:lang w:val="en-US" w:eastAsia="zh-CN"/>
        </w:rPr>
      </w:pPr>
      <w:bookmarkStart w:id="15" w:name="heading_22"/>
      <w:r>
        <w:rPr>
          <w:rFonts w:hint="eastAsia" w:ascii="黑体" w:hAnsi="黑体" w:eastAsia="黑体" w:cs="黑体"/>
          <w:b w:val="0"/>
          <w:bCs/>
          <w:color w:val="auto"/>
          <w:sz w:val="32"/>
          <w:szCs w:val="32"/>
          <w:lang w:val="en-US" w:eastAsia="zh-CN"/>
        </w:rPr>
        <w:t>九、服务要求</w:t>
      </w:r>
      <w:bookmarkEnd w:id="15"/>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1.报价包含选题策划、文稿撰写、编辑润色、媒体版面费、公众号发布、成果整理交付等全部费用，无隐形加价。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2.付款方式：项目全部服务完成，验收合格后，服务商提供等额合规</w:t>
      </w:r>
      <w:r>
        <w:rPr>
          <w:rFonts w:hint="eastAsia" w:ascii="仿宋_GB2312" w:hAnsi="仿宋_GB2312" w:eastAsia="仿宋_GB2312" w:cs="仿宋_GB2312"/>
          <w:color w:val="auto"/>
          <w:sz w:val="32"/>
          <w:szCs w:val="32"/>
          <w:highlight w:val="none"/>
          <w:lang w:val="en-US" w:eastAsia="zh-CN"/>
        </w:rPr>
        <w:t>增值税发票</w:t>
      </w:r>
      <w:r>
        <w:rPr>
          <w:rFonts w:hint="eastAsia" w:ascii="仿宋_GB2312" w:hAnsi="仿宋_GB2312" w:eastAsia="仿宋_GB2312" w:cs="仿宋_GB2312"/>
          <w:color w:val="auto"/>
          <w:sz w:val="32"/>
          <w:szCs w:val="32"/>
          <w:lang w:val="en-US" w:eastAsia="zh-CN"/>
        </w:rPr>
        <w:t>，按公司财务流程办理付款。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3.知识产权：本次项目产出全部稿件文字、图文成果知识产权归采购方所有，采购方拥有后续转载、二次使用权利。</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0"/>
        <w:rPr>
          <w:rFonts w:hint="eastAsia" w:ascii="黑体" w:hAnsi="黑体" w:eastAsia="黑体" w:cs="黑体"/>
          <w:b w:val="0"/>
          <w:bCs/>
          <w:color w:val="auto"/>
          <w:sz w:val="32"/>
          <w:szCs w:val="32"/>
          <w:highlight w:val="none"/>
          <w:lang w:val="en-US" w:eastAsia="zh-CN"/>
        </w:rPr>
      </w:pPr>
      <w:r>
        <w:rPr>
          <w:rFonts w:hint="eastAsia" w:ascii="黑体" w:hAnsi="黑体" w:eastAsia="黑体" w:cs="黑体"/>
          <w:b w:val="0"/>
          <w:bCs/>
          <w:color w:val="auto"/>
          <w:sz w:val="32"/>
          <w:szCs w:val="32"/>
          <w:highlight w:val="none"/>
          <w:lang w:val="en-US" w:eastAsia="zh-CN"/>
        </w:rPr>
        <w:t>十、其他要求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1.服务商严格做好项目资料保密，不得擅自对外泄露未刊发稿件、企业内部宣传素材。</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2.服务期内主动对接我方宣传岗位人员，定期同步选题进度、排期计划，做好沟通协同。</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3.如遇重大宣传紧急需求，服务商须积极配合，优先协调版面资源，保障重点宣传任务落地。</w:t>
      </w:r>
    </w:p>
    <w:bookmarkEnd w:id="16"/>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方正小标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7E5CC8"/>
    <w:multiLevelType w:val="multilevel"/>
    <w:tmpl w:val="0D7E5CC8"/>
    <w:lvl w:ilvl="0" w:tentative="0">
      <w:start w:val="1"/>
      <w:numFmt w:val="japaneseCounting"/>
      <w:lvlText w:val="%1、"/>
      <w:lvlJc w:val="left"/>
      <w:pPr>
        <w:tabs>
          <w:tab w:val="left" w:pos="420"/>
        </w:tabs>
        <w:ind w:left="420" w:hanging="420"/>
      </w:pPr>
      <w:rPr>
        <w:rFonts w:hint="eastAsia"/>
      </w:rPr>
    </w:lvl>
    <w:lvl w:ilvl="1" w:tentative="0">
      <w:start w:val="1"/>
      <w:numFmt w:val="bullet"/>
      <w:pStyle w:val="3"/>
      <w:lvlText w:val=""/>
      <w:lvlJc w:val="left"/>
      <w:pPr>
        <w:tabs>
          <w:tab w:val="left" w:pos="840"/>
        </w:tabs>
        <w:ind w:left="840" w:hanging="420"/>
      </w:pPr>
      <w:rPr>
        <w:rFonts w:hint="default" w:ascii="Wingdings" w:hAnsi="Wingdings"/>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980"/>
        </w:tabs>
        <w:ind w:left="1980" w:hanging="72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217F1"/>
    <w:rsid w:val="07D478A0"/>
    <w:rsid w:val="081451C6"/>
    <w:rsid w:val="0C922D4F"/>
    <w:rsid w:val="16A97A9E"/>
    <w:rsid w:val="18E637EA"/>
    <w:rsid w:val="1A7D44BD"/>
    <w:rsid w:val="1E5A1AB4"/>
    <w:rsid w:val="1F4934E4"/>
    <w:rsid w:val="212D3F1A"/>
    <w:rsid w:val="268E70A4"/>
    <w:rsid w:val="274A3283"/>
    <w:rsid w:val="27FAC87E"/>
    <w:rsid w:val="291E3A57"/>
    <w:rsid w:val="2A6B4AD7"/>
    <w:rsid w:val="2BBD2276"/>
    <w:rsid w:val="2DB80F46"/>
    <w:rsid w:val="3113764E"/>
    <w:rsid w:val="36771416"/>
    <w:rsid w:val="377272CC"/>
    <w:rsid w:val="37E0445F"/>
    <w:rsid w:val="37F8E0FE"/>
    <w:rsid w:val="39AB4C98"/>
    <w:rsid w:val="39F1539F"/>
    <w:rsid w:val="3B741D22"/>
    <w:rsid w:val="3D38774B"/>
    <w:rsid w:val="3F302688"/>
    <w:rsid w:val="3F720BC8"/>
    <w:rsid w:val="42D13FFE"/>
    <w:rsid w:val="43E65C6B"/>
    <w:rsid w:val="4435250A"/>
    <w:rsid w:val="47CC38F3"/>
    <w:rsid w:val="49925E5B"/>
    <w:rsid w:val="4BC6155A"/>
    <w:rsid w:val="57E92302"/>
    <w:rsid w:val="592F4743"/>
    <w:rsid w:val="59EC96A8"/>
    <w:rsid w:val="5FA15765"/>
    <w:rsid w:val="619A0388"/>
    <w:rsid w:val="6551006A"/>
    <w:rsid w:val="658500F0"/>
    <w:rsid w:val="6B8C4D2A"/>
    <w:rsid w:val="6C9A59BC"/>
    <w:rsid w:val="6CB72B31"/>
    <w:rsid w:val="6EB4152F"/>
    <w:rsid w:val="6F7B7C6F"/>
    <w:rsid w:val="70E80C5C"/>
    <w:rsid w:val="78154337"/>
    <w:rsid w:val="78C15118"/>
    <w:rsid w:val="7B0831AA"/>
    <w:rsid w:val="7BFB9F5D"/>
    <w:rsid w:val="7CBFAE9D"/>
    <w:rsid w:val="7E7AC3EC"/>
    <w:rsid w:val="7F743DA8"/>
    <w:rsid w:val="7F7B8AE3"/>
    <w:rsid w:val="7FA501CC"/>
    <w:rsid w:val="7FDD2F2F"/>
    <w:rsid w:val="7FF54D53"/>
    <w:rsid w:val="7FFEDADF"/>
    <w:rsid w:val="7FFFC905"/>
    <w:rsid w:val="9B7B3563"/>
    <w:rsid w:val="AEF276EE"/>
    <w:rsid w:val="B1FA647F"/>
    <w:rsid w:val="BFB7A078"/>
    <w:rsid w:val="D3B81BEA"/>
    <w:rsid w:val="E7F53373"/>
    <w:rsid w:val="ED7F3ECB"/>
    <w:rsid w:val="F7DF268E"/>
    <w:rsid w:val="F9D66A15"/>
    <w:rsid w:val="FB2E17DD"/>
    <w:rsid w:val="FDBFCB7D"/>
    <w:rsid w:val="FDEBB720"/>
    <w:rsid w:val="FDFD2BC6"/>
    <w:rsid w:val="FEFF541A"/>
    <w:rsid w:val="FF8F52F2"/>
    <w:rsid w:val="FFBD08F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tabs>
        <w:tab w:val="left" w:pos="840"/>
      </w:tabs>
      <w:ind w:firstLine="420"/>
    </w:pPr>
  </w:style>
  <w:style w:type="paragraph" w:styleId="3">
    <w:name w:val="Body Text Indent"/>
    <w:basedOn w:val="1"/>
    <w:qFormat/>
    <w:uiPriority w:val="0"/>
    <w:pPr>
      <w:numPr>
        <w:ilvl w:val="1"/>
        <w:numId w:val="1"/>
      </w:numPr>
      <w:tabs>
        <w:tab w:val="clear" w:pos="840"/>
      </w:tabs>
      <w:ind w:left="0" w:firstLine="480"/>
    </w:pPr>
    <w:rPr>
      <w:sz w:val="24"/>
    </w:rPr>
  </w:style>
  <w:style w:type="paragraph" w:styleId="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Pages>
  <TotalTime>12</TotalTime>
  <ScaleCrop>false</ScaleCrop>
  <LinksUpToDate>false</LinksUpToDate>
  <Application>WPS Office_11.8.2.12019_F1E327BC-269C-435d-A152-05C5408002CA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2026-05-01T08:18:00Z</dcterms:created>
  <dc:creator>Apache POI</dc:creator>
  <cp:lastModifiedBy>sangfor</cp:lastModifiedBy>
  <dcterms:modified xsi:type="dcterms:W3CDTF">2026-07-30T12:01:37Z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FF87D18C49A44482B47DDF80FFFC179C</vt:lpwstr>
  </property>
</Properties>
</file>