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0"/>
          <w:numId w:val="0"/>
        </w:numPr>
        <w:bidi w:val="0"/>
        <w:ind w:leftChars="0"/>
        <w:jc w:val="center"/>
        <w:rPr>
          <w:rFonts w:hint="eastAsia"/>
          <w:color w:val="auto"/>
        </w:rPr>
      </w:pPr>
      <w:r>
        <w:rPr>
          <w:rFonts w:hint="eastAsia"/>
          <w:color w:val="auto"/>
          <w:lang w:val="en-US" w:eastAsia="zh-CN"/>
        </w:rPr>
        <w:t xml:space="preserve"> 2026年南网数字运营软件科技（广东）有限公司信息类软硬件（服务器、时序数据库等</w:t>
      </w:r>
      <w:bookmarkStart w:id="7" w:name="_GoBack"/>
      <w:bookmarkEnd w:id="7"/>
      <w:r>
        <w:rPr>
          <w:rFonts w:hint="eastAsia"/>
          <w:color w:val="auto"/>
          <w:lang w:val="en-US" w:eastAsia="zh-CN"/>
        </w:rPr>
        <w:t>）投标寻源项目寻源公告</w:t>
      </w:r>
    </w:p>
    <w:p>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各</w:t>
      </w:r>
      <w:r>
        <w:rPr>
          <w:rFonts w:hint="eastAsia" w:ascii="仿宋" w:hAnsi="仿宋" w:eastAsia="仿宋" w:cs="仿宋"/>
          <w:b/>
          <w:bCs/>
          <w:color w:val="auto"/>
          <w:sz w:val="24"/>
          <w:szCs w:val="24"/>
        </w:rPr>
        <w:t>供应商：</w:t>
      </w:r>
    </w:p>
    <w:p>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auto"/>
          <w:sz w:val="24"/>
          <w:szCs w:val="24"/>
        </w:rPr>
        <w:t>您好！</w:t>
      </w:r>
      <w:r>
        <w:rPr>
          <w:rFonts w:hint="eastAsia" w:ascii="仿宋" w:hAnsi="仿宋" w:eastAsia="仿宋" w:cs="仿宋"/>
          <w:color w:val="auto"/>
          <w:sz w:val="24"/>
          <w:szCs w:val="24"/>
          <w:lang w:eastAsia="zh-CN"/>
        </w:rPr>
        <w:t>南网数字运营软件科技（广东）有限公司</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以下</w:t>
      </w:r>
      <w:r>
        <w:rPr>
          <w:rFonts w:hint="eastAsia" w:ascii="仿宋" w:hAnsi="仿宋" w:eastAsia="仿宋" w:cs="仿宋"/>
          <w:color w:val="auto"/>
          <w:sz w:val="24"/>
          <w:szCs w:val="24"/>
        </w:rPr>
        <w:t>简称我公司）拟参</w:t>
      </w:r>
      <w:r>
        <w:rPr>
          <w:rFonts w:hint="eastAsia" w:ascii="仿宋" w:hAnsi="仿宋" w:eastAsia="仿宋" w:cs="仿宋"/>
          <w:color w:val="auto"/>
          <w:sz w:val="24"/>
          <w:szCs w:val="24"/>
          <w:u w:val="none"/>
        </w:rPr>
        <w:t>与</w:t>
      </w:r>
      <w:r>
        <w:rPr>
          <w:rFonts w:hint="eastAsia" w:ascii="仿宋" w:hAnsi="仿宋" w:eastAsia="仿宋" w:cs="仿宋"/>
          <w:b/>
          <w:bCs/>
          <w:color w:val="0000FF"/>
          <w:sz w:val="24"/>
          <w:szCs w:val="24"/>
          <w:highlight w:val="none"/>
          <w:u w:val="single"/>
          <w:lang w:val="en-US" w:eastAsia="zh-CN"/>
        </w:rPr>
        <w:t>某招标项目</w:t>
      </w:r>
      <w:r>
        <w:rPr>
          <w:rFonts w:hint="eastAsia" w:ascii="仿宋" w:hAnsi="仿宋" w:eastAsia="仿宋" w:cs="仿宋"/>
          <w:color w:val="auto"/>
          <w:sz w:val="24"/>
          <w:szCs w:val="24"/>
        </w:rPr>
        <w:t>投</w:t>
      </w:r>
      <w:r>
        <w:rPr>
          <w:rFonts w:hint="eastAsia" w:ascii="仿宋" w:hAnsi="仿宋" w:eastAsia="仿宋" w:cs="仿宋"/>
          <w:sz w:val="24"/>
          <w:szCs w:val="24"/>
        </w:rPr>
        <w:t>标，现公开邀请有意向的合作单位参与我公司投标寻源，相关内容如下：</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0" w:name="_Toc24330"/>
      <w:r>
        <w:rPr>
          <w:rFonts w:hint="eastAsia" w:ascii="仿宋" w:hAnsi="仿宋" w:eastAsia="仿宋" w:cs="仿宋"/>
          <w:b/>
          <w:bCs/>
          <w:sz w:val="24"/>
          <w:szCs w:val="24"/>
          <w:lang w:val="en-US" w:eastAsia="zh-CN"/>
        </w:rPr>
        <w:t>项目概况</w:t>
      </w:r>
      <w:bookmarkEnd w:id="0"/>
      <w:r>
        <w:rPr>
          <w:rFonts w:hint="eastAsia" w:ascii="仿宋" w:hAnsi="仿宋" w:eastAsia="仿宋" w:cs="仿宋"/>
          <w:b/>
          <w:bCs/>
          <w:sz w:val="24"/>
          <w:szCs w:val="24"/>
          <w:lang w:val="en-US" w:eastAsia="zh-CN"/>
        </w:rPr>
        <w:t>：</w:t>
      </w:r>
    </w:p>
    <w:p>
      <w:pPr>
        <w:tabs>
          <w:tab w:val="left" w:pos="5880"/>
        </w:tabs>
        <w:snapToGrid w:val="0"/>
        <w:spacing w:line="360" w:lineRule="auto"/>
        <w:ind w:firstLine="480" w:firstLineChars="200"/>
        <w:outlineLvl w:val="9"/>
        <w:rPr>
          <w:rFonts w:hint="eastAsia" w:ascii="仿宋" w:hAnsi="仿宋" w:eastAsia="仿宋" w:cs="仿宋"/>
          <w:color w:val="auto"/>
          <w:sz w:val="24"/>
          <w:szCs w:val="24"/>
          <w:highlight w:val="none"/>
          <w:lang w:eastAsia="zh-CN"/>
        </w:rPr>
      </w:pPr>
      <w:bookmarkStart w:id="1" w:name="_Toc2664"/>
      <w:r>
        <w:rPr>
          <w:rFonts w:hint="eastAsia" w:ascii="仿宋" w:hAnsi="仿宋" w:eastAsia="仿宋" w:cs="仿宋"/>
          <w:sz w:val="24"/>
          <w:szCs w:val="24"/>
          <w:highlight w:val="none"/>
        </w:rPr>
        <w:t>根据项目需要，</w:t>
      </w:r>
      <w:r>
        <w:rPr>
          <w:rFonts w:hint="eastAsia" w:ascii="仿宋" w:hAnsi="仿宋" w:eastAsia="仿宋" w:cs="仿宋"/>
          <w:sz w:val="24"/>
          <w:szCs w:val="24"/>
          <w:highlight w:val="none"/>
          <w:lang w:val="en-US" w:eastAsia="zh-CN"/>
        </w:rPr>
        <w:t>我公司</w:t>
      </w:r>
      <w:r>
        <w:rPr>
          <w:rFonts w:hint="eastAsia" w:ascii="仿宋" w:hAnsi="仿宋" w:eastAsia="仿宋" w:cs="仿宋"/>
          <w:sz w:val="24"/>
          <w:szCs w:val="24"/>
          <w:highlight w:val="none"/>
        </w:rPr>
        <w:t>拟对下表所列产品进行</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寻源</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共划分3个标包，每个标包独立评审:</w:t>
      </w:r>
    </w:p>
    <w:tbl>
      <w:tblPr>
        <w:tblStyle w:val="26"/>
        <w:tblW w:w="9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722"/>
        <w:gridCol w:w="1671"/>
        <w:gridCol w:w="708"/>
        <w:gridCol w:w="757"/>
        <w:gridCol w:w="1579"/>
        <w:gridCol w:w="975"/>
        <w:gridCol w:w="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tabs>
                <w:tab w:val="left" w:pos="1131"/>
              </w:tabs>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序号</w:t>
            </w:r>
          </w:p>
        </w:tc>
        <w:tc>
          <w:tcPr>
            <w:tcW w:w="1722" w:type="dxa"/>
            <w:vAlign w:val="center"/>
          </w:tcPr>
          <w:p>
            <w:pPr>
              <w:tabs>
                <w:tab w:val="left" w:pos="1131"/>
              </w:tabs>
              <w:spacing w:line="480" w:lineRule="auto"/>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产品名称</w:t>
            </w:r>
          </w:p>
        </w:tc>
        <w:tc>
          <w:tcPr>
            <w:tcW w:w="1671" w:type="dxa"/>
            <w:vAlign w:val="center"/>
          </w:tcPr>
          <w:p>
            <w:pPr>
              <w:tabs>
                <w:tab w:val="left" w:pos="202"/>
              </w:tabs>
              <w:spacing w:line="360" w:lineRule="auto"/>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主要技术参数</w:t>
            </w:r>
          </w:p>
        </w:tc>
        <w:tc>
          <w:tcPr>
            <w:tcW w:w="708" w:type="dxa"/>
            <w:vAlign w:val="center"/>
          </w:tcPr>
          <w:p>
            <w:pPr>
              <w:spacing w:line="480" w:lineRule="auto"/>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单位</w:t>
            </w:r>
          </w:p>
        </w:tc>
        <w:tc>
          <w:tcPr>
            <w:tcW w:w="757" w:type="dxa"/>
            <w:vAlign w:val="center"/>
          </w:tcPr>
          <w:p>
            <w:pPr>
              <w:tabs>
                <w:tab w:val="left" w:pos="1131"/>
              </w:tabs>
              <w:spacing w:line="480" w:lineRule="auto"/>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数量</w:t>
            </w:r>
          </w:p>
        </w:tc>
        <w:tc>
          <w:tcPr>
            <w:tcW w:w="1579" w:type="dxa"/>
            <w:vAlign w:val="center"/>
          </w:tcPr>
          <w:p>
            <w:pPr>
              <w:tabs>
                <w:tab w:val="left" w:pos="1131"/>
              </w:tabs>
              <w:spacing w:line="360" w:lineRule="auto"/>
              <w:jc w:val="center"/>
              <w:rPr>
                <w:rFonts w:hint="default"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单价限价（单位：万元）</w:t>
            </w:r>
          </w:p>
        </w:tc>
        <w:tc>
          <w:tcPr>
            <w:tcW w:w="975" w:type="dxa"/>
            <w:vAlign w:val="center"/>
          </w:tcPr>
          <w:p>
            <w:pPr>
              <w:tabs>
                <w:tab w:val="left" w:pos="1131"/>
              </w:tabs>
              <w:spacing w:line="480" w:lineRule="auto"/>
              <w:jc w:val="center"/>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val="en-US" w:eastAsia="zh-CN"/>
              </w:rPr>
              <w:t>标包</w:t>
            </w:r>
          </w:p>
        </w:tc>
        <w:tc>
          <w:tcPr>
            <w:tcW w:w="975" w:type="dxa"/>
            <w:vAlign w:val="center"/>
          </w:tcPr>
          <w:p>
            <w:pPr>
              <w:tabs>
                <w:tab w:val="left" w:pos="1131"/>
              </w:tabs>
              <w:spacing w:line="480" w:lineRule="auto"/>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w:t>
            </w:r>
          </w:p>
        </w:tc>
        <w:tc>
          <w:tcPr>
            <w:tcW w:w="1722" w:type="dxa"/>
            <w:vAlign w:val="center"/>
          </w:tcPr>
          <w:p>
            <w:pPr>
              <w:pStyle w:val="38"/>
              <w:bidi w:val="0"/>
              <w:jc w:val="center"/>
              <w:rPr>
                <w:rFonts w:hint="default" w:ascii="仿宋_GB2312" w:hAnsi="仿宋_GB2312" w:eastAsia="仿宋_GB2312" w:cs="仿宋_GB2312"/>
                <w:color w:val="auto"/>
                <w:sz w:val="24"/>
                <w:lang w:val="en-US" w:eastAsia="zh-CN"/>
              </w:rPr>
            </w:pPr>
            <w:r>
              <w:rPr>
                <w:rFonts w:hint="eastAsia" w:cs="Times New Roman"/>
                <w:color w:val="000000"/>
                <w:sz w:val="21"/>
                <w:highlight w:val="none"/>
                <w:lang w:val="en-US" w:eastAsia="zh-CN" w:bidi="ar-SA"/>
              </w:rPr>
              <w:t>云底座服务器（计算节点-类型1）</w:t>
            </w:r>
            <w:r>
              <w:rPr>
                <w:rFonts w:hint="default" w:cs="Times New Roman"/>
                <w:color w:val="000000"/>
                <w:sz w:val="21"/>
                <w:highlight w:val="none"/>
                <w:lang w:val="en-US" w:eastAsia="zh-CN" w:bidi="ar-SA"/>
              </w:rPr>
              <w:t xml:space="preserve"> </w:t>
            </w:r>
          </w:p>
        </w:tc>
        <w:tc>
          <w:tcPr>
            <w:tcW w:w="1671"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详见技术参数偏离表</w:t>
            </w:r>
          </w:p>
        </w:tc>
        <w:tc>
          <w:tcPr>
            <w:tcW w:w="708"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套</w:t>
            </w:r>
          </w:p>
        </w:tc>
        <w:tc>
          <w:tcPr>
            <w:tcW w:w="757" w:type="dxa"/>
            <w:vAlign w:val="center"/>
          </w:tcPr>
          <w:p>
            <w:pPr>
              <w:pStyle w:val="38"/>
              <w:bidi w:val="0"/>
              <w:jc w:val="center"/>
              <w:rPr>
                <w:rFonts w:hint="default" w:ascii="仿宋_GB2312" w:hAnsi="仿宋_GB2312" w:eastAsia="仿宋_GB2312" w:cs="仿宋_GB2312"/>
                <w:color w:val="auto"/>
                <w:sz w:val="24"/>
                <w:lang w:val="en-US" w:eastAsia="zh-CN"/>
              </w:rPr>
            </w:pPr>
            <w:r>
              <w:rPr>
                <w:rFonts w:hint="eastAsia" w:cs="Times New Roman"/>
                <w:color w:val="000000"/>
                <w:sz w:val="21"/>
                <w:highlight w:val="none"/>
                <w:lang w:val="en-US" w:eastAsia="zh-CN" w:bidi="ar-SA"/>
              </w:rPr>
              <w:t>2</w:t>
            </w:r>
          </w:p>
        </w:tc>
        <w:tc>
          <w:tcPr>
            <w:tcW w:w="1579" w:type="dxa"/>
            <w:shd w:val="clear" w:color="auto" w:fill="auto"/>
            <w:vAlign w:val="center"/>
          </w:tcPr>
          <w:p>
            <w:pPr>
              <w:keepNext w:val="0"/>
              <w:keepLines w:val="0"/>
              <w:widowControl/>
              <w:suppressLineNumbers w:val="0"/>
              <w:bidi w:val="0"/>
              <w:jc w:val="center"/>
              <w:rPr>
                <w:rFonts w:hint="default" w:ascii="仿宋_GB2312" w:hAnsi="仿宋_GB2312" w:eastAsia="仿宋_GB2312" w:cs="仿宋_GB2312"/>
                <w:color w:val="auto"/>
                <w:sz w:val="24"/>
                <w:lang w:val="en-US" w:eastAsia="zh-CN"/>
              </w:rPr>
            </w:pPr>
            <w:r>
              <w:rPr>
                <w:rFonts w:hint="eastAsia" w:ascii="宋体" w:hAnsi="宋体" w:eastAsia="仿宋" w:cs="Times New Roman"/>
                <w:color w:val="000000"/>
                <w:kern w:val="0"/>
                <w:sz w:val="21"/>
                <w:szCs w:val="20"/>
                <w:highlight w:val="none"/>
                <w:lang w:val="en-US" w:eastAsia="zh-CN" w:bidi="ar-SA"/>
              </w:rPr>
              <w:t>本项目设置单价限价</w:t>
            </w:r>
          </w:p>
        </w:tc>
        <w:tc>
          <w:tcPr>
            <w:tcW w:w="975" w:type="dxa"/>
            <w:vMerge w:val="restart"/>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标包1</w:t>
            </w:r>
          </w:p>
        </w:tc>
        <w:tc>
          <w:tcPr>
            <w:tcW w:w="975" w:type="dxa"/>
            <w:vAlign w:val="center"/>
          </w:tcPr>
          <w:p>
            <w:pPr>
              <w:spacing w:line="360" w:lineRule="auto"/>
              <w:jc w:val="center"/>
              <w:rPr>
                <w:rFonts w:hint="eastAsia" w:ascii="仿宋_GB2312" w:hAnsi="仿宋_GB2312" w:eastAsia="仿宋_GB2312" w:cs="仿宋_GB2312"/>
                <w:color w:val="auto"/>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2</w:t>
            </w:r>
          </w:p>
        </w:tc>
        <w:tc>
          <w:tcPr>
            <w:tcW w:w="1722" w:type="dxa"/>
            <w:vAlign w:val="center"/>
          </w:tcPr>
          <w:p>
            <w:pPr>
              <w:pStyle w:val="38"/>
              <w:bidi w:val="0"/>
              <w:jc w:val="center"/>
              <w:rPr>
                <w:rFonts w:hint="eastAsia" w:ascii="仿宋_GB2312" w:hAnsi="仿宋_GB2312" w:eastAsia="仿宋_GB2312" w:cs="仿宋_GB2312"/>
                <w:color w:val="auto"/>
                <w:sz w:val="24"/>
                <w:lang w:val="en-US" w:eastAsia="zh-CN"/>
              </w:rPr>
            </w:pPr>
            <w:r>
              <w:rPr>
                <w:rFonts w:hint="eastAsia" w:cs="Times New Roman"/>
                <w:color w:val="000000"/>
                <w:sz w:val="21"/>
                <w:highlight w:val="none"/>
                <w:lang w:val="en-US" w:eastAsia="zh-CN" w:bidi="ar-SA"/>
              </w:rPr>
              <w:t>云底座服务器（计算节点-类型2）</w:t>
            </w:r>
          </w:p>
        </w:tc>
        <w:tc>
          <w:tcPr>
            <w:tcW w:w="1671"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详见技术参数偏离表</w:t>
            </w:r>
          </w:p>
        </w:tc>
        <w:tc>
          <w:tcPr>
            <w:tcW w:w="708"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套</w:t>
            </w:r>
          </w:p>
        </w:tc>
        <w:tc>
          <w:tcPr>
            <w:tcW w:w="757" w:type="dxa"/>
            <w:vAlign w:val="center"/>
          </w:tcPr>
          <w:p>
            <w:pPr>
              <w:pStyle w:val="38"/>
              <w:bidi w:val="0"/>
              <w:jc w:val="center"/>
              <w:rPr>
                <w:rFonts w:hint="eastAsia" w:ascii="仿宋_GB2312" w:hAnsi="仿宋_GB2312" w:eastAsia="仿宋_GB2312" w:cs="仿宋_GB2312"/>
                <w:color w:val="auto"/>
                <w:sz w:val="24"/>
                <w:lang w:val="en-US" w:eastAsia="zh-CN"/>
              </w:rPr>
            </w:pPr>
            <w:r>
              <w:rPr>
                <w:rFonts w:hint="eastAsia" w:cs="Times New Roman"/>
                <w:color w:val="000000"/>
                <w:sz w:val="21"/>
                <w:highlight w:val="none"/>
                <w:lang w:val="en-US" w:eastAsia="zh-CN" w:bidi="ar-SA"/>
              </w:rPr>
              <w:t>3</w:t>
            </w:r>
          </w:p>
        </w:tc>
        <w:tc>
          <w:tcPr>
            <w:tcW w:w="1579" w:type="dxa"/>
            <w:shd w:val="clear" w:color="auto" w:fill="auto"/>
            <w:vAlign w:val="center"/>
          </w:tcPr>
          <w:p>
            <w:pPr>
              <w:keepNext w:val="0"/>
              <w:keepLines w:val="0"/>
              <w:widowControl/>
              <w:suppressLineNumbers w:val="0"/>
              <w:bidi w:val="0"/>
              <w:jc w:val="center"/>
              <w:rPr>
                <w:rFonts w:hint="eastAsia" w:ascii="仿宋_GB2312" w:hAnsi="仿宋_GB2312" w:eastAsia="仿宋_GB2312" w:cs="仿宋_GB2312"/>
                <w:color w:val="auto"/>
                <w:sz w:val="24"/>
                <w:lang w:val="en-US" w:eastAsia="zh-CN"/>
              </w:rPr>
            </w:pPr>
            <w:r>
              <w:rPr>
                <w:rFonts w:hint="eastAsia" w:ascii="宋体" w:hAnsi="宋体" w:eastAsia="仿宋" w:cs="Times New Roman"/>
                <w:color w:val="000000"/>
                <w:kern w:val="0"/>
                <w:sz w:val="21"/>
                <w:szCs w:val="20"/>
                <w:highlight w:val="none"/>
                <w:lang w:val="en-US" w:eastAsia="zh-CN" w:bidi="ar-SA"/>
              </w:rPr>
              <w:t>本项目设置单价限价</w:t>
            </w:r>
          </w:p>
        </w:tc>
        <w:tc>
          <w:tcPr>
            <w:tcW w:w="975" w:type="dxa"/>
            <w:vMerge w:val="continue"/>
            <w:vAlign w:val="center"/>
          </w:tcPr>
          <w:p>
            <w:pPr>
              <w:spacing w:line="360" w:lineRule="auto"/>
              <w:jc w:val="center"/>
              <w:rPr>
                <w:rFonts w:hint="eastAsia" w:ascii="仿宋_GB2312" w:hAnsi="仿宋_GB2312" w:eastAsia="仿宋_GB2312" w:cs="仿宋_GB2312"/>
                <w:color w:val="auto"/>
                <w:sz w:val="24"/>
                <w:lang w:val="en-US" w:eastAsia="zh-CN"/>
              </w:rPr>
            </w:pPr>
          </w:p>
        </w:tc>
        <w:tc>
          <w:tcPr>
            <w:tcW w:w="975" w:type="dxa"/>
            <w:vAlign w:val="center"/>
          </w:tcPr>
          <w:p>
            <w:pPr>
              <w:spacing w:line="360" w:lineRule="auto"/>
              <w:jc w:val="center"/>
              <w:rPr>
                <w:rFonts w:hint="eastAsia" w:ascii="仿宋_GB2312" w:hAnsi="仿宋_GB2312" w:eastAsia="仿宋_GB2312" w:cs="仿宋_GB2312"/>
                <w:color w:val="auto"/>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3</w:t>
            </w:r>
          </w:p>
        </w:tc>
        <w:tc>
          <w:tcPr>
            <w:tcW w:w="1722" w:type="dxa"/>
            <w:vAlign w:val="center"/>
          </w:tcPr>
          <w:p>
            <w:pPr>
              <w:pStyle w:val="38"/>
              <w:bidi w:val="0"/>
              <w:jc w:val="center"/>
              <w:rPr>
                <w:rFonts w:hint="eastAsia" w:ascii="仿宋_GB2312" w:hAnsi="仿宋_GB2312" w:eastAsia="仿宋_GB2312" w:cs="仿宋_GB2312"/>
                <w:color w:val="auto"/>
                <w:sz w:val="24"/>
                <w:lang w:val="en-US" w:eastAsia="zh-CN"/>
              </w:rPr>
            </w:pPr>
            <w:r>
              <w:rPr>
                <w:rFonts w:hint="eastAsia" w:cs="Times New Roman"/>
                <w:color w:val="000000"/>
                <w:sz w:val="21"/>
                <w:highlight w:val="none"/>
                <w:lang w:val="en-US" w:eastAsia="zh-CN" w:bidi="ar-SA"/>
              </w:rPr>
              <w:t>全闪存块存储服务器</w:t>
            </w:r>
            <w:r>
              <w:rPr>
                <w:rFonts w:hint="default" w:cs="Times New Roman"/>
                <w:color w:val="000000"/>
                <w:sz w:val="21"/>
                <w:highlight w:val="none"/>
                <w:lang w:val="en-US" w:eastAsia="zh-CN" w:bidi="ar-SA"/>
              </w:rPr>
              <w:t xml:space="preserve"> </w:t>
            </w:r>
          </w:p>
        </w:tc>
        <w:tc>
          <w:tcPr>
            <w:tcW w:w="1671"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详见技术参数偏离表</w:t>
            </w:r>
          </w:p>
        </w:tc>
        <w:tc>
          <w:tcPr>
            <w:tcW w:w="708"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套</w:t>
            </w:r>
          </w:p>
        </w:tc>
        <w:tc>
          <w:tcPr>
            <w:tcW w:w="757" w:type="dxa"/>
            <w:vAlign w:val="center"/>
          </w:tcPr>
          <w:p>
            <w:pPr>
              <w:pStyle w:val="38"/>
              <w:bidi w:val="0"/>
              <w:jc w:val="center"/>
              <w:rPr>
                <w:rFonts w:hint="eastAsia" w:ascii="仿宋_GB2312" w:hAnsi="仿宋_GB2312" w:eastAsia="仿宋_GB2312" w:cs="仿宋_GB2312"/>
                <w:color w:val="auto"/>
                <w:sz w:val="24"/>
                <w:lang w:val="en-US" w:eastAsia="zh-CN"/>
              </w:rPr>
            </w:pPr>
            <w:r>
              <w:rPr>
                <w:rFonts w:hint="eastAsia" w:cs="Times New Roman"/>
                <w:color w:val="000000"/>
                <w:sz w:val="21"/>
                <w:highlight w:val="none"/>
                <w:lang w:val="en-US" w:eastAsia="zh-CN" w:bidi="ar-SA"/>
              </w:rPr>
              <w:t>1</w:t>
            </w:r>
          </w:p>
        </w:tc>
        <w:tc>
          <w:tcPr>
            <w:tcW w:w="1579" w:type="dxa"/>
            <w:shd w:val="clear" w:color="auto" w:fill="auto"/>
            <w:vAlign w:val="center"/>
          </w:tcPr>
          <w:p>
            <w:pPr>
              <w:keepNext w:val="0"/>
              <w:keepLines w:val="0"/>
              <w:widowControl/>
              <w:suppressLineNumbers w:val="0"/>
              <w:bidi w:val="0"/>
              <w:jc w:val="center"/>
              <w:rPr>
                <w:rFonts w:hint="eastAsia" w:ascii="仿宋_GB2312" w:hAnsi="仿宋_GB2312" w:eastAsia="仿宋_GB2312" w:cs="仿宋_GB2312"/>
                <w:color w:val="auto"/>
                <w:sz w:val="24"/>
                <w:lang w:val="en-US" w:eastAsia="zh-CN"/>
              </w:rPr>
            </w:pPr>
            <w:r>
              <w:rPr>
                <w:rFonts w:hint="eastAsia" w:ascii="宋体" w:hAnsi="宋体" w:eastAsia="仿宋" w:cs="Times New Roman"/>
                <w:color w:val="000000"/>
                <w:kern w:val="0"/>
                <w:sz w:val="21"/>
                <w:szCs w:val="20"/>
                <w:highlight w:val="none"/>
                <w:lang w:val="en-US" w:eastAsia="zh-CN" w:bidi="ar-SA"/>
              </w:rPr>
              <w:t>本项目设置单价限价</w:t>
            </w:r>
          </w:p>
        </w:tc>
        <w:tc>
          <w:tcPr>
            <w:tcW w:w="975" w:type="dxa"/>
            <w:vMerge w:val="continue"/>
            <w:vAlign w:val="center"/>
          </w:tcPr>
          <w:p>
            <w:pPr>
              <w:spacing w:line="360" w:lineRule="auto"/>
              <w:jc w:val="center"/>
              <w:rPr>
                <w:rFonts w:hint="eastAsia" w:ascii="仿宋_GB2312" w:hAnsi="仿宋_GB2312" w:eastAsia="仿宋_GB2312" w:cs="仿宋_GB2312"/>
                <w:color w:val="auto"/>
                <w:sz w:val="24"/>
                <w:lang w:val="en-US" w:eastAsia="zh-CN"/>
              </w:rPr>
            </w:pPr>
          </w:p>
        </w:tc>
        <w:tc>
          <w:tcPr>
            <w:tcW w:w="975" w:type="dxa"/>
            <w:vAlign w:val="center"/>
          </w:tcPr>
          <w:p>
            <w:pPr>
              <w:spacing w:line="360" w:lineRule="auto"/>
              <w:jc w:val="center"/>
              <w:rPr>
                <w:rFonts w:hint="eastAsia" w:ascii="仿宋_GB2312" w:hAnsi="仿宋_GB2312" w:eastAsia="仿宋_GB2312" w:cs="仿宋_GB2312"/>
                <w:color w:val="auto"/>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4</w:t>
            </w:r>
          </w:p>
        </w:tc>
        <w:tc>
          <w:tcPr>
            <w:tcW w:w="1722" w:type="dxa"/>
            <w:vAlign w:val="center"/>
          </w:tcPr>
          <w:p>
            <w:pPr>
              <w:pStyle w:val="38"/>
              <w:bidi w:val="0"/>
              <w:jc w:val="center"/>
              <w:rPr>
                <w:rFonts w:hint="eastAsia" w:ascii="仿宋_GB2312" w:hAnsi="仿宋_GB2312" w:eastAsia="仿宋_GB2312" w:cs="仿宋_GB2312"/>
                <w:color w:val="auto"/>
                <w:sz w:val="24"/>
                <w:lang w:val="en-US" w:eastAsia="zh-CN"/>
              </w:rPr>
            </w:pPr>
            <w:r>
              <w:rPr>
                <w:rFonts w:hint="eastAsia" w:cs="Times New Roman"/>
                <w:color w:val="000000"/>
                <w:sz w:val="21"/>
                <w:highlight w:val="none"/>
                <w:lang w:val="en-US" w:eastAsia="zh-CN" w:bidi="ar-SA"/>
              </w:rPr>
              <w:t>时序数据库</w:t>
            </w:r>
          </w:p>
        </w:tc>
        <w:tc>
          <w:tcPr>
            <w:tcW w:w="1671"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详见技术参数偏离表</w:t>
            </w:r>
          </w:p>
        </w:tc>
        <w:tc>
          <w:tcPr>
            <w:tcW w:w="708"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套</w:t>
            </w:r>
          </w:p>
        </w:tc>
        <w:tc>
          <w:tcPr>
            <w:tcW w:w="757" w:type="dxa"/>
            <w:vAlign w:val="center"/>
          </w:tcPr>
          <w:p>
            <w:pPr>
              <w:pStyle w:val="38"/>
              <w:bidi w:val="0"/>
              <w:jc w:val="center"/>
              <w:rPr>
                <w:rFonts w:hint="eastAsia" w:ascii="仿宋_GB2312" w:hAnsi="仿宋_GB2312" w:eastAsia="仿宋_GB2312" w:cs="仿宋_GB2312"/>
                <w:color w:val="auto"/>
                <w:sz w:val="24"/>
                <w:lang w:val="en-US" w:eastAsia="zh-CN"/>
              </w:rPr>
            </w:pPr>
            <w:r>
              <w:rPr>
                <w:rFonts w:hint="eastAsia" w:ascii="宋体" w:hAnsi="宋体" w:cs="Times New Roman"/>
                <w:color w:val="000000"/>
                <w:sz w:val="21"/>
                <w:highlight w:val="none"/>
                <w:lang w:val="en-US" w:eastAsia="zh-CN" w:bidi="ar-SA"/>
              </w:rPr>
              <w:t>5</w:t>
            </w:r>
          </w:p>
        </w:tc>
        <w:tc>
          <w:tcPr>
            <w:tcW w:w="1579" w:type="dxa"/>
            <w:shd w:val="clear" w:color="auto" w:fill="auto"/>
            <w:vAlign w:val="center"/>
          </w:tcPr>
          <w:p>
            <w:pPr>
              <w:keepNext w:val="0"/>
              <w:keepLines w:val="0"/>
              <w:widowControl/>
              <w:suppressLineNumbers w:val="0"/>
              <w:bidi w:val="0"/>
              <w:jc w:val="center"/>
              <w:rPr>
                <w:rFonts w:hint="eastAsia" w:ascii="仿宋_GB2312" w:hAnsi="仿宋_GB2312" w:eastAsia="仿宋_GB2312" w:cs="仿宋_GB2312"/>
                <w:color w:val="auto"/>
                <w:kern w:val="2"/>
                <w:sz w:val="24"/>
                <w:szCs w:val="24"/>
                <w:lang w:val="en-US" w:eastAsia="zh-CN" w:bidi="ar-SA"/>
              </w:rPr>
            </w:pPr>
            <w:r>
              <w:rPr>
                <w:rFonts w:hint="eastAsia" w:ascii="宋体" w:hAnsi="宋体" w:eastAsia="仿宋" w:cs="Times New Roman"/>
                <w:color w:val="000000"/>
                <w:kern w:val="0"/>
                <w:sz w:val="21"/>
                <w:szCs w:val="20"/>
                <w:highlight w:val="none"/>
                <w:lang w:val="en-US" w:eastAsia="zh-CN" w:bidi="ar-SA"/>
              </w:rPr>
              <w:t>本项目设置单价限价</w:t>
            </w:r>
          </w:p>
        </w:tc>
        <w:tc>
          <w:tcPr>
            <w:tcW w:w="975"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标包2</w:t>
            </w:r>
          </w:p>
        </w:tc>
        <w:tc>
          <w:tcPr>
            <w:tcW w:w="975" w:type="dxa"/>
            <w:vAlign w:val="center"/>
          </w:tcPr>
          <w:p>
            <w:pPr>
              <w:spacing w:line="360" w:lineRule="auto"/>
              <w:jc w:val="center"/>
              <w:rPr>
                <w:rFonts w:hint="eastAsia" w:ascii="仿宋_GB2312" w:hAnsi="仿宋_GB2312" w:eastAsia="仿宋_GB2312" w:cs="仿宋_GB2312"/>
                <w:color w:val="auto"/>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5</w:t>
            </w:r>
          </w:p>
        </w:tc>
        <w:tc>
          <w:tcPr>
            <w:tcW w:w="1722" w:type="dxa"/>
            <w:vAlign w:val="center"/>
          </w:tcPr>
          <w:p>
            <w:pPr>
              <w:pStyle w:val="38"/>
              <w:bidi w:val="0"/>
              <w:jc w:val="center"/>
              <w:rPr>
                <w:rFonts w:hint="default" w:cs="Times New Roman"/>
                <w:color w:val="000000"/>
                <w:sz w:val="21"/>
                <w:highlight w:val="none"/>
                <w:lang w:val="en-US" w:eastAsia="zh-CN" w:bidi="ar-SA"/>
              </w:rPr>
            </w:pPr>
            <w:r>
              <w:rPr>
                <w:rFonts w:hint="eastAsia" w:cs="Times New Roman"/>
                <w:color w:val="000000"/>
                <w:sz w:val="21"/>
                <w:highlight w:val="none"/>
                <w:lang w:val="en-US" w:eastAsia="zh-CN" w:bidi="ar-SA"/>
              </w:rPr>
              <w:t>硬盘</w:t>
            </w:r>
          </w:p>
        </w:tc>
        <w:tc>
          <w:tcPr>
            <w:tcW w:w="1671" w:type="dxa"/>
            <w:vAlign w:val="center"/>
          </w:tcPr>
          <w:p>
            <w:pPr>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详见技术参数偏离表</w:t>
            </w:r>
          </w:p>
        </w:tc>
        <w:tc>
          <w:tcPr>
            <w:tcW w:w="708"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块</w:t>
            </w:r>
          </w:p>
        </w:tc>
        <w:tc>
          <w:tcPr>
            <w:tcW w:w="757" w:type="dxa"/>
            <w:vAlign w:val="center"/>
          </w:tcPr>
          <w:p>
            <w:pPr>
              <w:pStyle w:val="38"/>
              <w:bidi w:val="0"/>
              <w:jc w:val="center"/>
              <w:rPr>
                <w:rFonts w:hint="default" w:ascii="宋体" w:hAnsi="宋体" w:cs="Times New Roman"/>
                <w:color w:val="000000"/>
                <w:sz w:val="21"/>
                <w:highlight w:val="none"/>
                <w:lang w:val="en-US" w:eastAsia="zh-CN" w:bidi="ar-SA"/>
              </w:rPr>
            </w:pPr>
            <w:r>
              <w:rPr>
                <w:rFonts w:hint="eastAsia" w:cs="Times New Roman"/>
                <w:color w:val="000000"/>
                <w:sz w:val="21"/>
                <w:highlight w:val="none"/>
                <w:lang w:val="en-US" w:eastAsia="zh-CN" w:bidi="ar-SA"/>
              </w:rPr>
              <w:t>4</w:t>
            </w:r>
          </w:p>
        </w:tc>
        <w:tc>
          <w:tcPr>
            <w:tcW w:w="1579" w:type="dxa"/>
            <w:shd w:val="clear" w:color="auto" w:fill="auto"/>
            <w:vAlign w:val="center"/>
          </w:tcPr>
          <w:p>
            <w:pPr>
              <w:keepNext w:val="0"/>
              <w:keepLines w:val="0"/>
              <w:widowControl/>
              <w:suppressLineNumbers w:val="0"/>
              <w:bidi w:val="0"/>
              <w:jc w:val="center"/>
              <w:rPr>
                <w:rFonts w:hint="eastAsia" w:cs="Times New Roman"/>
                <w:color w:val="000000"/>
                <w:sz w:val="21"/>
                <w:highlight w:val="none"/>
                <w:lang w:val="en-US" w:eastAsia="zh-CN" w:bidi="ar-SA"/>
              </w:rPr>
            </w:pPr>
            <w:r>
              <w:rPr>
                <w:rFonts w:hint="eastAsia" w:ascii="宋体" w:hAnsi="宋体" w:eastAsia="仿宋" w:cs="Times New Roman"/>
                <w:color w:val="000000"/>
                <w:kern w:val="0"/>
                <w:sz w:val="21"/>
                <w:szCs w:val="20"/>
                <w:highlight w:val="none"/>
                <w:lang w:val="en-US" w:eastAsia="zh-CN" w:bidi="ar-SA"/>
              </w:rPr>
              <w:t>本项目设置单价限价</w:t>
            </w:r>
          </w:p>
        </w:tc>
        <w:tc>
          <w:tcPr>
            <w:tcW w:w="975" w:type="dxa"/>
            <w:vAlign w:val="center"/>
          </w:tcPr>
          <w:p>
            <w:pPr>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标包3</w:t>
            </w:r>
          </w:p>
        </w:tc>
        <w:tc>
          <w:tcPr>
            <w:tcW w:w="975" w:type="dxa"/>
            <w:vAlign w:val="center"/>
          </w:tcPr>
          <w:p>
            <w:pPr>
              <w:spacing w:line="360" w:lineRule="auto"/>
              <w:jc w:val="center"/>
              <w:rPr>
                <w:rFonts w:hint="eastAsia" w:ascii="仿宋_GB2312" w:hAnsi="仿宋_GB2312" w:eastAsia="仿宋_GB2312" w:cs="仿宋_GB2312"/>
                <w:color w:val="auto"/>
                <w:sz w:val="24"/>
                <w:lang w:val="en-US" w:eastAsia="zh-CN"/>
              </w:rPr>
            </w:pPr>
          </w:p>
        </w:tc>
      </w:tr>
    </w:tbl>
    <w:p>
      <w:pPr>
        <w:keepNext w:val="0"/>
        <w:keepLines w:val="0"/>
        <w:widowControl/>
        <w:suppressLineNumbers w:val="0"/>
        <w:ind w:firstLine="480" w:firstLineChars="200"/>
        <w:jc w:val="left"/>
        <w:rPr>
          <w:rFonts w:hint="eastAsia" w:ascii="仿宋" w:hAnsi="仿宋" w:eastAsia="仿宋" w:cs="仿宋"/>
          <w:sz w:val="24"/>
          <w:szCs w:val="24"/>
          <w:highlight w:val="none"/>
        </w:rPr>
      </w:pPr>
    </w:p>
    <w:p>
      <w:pPr>
        <w:keepNext w:val="0"/>
        <w:keepLines w:val="0"/>
        <w:widowControl/>
        <w:suppressLineNumbers w:val="0"/>
        <w:ind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sz w:val="24"/>
          <w:szCs w:val="24"/>
          <w:highlight w:val="none"/>
        </w:rPr>
        <w:t>本次</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rPr>
        <w:t>寻源为</w:t>
      </w:r>
      <w:r>
        <w:rPr>
          <w:rFonts w:hint="eastAsia" w:ascii="仿宋" w:hAnsi="仿宋" w:eastAsia="仿宋" w:cs="仿宋"/>
          <w:b/>
          <w:bCs/>
          <w:color w:val="0000EE"/>
          <w:sz w:val="24"/>
          <w:szCs w:val="24"/>
          <w:highlight w:val="none"/>
        </w:rPr>
        <w:t>意向寻源</w:t>
      </w:r>
      <w:r>
        <w:rPr>
          <w:rFonts w:hint="eastAsia" w:ascii="仿宋" w:hAnsi="仿宋" w:eastAsia="仿宋" w:cs="仿宋"/>
          <w:sz w:val="24"/>
          <w:szCs w:val="24"/>
          <w:highlight w:val="none"/>
        </w:rPr>
        <w:t>，本次投标寻源因涉及商业敏感信息，如有意向，可通过邮件</w:t>
      </w:r>
      <w:r>
        <w:rPr>
          <w:rFonts w:hint="eastAsia" w:ascii="仿宋" w:hAnsi="仿宋" w:eastAsia="仿宋" w:cs="仿宋"/>
          <w:color w:val="0000FF"/>
          <w:sz w:val="24"/>
          <w:szCs w:val="24"/>
          <w:highlight w:val="none"/>
        </w:rPr>
        <w:t xml:space="preserve">cgzx@dptc.csg.cn </w:t>
      </w:r>
      <w:r>
        <w:rPr>
          <w:rFonts w:hint="eastAsia" w:ascii="仿宋" w:hAnsi="仿宋" w:eastAsia="仿宋" w:cs="仿宋"/>
          <w:sz w:val="24"/>
          <w:szCs w:val="24"/>
          <w:highlight w:val="none"/>
        </w:rPr>
        <w:t>联系获取拟投标项目名称及限价后响应本次投标寻源。我公司不承诺必然发生实质性采购需求</w:t>
      </w:r>
      <w:bookmarkEnd w:id="1"/>
      <w:r>
        <w:rPr>
          <w:rFonts w:hint="eastAsia" w:ascii="仿宋" w:hAnsi="仿宋" w:eastAsia="仿宋" w:cs="仿宋"/>
          <w:sz w:val="24"/>
          <w:szCs w:val="24"/>
          <w:highlight w:val="none"/>
          <w:lang w:eastAsia="zh-CN"/>
        </w:rPr>
        <w:t>，</w:t>
      </w:r>
      <w:r>
        <w:rPr>
          <w:rFonts w:ascii="仿宋" w:hAnsi="仿宋" w:eastAsia="仿宋" w:cs="仿宋"/>
          <w:color w:val="000000"/>
          <w:kern w:val="0"/>
          <w:sz w:val="24"/>
          <w:szCs w:val="24"/>
          <w:lang w:val="en-US" w:eastAsia="zh-CN" w:bidi="ar"/>
        </w:rPr>
        <w:t>最终是</w:t>
      </w:r>
      <w:r>
        <w:rPr>
          <w:rFonts w:hint="eastAsia" w:ascii="仿宋" w:hAnsi="仿宋" w:eastAsia="仿宋" w:cs="仿宋"/>
          <w:color w:val="000000"/>
          <w:kern w:val="0"/>
          <w:sz w:val="24"/>
          <w:szCs w:val="24"/>
          <w:lang w:val="en-US" w:eastAsia="zh-CN" w:bidi="ar"/>
        </w:rPr>
        <w:t>否中标存在不确定性，如未能中标则双方不再履行相应合同义务且互不追究违约责任。</w:t>
      </w:r>
    </w:p>
    <w:p>
      <w:pPr>
        <w:keepNext w:val="0"/>
        <w:keepLines w:val="0"/>
        <w:widowControl/>
        <w:suppressLineNumbers w:val="0"/>
        <w:ind w:firstLine="482" w:firstLineChars="200"/>
        <w:jc w:val="left"/>
        <w:rPr>
          <w:rFonts w:hint="eastAsia" w:ascii="仿宋" w:hAnsi="仿宋" w:eastAsia="仿宋" w:cs="仿宋"/>
          <w:sz w:val="24"/>
          <w:szCs w:val="24"/>
        </w:rPr>
      </w:pPr>
      <w:r>
        <w:rPr>
          <w:rFonts w:hint="eastAsia" w:ascii="仿宋" w:hAnsi="仿宋" w:eastAsia="仿宋" w:cs="仿宋"/>
          <w:b/>
          <w:bCs/>
          <w:sz w:val="24"/>
          <w:szCs w:val="24"/>
        </w:rPr>
        <w:t>交货期：</w:t>
      </w:r>
      <w:r>
        <w:rPr>
          <w:rFonts w:hint="eastAsia" w:ascii="仿宋" w:hAnsi="仿宋" w:eastAsia="仿宋" w:cs="仿宋"/>
          <w:b/>
          <w:bCs/>
          <w:color w:val="0000FF"/>
          <w:sz w:val="24"/>
          <w:szCs w:val="24"/>
        </w:rPr>
        <w:t>合同签订后5日内完成交货，到货10日内完成实施部署。</w:t>
      </w:r>
      <w:r>
        <w:rPr>
          <w:rFonts w:hint="eastAsia" w:ascii="仿宋" w:hAnsi="仿宋" w:eastAsia="仿宋" w:cs="仿宋"/>
          <w:sz w:val="24"/>
          <w:szCs w:val="24"/>
        </w:rPr>
        <w:t>具体以双方签订的合同要求为准。</w:t>
      </w:r>
    </w:p>
    <w:p>
      <w:pPr>
        <w:tabs>
          <w:tab w:val="left" w:pos="5880"/>
        </w:tabs>
        <w:snapToGrid w:val="0"/>
        <w:spacing w:line="360" w:lineRule="auto"/>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质保期</w:t>
      </w:r>
      <w:r>
        <w:rPr>
          <w:rFonts w:hint="eastAsia" w:ascii="仿宋" w:hAnsi="仿宋" w:eastAsia="仿宋" w:cs="仿宋"/>
          <w:sz w:val="24"/>
          <w:szCs w:val="24"/>
          <w:highlight w:val="none"/>
        </w:rPr>
        <w:t>：</w:t>
      </w:r>
      <w:r>
        <w:rPr>
          <w:rFonts w:hint="eastAsia" w:ascii="仿宋" w:hAnsi="仿宋" w:eastAsia="仿宋" w:cs="仿宋"/>
          <w:b/>
          <w:bCs/>
          <w:color w:val="0000FF"/>
          <w:sz w:val="24"/>
          <w:szCs w:val="24"/>
        </w:rPr>
        <w:t>自项目终验之日起计算</w:t>
      </w:r>
      <w:r>
        <w:rPr>
          <w:rFonts w:hint="eastAsia" w:ascii="仿宋" w:hAnsi="仿宋" w:eastAsia="仿宋" w:cs="仿宋"/>
          <w:b/>
          <w:bCs/>
          <w:color w:val="0000FF"/>
          <w:sz w:val="24"/>
          <w:szCs w:val="24"/>
          <w:lang w:eastAsia="zh-CN"/>
        </w:rPr>
        <w:t>，</w:t>
      </w:r>
      <w:r>
        <w:rPr>
          <w:rFonts w:hint="eastAsia" w:ascii="仿宋" w:hAnsi="仿宋" w:eastAsia="仿宋" w:cs="仿宋"/>
          <w:sz w:val="24"/>
          <w:szCs w:val="24"/>
          <w:highlight w:val="none"/>
        </w:rPr>
        <w:t>货物质保期</w:t>
      </w:r>
      <w:r>
        <w:rPr>
          <w:rFonts w:hint="eastAsia" w:ascii="仿宋" w:hAnsi="仿宋" w:eastAsia="仿宋" w:cs="仿宋"/>
          <w:b/>
          <w:bCs/>
          <w:color w:val="0000EE"/>
          <w:sz w:val="24"/>
          <w:szCs w:val="24"/>
          <w:highlight w:val="none"/>
          <w:u w:val="single"/>
          <w:lang w:val="en-US" w:eastAsia="zh-CN"/>
        </w:rPr>
        <w:t xml:space="preserve"> 3 </w:t>
      </w:r>
      <w:r>
        <w:rPr>
          <w:rFonts w:hint="eastAsia" w:ascii="仿宋" w:hAnsi="仿宋" w:eastAsia="仿宋" w:cs="仿宋"/>
          <w:b w:val="0"/>
          <w:bCs w:val="0"/>
          <w:sz w:val="24"/>
          <w:szCs w:val="24"/>
          <w:highlight w:val="none"/>
        </w:rPr>
        <w:t>年</w:t>
      </w:r>
      <w:r>
        <w:rPr>
          <w:rFonts w:hint="eastAsia" w:ascii="仿宋" w:hAnsi="仿宋" w:eastAsia="仿宋" w:cs="仿宋"/>
          <w:b/>
          <w:bCs/>
          <w:sz w:val="24"/>
          <w:szCs w:val="24"/>
          <w:highlight w:val="none"/>
        </w:rPr>
        <w:t>，</w:t>
      </w:r>
      <w:r>
        <w:rPr>
          <w:rFonts w:hint="eastAsia" w:ascii="仿宋" w:hAnsi="仿宋" w:eastAsia="仿宋" w:cs="仿宋"/>
          <w:b/>
          <w:bCs/>
          <w:color w:val="0000FF"/>
          <w:sz w:val="24"/>
          <w:szCs w:val="24"/>
        </w:rPr>
        <w:t>乙方需提供3年的原厂产品维保及技术支持。</w:t>
      </w:r>
      <w:r>
        <w:rPr>
          <w:rFonts w:hint="eastAsia" w:ascii="仿宋" w:hAnsi="仿宋" w:eastAsia="仿宋" w:cs="仿宋"/>
          <w:sz w:val="24"/>
          <w:szCs w:val="24"/>
          <w:highlight w:val="none"/>
        </w:rPr>
        <w:t>具体以双方签订的合同要求为准。</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2" w:name="_Toc7071"/>
      <w:r>
        <w:rPr>
          <w:rFonts w:hint="eastAsia" w:ascii="仿宋" w:hAnsi="仿宋" w:eastAsia="仿宋" w:cs="仿宋"/>
          <w:b/>
          <w:bCs/>
          <w:sz w:val="24"/>
          <w:szCs w:val="24"/>
          <w:lang w:val="en-US" w:eastAsia="zh-CN"/>
        </w:rPr>
        <w:t>询价响应文件要求</w:t>
      </w:r>
      <w:bookmarkEnd w:id="2"/>
      <w:r>
        <w:rPr>
          <w:rFonts w:hint="eastAsia" w:ascii="仿宋" w:hAnsi="仿宋" w:eastAsia="仿宋" w:cs="仿宋"/>
          <w:b/>
          <w:bCs/>
          <w:sz w:val="24"/>
          <w:szCs w:val="24"/>
          <w:lang w:val="en-US" w:eastAsia="zh-CN"/>
        </w:rPr>
        <w:t>：</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询价响应文件需包含</w:t>
      </w:r>
      <w:r>
        <w:rPr>
          <w:rFonts w:hint="eastAsia" w:ascii="仿宋" w:hAnsi="仿宋" w:eastAsia="仿宋" w:cs="仿宋"/>
          <w:b/>
          <w:bCs/>
          <w:color w:val="0000FF"/>
          <w:sz w:val="24"/>
          <w:szCs w:val="24"/>
          <w:highlight w:val="none"/>
          <w:u w:val="single"/>
          <w:lang w:val="en-US" w:eastAsia="zh-CN"/>
        </w:rPr>
        <w:t>企业</w:t>
      </w:r>
      <w:r>
        <w:rPr>
          <w:rFonts w:hint="eastAsia" w:ascii="仿宋" w:hAnsi="仿宋" w:eastAsia="仿宋" w:cs="仿宋"/>
          <w:b/>
          <w:bCs/>
          <w:color w:val="0000FF"/>
          <w:sz w:val="24"/>
          <w:szCs w:val="24"/>
          <w:highlight w:val="none"/>
          <w:u w:val="single"/>
        </w:rPr>
        <w:t>简介</w:t>
      </w:r>
      <w:r>
        <w:rPr>
          <w:rFonts w:hint="eastAsia" w:ascii="仿宋" w:hAnsi="仿宋" w:eastAsia="仿宋" w:cs="仿宋"/>
          <w:b/>
          <w:bCs/>
          <w:color w:val="0000FF"/>
          <w:sz w:val="24"/>
          <w:szCs w:val="24"/>
          <w:highlight w:val="none"/>
          <w:u w:val="single"/>
          <w:lang w:val="en-US" w:eastAsia="zh-CN"/>
        </w:rPr>
        <w:t>和基本情况</w:t>
      </w:r>
      <w:r>
        <w:rPr>
          <w:rFonts w:hint="eastAsia" w:ascii="仿宋" w:hAnsi="仿宋" w:eastAsia="仿宋" w:cs="仿宋"/>
          <w:b/>
          <w:bCs/>
          <w:color w:val="0000FF"/>
          <w:sz w:val="24"/>
          <w:szCs w:val="24"/>
          <w:highlight w:val="none"/>
          <w:u w:val="single"/>
        </w:rPr>
        <w:t>、营业执照、近三年经审计的财务报告</w:t>
      </w:r>
      <w:r>
        <w:rPr>
          <w:rFonts w:hint="eastAsia" w:ascii="仿宋" w:hAnsi="仿宋" w:eastAsia="仿宋" w:cs="仿宋"/>
          <w:b/>
          <w:bCs/>
          <w:color w:val="0000FF"/>
          <w:sz w:val="24"/>
          <w:szCs w:val="24"/>
          <w:highlight w:val="none"/>
          <w:u w:val="single"/>
          <w:lang w:eastAsia="zh-CN"/>
        </w:rPr>
        <w:t>、</w:t>
      </w:r>
      <w:r>
        <w:rPr>
          <w:rFonts w:hint="eastAsia" w:ascii="仿宋" w:hAnsi="仿宋" w:eastAsia="仿宋" w:cs="仿宋"/>
          <w:b/>
          <w:bCs/>
          <w:color w:val="0000FF"/>
          <w:sz w:val="24"/>
          <w:szCs w:val="24"/>
          <w:highlight w:val="none"/>
          <w:u w:val="single"/>
        </w:rPr>
        <w:t>企业资质（质量管理体系认证</w:t>
      </w:r>
      <w:r>
        <w:rPr>
          <w:rFonts w:hint="eastAsia" w:ascii="仿宋" w:hAnsi="仿宋" w:eastAsia="仿宋" w:cs="仿宋"/>
          <w:b/>
          <w:bCs/>
          <w:color w:val="0000FF"/>
          <w:sz w:val="24"/>
          <w:szCs w:val="24"/>
          <w:highlight w:val="none"/>
          <w:u w:val="single"/>
          <w:lang w:val="en-US" w:eastAsia="zh-CN"/>
        </w:rPr>
        <w:t>等</w:t>
      </w:r>
      <w:r>
        <w:rPr>
          <w:rFonts w:hint="eastAsia" w:ascii="仿宋" w:hAnsi="仿宋" w:eastAsia="仿宋" w:cs="仿宋"/>
          <w:b/>
          <w:bCs/>
          <w:color w:val="0000FF"/>
          <w:sz w:val="24"/>
          <w:szCs w:val="24"/>
          <w:highlight w:val="none"/>
          <w:u w:val="single"/>
        </w:rPr>
        <w:t>）、产品技术资料（</w:t>
      </w:r>
      <w:r>
        <w:rPr>
          <w:rFonts w:hint="eastAsia" w:ascii="仿宋" w:hAnsi="仿宋" w:eastAsia="仿宋" w:cs="仿宋"/>
          <w:b/>
          <w:bCs/>
          <w:color w:val="0000FF"/>
          <w:sz w:val="24"/>
          <w:szCs w:val="24"/>
          <w:u w:val="single"/>
          <w:lang w:val="en-US" w:eastAsia="zh-CN"/>
        </w:rPr>
        <w:t>包括但不限于产品规格型号、产品相关资质证书</w:t>
      </w:r>
      <w:r>
        <w:rPr>
          <w:rFonts w:hint="eastAsia" w:ascii="仿宋" w:hAnsi="仿宋" w:eastAsia="仿宋" w:cs="仿宋"/>
          <w:b/>
          <w:bCs/>
          <w:color w:val="0000FF"/>
          <w:sz w:val="24"/>
          <w:szCs w:val="24"/>
          <w:highlight w:val="none"/>
          <w:u w:val="single"/>
          <w:lang w:val="en-US" w:eastAsia="zh-CN"/>
        </w:rPr>
        <w:t>）</w:t>
      </w:r>
      <w:r>
        <w:rPr>
          <w:rFonts w:hint="eastAsia" w:ascii="仿宋" w:hAnsi="仿宋" w:eastAsia="仿宋" w:cs="仿宋"/>
          <w:b/>
          <w:bCs/>
          <w:color w:val="0000FF"/>
          <w:sz w:val="24"/>
          <w:szCs w:val="24"/>
          <w:u w:val="single"/>
          <w:lang w:val="en-US" w:eastAsia="zh-CN"/>
        </w:rPr>
        <w:t>、</w:t>
      </w:r>
      <w:r>
        <w:rPr>
          <w:rFonts w:hint="eastAsia" w:ascii="仿宋" w:hAnsi="仿宋" w:eastAsia="仿宋" w:cs="仿宋"/>
          <w:b/>
          <w:bCs/>
          <w:strike w:val="0"/>
          <w:dstrike w:val="0"/>
          <w:color w:val="0000FF"/>
          <w:sz w:val="24"/>
          <w:szCs w:val="24"/>
          <w:highlight w:val="none"/>
          <w:u w:val="single"/>
        </w:rPr>
        <w:t>同</w:t>
      </w:r>
      <w:r>
        <w:rPr>
          <w:rFonts w:hint="eastAsia" w:ascii="仿宋" w:hAnsi="仿宋" w:eastAsia="仿宋" w:cs="仿宋"/>
          <w:b/>
          <w:bCs/>
          <w:strike w:val="0"/>
          <w:dstrike w:val="0"/>
          <w:color w:val="0000FF"/>
          <w:sz w:val="24"/>
          <w:szCs w:val="24"/>
          <w:highlight w:val="none"/>
          <w:u w:val="single"/>
          <w:lang w:val="en-US" w:eastAsia="zh-CN"/>
        </w:rPr>
        <w:t>类型</w:t>
      </w:r>
      <w:r>
        <w:rPr>
          <w:rFonts w:hint="eastAsia" w:ascii="仿宋" w:hAnsi="仿宋" w:eastAsia="仿宋" w:cs="仿宋"/>
          <w:b/>
          <w:bCs/>
          <w:strike w:val="0"/>
          <w:dstrike w:val="0"/>
          <w:color w:val="0000FF"/>
          <w:sz w:val="24"/>
          <w:szCs w:val="24"/>
          <w:highlight w:val="none"/>
          <w:u w:val="single"/>
        </w:rPr>
        <w:t>项目</w:t>
      </w:r>
      <w:r>
        <w:rPr>
          <w:rFonts w:hint="eastAsia" w:ascii="仿宋" w:hAnsi="仿宋" w:eastAsia="仿宋" w:cs="仿宋"/>
          <w:b/>
          <w:bCs/>
          <w:color w:val="0000FF"/>
          <w:sz w:val="24"/>
          <w:szCs w:val="24"/>
          <w:highlight w:val="none"/>
          <w:u w:val="single"/>
        </w:rPr>
        <w:t>业绩、报价文件</w:t>
      </w:r>
      <w:r>
        <w:rPr>
          <w:rFonts w:hint="eastAsia" w:ascii="仿宋" w:hAnsi="仿宋" w:eastAsia="仿宋" w:cs="仿宋"/>
          <w:color w:val="auto"/>
          <w:sz w:val="24"/>
          <w:szCs w:val="24"/>
          <w:highlight w:val="none"/>
        </w:rPr>
        <w:t>等，</w:t>
      </w:r>
      <w:r>
        <w:rPr>
          <w:rFonts w:hint="eastAsia" w:ascii="仿宋" w:hAnsi="仿宋" w:eastAsia="仿宋" w:cs="仿宋"/>
          <w:sz w:val="24"/>
          <w:szCs w:val="24"/>
        </w:rPr>
        <w:t>详见附件（响应文件格式及其</w:t>
      </w:r>
      <w:r>
        <w:rPr>
          <w:rFonts w:hint="eastAsia" w:ascii="仿宋" w:hAnsi="仿宋" w:eastAsia="仿宋" w:cs="仿宋"/>
          <w:sz w:val="24"/>
          <w:szCs w:val="24"/>
          <w:lang w:val="en-US" w:eastAsia="zh-CN"/>
        </w:rPr>
        <w:t>相关</w:t>
      </w:r>
      <w:r>
        <w:rPr>
          <w:rFonts w:hint="eastAsia" w:ascii="仿宋" w:hAnsi="仿宋" w:eastAsia="仿宋" w:cs="仿宋"/>
          <w:sz w:val="24"/>
          <w:szCs w:val="24"/>
        </w:rPr>
        <w:t>附件）。</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sz w:val="24"/>
          <w:szCs w:val="24"/>
        </w:rPr>
        <w:t>报价文件有效期为提交报价之日</w:t>
      </w:r>
      <w:r>
        <w:rPr>
          <w:rFonts w:hint="eastAsia" w:ascii="仿宋" w:hAnsi="仿宋" w:eastAsia="仿宋" w:cs="仿宋"/>
          <w:color w:val="auto"/>
          <w:sz w:val="24"/>
          <w:szCs w:val="24"/>
        </w:rPr>
        <w:t>起不低于</w:t>
      </w:r>
      <w:r>
        <w:rPr>
          <w:rFonts w:hint="eastAsia" w:ascii="仿宋" w:hAnsi="仿宋" w:eastAsia="仿宋" w:cs="仿宋"/>
          <w:b/>
          <w:bCs/>
          <w:color w:val="auto"/>
          <w:sz w:val="24"/>
          <w:szCs w:val="24"/>
          <w:u w:val="single"/>
          <w:lang w:val="en-US" w:eastAsia="zh-CN"/>
        </w:rPr>
        <w:t>120</w:t>
      </w:r>
      <w:r>
        <w:rPr>
          <w:rFonts w:hint="eastAsia" w:ascii="仿宋" w:hAnsi="仿宋" w:eastAsia="仿宋" w:cs="仿宋"/>
          <w:color w:val="auto"/>
          <w:sz w:val="24"/>
          <w:szCs w:val="24"/>
        </w:rPr>
        <w:t>个日历天。</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报价文件要求对货品询价单中的所有分项进行</w:t>
      </w:r>
      <w:r>
        <w:rPr>
          <w:rFonts w:hint="eastAsia" w:ascii="仿宋" w:hAnsi="仿宋" w:eastAsia="仿宋" w:cs="仿宋"/>
          <w:b/>
          <w:bCs/>
          <w:color w:val="auto"/>
          <w:sz w:val="24"/>
          <w:szCs w:val="24"/>
          <w:u w:val="single"/>
          <w:lang w:val="en-US" w:eastAsia="zh-CN"/>
        </w:rPr>
        <w:t>单价</w:t>
      </w:r>
      <w:r>
        <w:rPr>
          <w:rFonts w:hint="eastAsia" w:ascii="仿宋" w:hAnsi="仿宋" w:eastAsia="仿宋" w:cs="仿宋"/>
          <w:b/>
          <w:bCs/>
          <w:color w:val="auto"/>
          <w:sz w:val="24"/>
          <w:szCs w:val="24"/>
          <w:u w:val="single"/>
        </w:rPr>
        <w:t>报价</w:t>
      </w:r>
      <w:r>
        <w:rPr>
          <w:rFonts w:hint="eastAsia" w:ascii="仿宋" w:hAnsi="仿宋" w:eastAsia="仿宋" w:cs="仿宋"/>
          <w:b w:val="0"/>
          <w:bCs w:val="0"/>
          <w:color w:val="auto"/>
          <w:sz w:val="24"/>
          <w:szCs w:val="24"/>
          <w:u w:val="none"/>
          <w:lang w:val="en-US" w:eastAsia="zh-CN"/>
        </w:rPr>
        <w:t>和</w:t>
      </w:r>
      <w:r>
        <w:rPr>
          <w:rFonts w:hint="eastAsia" w:ascii="仿宋" w:hAnsi="仿宋" w:eastAsia="仿宋" w:cs="仿宋"/>
          <w:b/>
          <w:bCs/>
          <w:color w:val="auto"/>
          <w:sz w:val="24"/>
          <w:szCs w:val="24"/>
          <w:u w:val="single"/>
          <w:lang w:val="en-US" w:eastAsia="zh-CN"/>
        </w:rPr>
        <w:t>总价报价</w:t>
      </w:r>
      <w:r>
        <w:rPr>
          <w:rFonts w:hint="eastAsia" w:ascii="仿宋" w:hAnsi="仿宋" w:eastAsia="仿宋" w:cs="仿宋"/>
          <w:color w:val="auto"/>
          <w:sz w:val="24"/>
          <w:szCs w:val="24"/>
        </w:rPr>
        <w:t>。</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文件按照总价全包进行报价，应包括货到工地指定地点的一切税费（提供专用增值税发票）、设备包装、运输（包含二次运输）、卸货、保险、仓储、安装督导、调试、试运行、验收、培训、售后服务等所需费用。</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报价应为准确、可参考的有效报价，如经评审确认为投标合作供应商，此报价作为后续合同签订依据。</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付款约定条款：</w:t>
      </w:r>
      <w:r>
        <w:rPr>
          <w:rFonts w:hint="eastAsia" w:ascii="仿宋" w:hAnsi="仿宋" w:eastAsia="仿宋" w:cs="仿宋"/>
          <w:color w:val="auto"/>
          <w:sz w:val="24"/>
          <w:szCs w:val="24"/>
          <w:highlight w:val="none"/>
        </w:rPr>
        <w:t>具体付款条款以双方签订的合同要求为准。</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报价产品</w:t>
      </w:r>
      <w:r>
        <w:rPr>
          <w:rFonts w:hint="eastAsia" w:ascii="仿宋" w:hAnsi="仿宋" w:eastAsia="仿宋" w:cs="仿宋"/>
          <w:color w:val="000000"/>
          <w:sz w:val="24"/>
          <w:szCs w:val="24"/>
          <w:highlight w:val="none"/>
        </w:rPr>
        <w:t>必须完全满足</w:t>
      </w:r>
      <w:r>
        <w:rPr>
          <w:rFonts w:hint="eastAsia" w:ascii="仿宋" w:hAnsi="仿宋" w:eastAsia="仿宋" w:cs="仿宋"/>
          <w:color w:val="000000"/>
          <w:sz w:val="24"/>
          <w:szCs w:val="24"/>
          <w:highlight w:val="none"/>
          <w:lang w:val="en-US" w:eastAsia="zh-CN"/>
        </w:rPr>
        <w:t>技术参数偏离表技术参数</w:t>
      </w:r>
      <w:r>
        <w:rPr>
          <w:rFonts w:hint="eastAsia" w:ascii="仿宋" w:hAnsi="仿宋" w:eastAsia="仿宋" w:cs="仿宋"/>
          <w:color w:val="000000"/>
          <w:sz w:val="24"/>
          <w:szCs w:val="24"/>
          <w:highlight w:val="none"/>
        </w:rPr>
        <w:t>要求或优于</w:t>
      </w:r>
      <w:r>
        <w:rPr>
          <w:rFonts w:hint="eastAsia" w:ascii="仿宋" w:hAnsi="仿宋" w:eastAsia="仿宋" w:cs="仿宋"/>
          <w:color w:val="000000"/>
          <w:sz w:val="24"/>
          <w:szCs w:val="24"/>
          <w:highlight w:val="none"/>
          <w:lang w:val="en-US" w:eastAsia="zh-CN"/>
        </w:rPr>
        <w:t>技术参数偏离表技术参数</w:t>
      </w:r>
      <w:r>
        <w:rPr>
          <w:rFonts w:hint="eastAsia" w:ascii="仿宋" w:hAnsi="仿宋" w:eastAsia="仿宋" w:cs="仿宋"/>
          <w:color w:val="000000"/>
          <w:sz w:val="24"/>
          <w:szCs w:val="24"/>
          <w:highlight w:val="none"/>
        </w:rPr>
        <w:t>要求</w:t>
      </w:r>
      <w:r>
        <w:rPr>
          <w:rFonts w:hint="eastAsia" w:ascii="仿宋" w:hAnsi="仿宋" w:eastAsia="仿宋" w:cs="仿宋"/>
          <w:sz w:val="24"/>
          <w:szCs w:val="24"/>
          <w:highlight w:val="none"/>
        </w:rPr>
        <w:t>,</w:t>
      </w:r>
      <w:r>
        <w:rPr>
          <w:rFonts w:hint="eastAsia" w:ascii="仿宋" w:hAnsi="仿宋" w:eastAsia="仿宋" w:cs="仿宋"/>
          <w:color w:val="000000"/>
          <w:sz w:val="24"/>
          <w:szCs w:val="24"/>
          <w:highlight w:val="none"/>
          <w:lang w:val="en-US" w:eastAsia="zh-CN"/>
        </w:rPr>
        <w:t>技术参数偏离表</w:t>
      </w:r>
      <w:r>
        <w:rPr>
          <w:rFonts w:hint="eastAsia" w:ascii="仿宋" w:hAnsi="仿宋" w:eastAsia="仿宋" w:cs="仿宋"/>
          <w:sz w:val="24"/>
          <w:szCs w:val="24"/>
          <w:highlight w:val="none"/>
        </w:rPr>
        <w:t>详见附件《</w:t>
      </w:r>
      <w:r>
        <w:rPr>
          <w:rFonts w:hint="eastAsia" w:ascii="仿宋" w:hAnsi="仿宋" w:eastAsia="仿宋" w:cs="仿宋"/>
          <w:color w:val="000000"/>
          <w:sz w:val="24"/>
          <w:szCs w:val="24"/>
          <w:highlight w:val="none"/>
          <w:lang w:val="en-US" w:eastAsia="zh-CN"/>
        </w:rPr>
        <w:t>技术参数偏离表</w:t>
      </w:r>
      <w:r>
        <w:rPr>
          <w:rFonts w:hint="eastAsia" w:ascii="仿宋" w:hAnsi="仿宋" w:eastAsia="仿宋" w:cs="仿宋"/>
          <w:sz w:val="24"/>
          <w:szCs w:val="24"/>
          <w:highlight w:val="none"/>
        </w:rPr>
        <w:t>》，</w:t>
      </w:r>
      <w:r>
        <w:rPr>
          <w:rFonts w:hint="eastAsia" w:ascii="仿宋" w:hAnsi="仿宋" w:eastAsia="仿宋" w:cs="仿宋"/>
          <w:b/>
          <w:bCs/>
          <w:color w:val="0000FF"/>
          <w:sz w:val="24"/>
          <w:szCs w:val="24"/>
          <w:highlight w:val="none"/>
          <w:u w:val="single"/>
          <w:lang w:val="en-US" w:eastAsia="zh-CN"/>
        </w:rPr>
        <w:t>并在报价文件中列明每项偏差情况。</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贵司提交询价响应文件视同</w:t>
      </w:r>
      <w:r>
        <w:rPr>
          <w:rFonts w:hint="eastAsia" w:ascii="仿宋" w:hAnsi="仿宋" w:eastAsia="仿宋" w:cs="仿宋"/>
          <w:b/>
          <w:bCs/>
          <w:color w:val="0000FF"/>
          <w:sz w:val="24"/>
          <w:szCs w:val="24"/>
          <w:highlight w:val="none"/>
          <w:u w:val="single"/>
          <w:lang w:val="en-US" w:eastAsia="zh-CN"/>
        </w:rPr>
        <w:t>接受本项目交货期、质保期以及技术参数偏离表中的所有技术要求和本项目的付款约定条款。</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贵司应对收到的询价函及相关一切询价资料进行保密，不得向任何第三方透露与本询价有关的任何信息。</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highlight w:val="none"/>
        </w:rPr>
        <w:t>供应商必须承诺保证其交付</w:t>
      </w:r>
      <w:r>
        <w:rPr>
          <w:rFonts w:hint="eastAsia" w:ascii="仿宋" w:hAnsi="仿宋" w:eastAsia="仿宋" w:cs="仿宋"/>
          <w:sz w:val="24"/>
          <w:szCs w:val="24"/>
          <w:highlight w:val="none"/>
          <w:lang w:val="en-US" w:eastAsia="zh-CN"/>
        </w:rPr>
        <w:t>物</w:t>
      </w:r>
      <w:r>
        <w:rPr>
          <w:rFonts w:hint="eastAsia" w:ascii="仿宋" w:hAnsi="仿宋" w:eastAsia="仿宋" w:cs="仿宋"/>
          <w:sz w:val="24"/>
          <w:szCs w:val="24"/>
          <w:highlight w:val="none"/>
        </w:rPr>
        <w:t>无任何质量缺陷或瑕疵，无任何著作权、商标权、专利权或其他知识产权方面的权利限制或瑕疵，不会侵犯任何自然人、法人等主体的专利、商标、企业或贸易名称、版权、肖像权、技术秘密、商业秘密或其他任何权益。若我公司因供应商</w:t>
      </w:r>
      <w:r>
        <w:rPr>
          <w:rFonts w:hint="eastAsia" w:ascii="仿宋" w:hAnsi="仿宋" w:eastAsia="仿宋" w:cs="仿宋"/>
          <w:sz w:val="24"/>
          <w:szCs w:val="24"/>
          <w:highlight w:val="none"/>
          <w:lang w:val="en-US" w:eastAsia="zh-CN"/>
        </w:rPr>
        <w:t>的交付物</w:t>
      </w:r>
      <w:r>
        <w:rPr>
          <w:rFonts w:hint="eastAsia" w:ascii="仿宋" w:hAnsi="仿宋" w:eastAsia="仿宋" w:cs="仿宋"/>
          <w:sz w:val="24"/>
          <w:szCs w:val="24"/>
          <w:highlight w:val="none"/>
        </w:rPr>
        <w:t>侵害第三方的合法权益，我</w:t>
      </w:r>
      <w:r>
        <w:rPr>
          <w:rFonts w:hint="eastAsia" w:ascii="仿宋" w:hAnsi="仿宋" w:eastAsia="仿宋" w:cs="仿宋"/>
          <w:sz w:val="24"/>
          <w:szCs w:val="24"/>
          <w:highlight w:val="none"/>
          <w:lang w:val="en-US" w:eastAsia="zh-CN"/>
        </w:rPr>
        <w:t>公</w:t>
      </w:r>
      <w:r>
        <w:rPr>
          <w:rFonts w:hint="eastAsia" w:ascii="仿宋" w:hAnsi="仿宋" w:eastAsia="仿宋" w:cs="仿宋"/>
          <w:sz w:val="24"/>
          <w:szCs w:val="24"/>
          <w:highlight w:val="none"/>
        </w:rPr>
        <w:t>司有权解除合同，追究供应商违约、赔偿等责任；若我</w:t>
      </w:r>
      <w:r>
        <w:rPr>
          <w:rFonts w:hint="eastAsia" w:ascii="仿宋" w:hAnsi="仿宋" w:eastAsia="仿宋" w:cs="仿宋"/>
          <w:sz w:val="24"/>
          <w:szCs w:val="24"/>
          <w:highlight w:val="none"/>
          <w:lang w:val="en-US" w:eastAsia="zh-CN"/>
        </w:rPr>
        <w:t>公司</w:t>
      </w:r>
      <w:r>
        <w:rPr>
          <w:rFonts w:hint="eastAsia" w:ascii="仿宋" w:hAnsi="仿宋" w:eastAsia="仿宋" w:cs="仿宋"/>
          <w:sz w:val="24"/>
          <w:szCs w:val="24"/>
          <w:highlight w:val="none"/>
        </w:rPr>
        <w:t>侵害第三方的合法权被要求向第三方承担赔偿责任的，供应商对此承担全部责任。</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3" w:name="_Toc20153"/>
      <w:r>
        <w:rPr>
          <w:rFonts w:hint="eastAsia" w:ascii="仿宋" w:hAnsi="仿宋" w:eastAsia="仿宋" w:cs="仿宋"/>
          <w:b/>
          <w:bCs/>
          <w:sz w:val="24"/>
          <w:szCs w:val="24"/>
          <w:lang w:val="en-US" w:eastAsia="zh-CN"/>
        </w:rPr>
        <w:t>特别说明</w:t>
      </w:r>
      <w:bookmarkEnd w:id="3"/>
      <w:r>
        <w:rPr>
          <w:rFonts w:hint="eastAsia" w:ascii="仿宋" w:hAnsi="仿宋" w:eastAsia="仿宋" w:cs="仿宋"/>
          <w:b/>
          <w:bCs/>
          <w:sz w:val="24"/>
          <w:szCs w:val="24"/>
          <w:lang w:val="en-US" w:eastAsia="zh-CN"/>
        </w:rPr>
        <w:t>：</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本次</w:t>
      </w:r>
      <w:r>
        <w:rPr>
          <w:rFonts w:hint="eastAsia" w:ascii="仿宋" w:hAnsi="仿宋" w:eastAsia="仿宋" w:cs="仿宋"/>
          <w:color w:val="auto"/>
          <w:sz w:val="24"/>
          <w:szCs w:val="24"/>
          <w:lang w:eastAsia="zh-CN"/>
        </w:rPr>
        <w:t>投标</w:t>
      </w:r>
      <w:r>
        <w:rPr>
          <w:rFonts w:hint="eastAsia" w:ascii="仿宋" w:hAnsi="仿宋" w:eastAsia="仿宋" w:cs="仿宋"/>
          <w:color w:val="auto"/>
          <w:sz w:val="24"/>
          <w:szCs w:val="24"/>
        </w:rPr>
        <w:t>寻源主要为了寻源产品设备制造商授权我公司进行项目投标，</w:t>
      </w:r>
      <w:r>
        <w:rPr>
          <w:rFonts w:hint="eastAsia" w:ascii="仿宋" w:hAnsi="仿宋" w:eastAsia="仿宋" w:cs="仿宋"/>
          <w:b/>
          <w:bCs/>
          <w:color w:val="0000FF"/>
          <w:sz w:val="24"/>
          <w:szCs w:val="24"/>
          <w:u w:val="single"/>
          <w:lang w:val="en-US" w:eastAsia="zh-CN"/>
        </w:rPr>
        <w:t>2026年8月10日</w:t>
      </w:r>
      <w:r>
        <w:rPr>
          <w:rFonts w:hint="eastAsia" w:ascii="仿宋" w:hAnsi="仿宋" w:eastAsia="仿宋" w:cs="仿宋"/>
          <w:color w:val="auto"/>
          <w:sz w:val="24"/>
          <w:szCs w:val="24"/>
        </w:rPr>
        <w:t>前，我司将通知贵司是否为合作意向公司。若贵司为我司合作意向公司，贵司需全力配合我司开展投标准备工作。我公司不承诺必然发生实质性采购需求。</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sz w:val="24"/>
          <w:szCs w:val="24"/>
          <w:highlight w:val="none"/>
          <w:lang w:val="en-US" w:eastAsia="zh-CN"/>
        </w:rPr>
        <w:t>我公司发生实质性需求时，如中选方需在本项目后续的签约和履行阶段需委托其代理商（经销商）实施的，必须在投标寻源响应截止时间前先以原厂邮箱进行邮件告知授权情况及代理商（经销商）基本信息，并在寻源响应阶段提供针对本次投标寻源相关代理商（经销商）唯一授权文件</w:t>
      </w:r>
      <w:r>
        <w:rPr>
          <w:rFonts w:hint="eastAsia" w:ascii="仿宋" w:hAnsi="仿宋" w:eastAsia="仿宋" w:cs="仿宋"/>
          <w:b/>
          <w:bCs/>
          <w:sz w:val="24"/>
          <w:szCs w:val="24"/>
          <w:highlight w:val="none"/>
          <w:lang w:val="en-US" w:eastAsia="zh-CN"/>
        </w:rPr>
        <w:t>（原厂指定代理商（经销商）需与原厂为长期代理合作关系（提供本次寻源前已签订且处于有效期的一年及以上代理/授权协议、或为原厂指定对外公示期处于有效合作期的指定代理商合作伙伴），并提供额外证明材料）</w:t>
      </w:r>
      <w:r>
        <w:rPr>
          <w:rFonts w:hint="eastAsia" w:ascii="仿宋" w:hAnsi="仿宋" w:eastAsia="仿宋" w:cs="仿宋"/>
          <w:sz w:val="24"/>
          <w:szCs w:val="24"/>
          <w:highlight w:val="none"/>
          <w:lang w:val="en-US" w:eastAsia="zh-CN"/>
        </w:rPr>
        <w:t>，说明授权事项，并且被授权的经销商作为本次寻源响应方，提供报价文件、经制造商确认的产品技术资料和双方（制造商和被授权经销商）的公司简介、营业执照、企业资质等文件作为寻源响应文件。</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当我公司发生实质性需求时，如出现中选方未能履行寻源响应的相关承诺，影响我公司项目开展的，我司有权对该中选单位进行违约追责。</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司将按照格要求及评审办法，组织专家组对各供应商提交的响应文件进行评审，评审过程中专家组可讨论确定需谈判的品类，并与该品类进入价格评审的寻源对象进行线上谈判。谈判时贵司可进行二次报价(放弃二次报价的，以第一次报价为准)。第二次响应报价不得高于第一次响应报价。</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第二次响应报价，除</w:t>
      </w:r>
      <w:r>
        <w:rPr>
          <w:rFonts w:hint="eastAsia" w:ascii="仿宋" w:hAnsi="仿宋" w:eastAsia="仿宋" w:cs="仿宋"/>
          <w:b/>
          <w:bCs/>
          <w:color w:val="0000EE"/>
          <w:sz w:val="24"/>
          <w:szCs w:val="24"/>
          <w:highlight w:val="none"/>
          <w:u w:val="single"/>
          <w:lang w:val="en-US" w:eastAsia="zh-CN"/>
        </w:rPr>
        <w:t>拟投标项目招标方</w:t>
      </w:r>
      <w:r>
        <w:rPr>
          <w:rFonts w:hint="eastAsia" w:ascii="仿宋" w:hAnsi="仿宋" w:eastAsia="仿宋" w:cs="仿宋"/>
          <w:color w:val="auto"/>
          <w:sz w:val="24"/>
          <w:szCs w:val="24"/>
        </w:rPr>
        <w:t>对招标内容进行正式变更澄清外，不允许修改技术文件，仅需确认二次报价。</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我司有权根据投标策略调整投标价格。因此双方确定合作意向后，在投标</w:t>
      </w:r>
      <w:r>
        <w:rPr>
          <w:rFonts w:hint="eastAsia" w:ascii="仿宋" w:hAnsi="仿宋" w:eastAsia="仿宋" w:cs="仿宋"/>
          <w:b/>
          <w:bCs/>
          <w:color w:val="0000EE"/>
          <w:sz w:val="24"/>
          <w:szCs w:val="24"/>
          <w:highlight w:val="none"/>
          <w:u w:val="single"/>
          <w:lang w:val="en-US" w:eastAsia="zh-CN"/>
        </w:rPr>
        <w:t>拟投标项目</w:t>
      </w:r>
      <w:r>
        <w:rPr>
          <w:rFonts w:hint="eastAsia" w:ascii="仿宋" w:hAnsi="仿宋" w:eastAsia="仿宋" w:cs="仿宋"/>
          <w:color w:val="auto"/>
          <w:sz w:val="24"/>
          <w:szCs w:val="24"/>
        </w:rPr>
        <w:t>前，我司有权与贵司再次开展价格谈判，确定贵司的最终成交价格。最终成交价应以双方确定合作意向时的价格为基础，予以下浮，并由贵司书面确认该下浮率(即:最终成交价格=双方确定合作意向时的价格*(1-下浮率))。若我司未投标或未中标，本次询价的采购工作自然终止，不再单独声明。当我公司发生实质性需求时，如出现中选方未能履行寻源响应的相关承诺，影响我公司项目开展的，我司有权对该中选单位进行违约追责。</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4" w:name="_Toc24350"/>
      <w:r>
        <w:rPr>
          <w:rFonts w:hint="eastAsia" w:ascii="仿宋" w:hAnsi="仿宋" w:eastAsia="仿宋" w:cs="仿宋"/>
          <w:b/>
          <w:bCs/>
          <w:sz w:val="24"/>
          <w:szCs w:val="24"/>
          <w:lang w:val="en-US" w:eastAsia="zh-CN"/>
        </w:rPr>
        <w:t>询价响应文件提交</w:t>
      </w:r>
      <w:bookmarkEnd w:id="4"/>
      <w:r>
        <w:rPr>
          <w:rFonts w:hint="eastAsia" w:ascii="仿宋" w:hAnsi="仿宋" w:eastAsia="仿宋" w:cs="仿宋"/>
          <w:b/>
          <w:bCs/>
          <w:sz w:val="24"/>
          <w:szCs w:val="24"/>
          <w:lang w:val="en-US" w:eastAsia="zh-CN"/>
        </w:rPr>
        <w:t>：</w:t>
      </w:r>
    </w:p>
    <w:p>
      <w:pPr>
        <w:keepNext w:val="0"/>
        <w:keepLines w:val="0"/>
        <w:widowControl/>
        <w:suppressLineNumbers w:val="0"/>
        <w:jc w:val="left"/>
      </w:pPr>
      <w:r>
        <w:rPr>
          <w:rFonts w:ascii="仿宋" w:hAnsi="仿宋" w:eastAsia="仿宋" w:cs="仿宋"/>
          <w:color w:val="000000"/>
          <w:kern w:val="0"/>
          <w:sz w:val="22"/>
          <w:szCs w:val="22"/>
          <w:lang w:val="en-US" w:eastAsia="zh-CN" w:bidi="ar"/>
        </w:rPr>
        <w:t>1、</w:t>
      </w:r>
      <w:r>
        <w:rPr>
          <w:rFonts w:hint="eastAsia" w:ascii="仿宋" w:hAnsi="仿宋" w:eastAsia="仿宋" w:cs="仿宋"/>
          <w:color w:val="000000"/>
          <w:kern w:val="0"/>
          <w:sz w:val="24"/>
          <w:szCs w:val="24"/>
          <w:lang w:val="en-US" w:eastAsia="zh-CN" w:bidi="ar"/>
        </w:rPr>
        <w:t xml:space="preserve">请于 </w:t>
      </w:r>
      <w:r>
        <w:rPr>
          <w:rFonts w:hint="eastAsia" w:ascii="仿宋" w:hAnsi="仿宋" w:eastAsia="仿宋" w:cs="仿宋"/>
          <w:b/>
          <w:bCs/>
          <w:color w:val="0000FF"/>
          <w:kern w:val="0"/>
          <w:sz w:val="24"/>
          <w:szCs w:val="24"/>
          <w:u w:val="single"/>
          <w:lang w:val="en-US" w:eastAsia="zh-CN" w:bidi="ar"/>
        </w:rPr>
        <w:t>2026 年8 月5日 17:30</w:t>
      </w:r>
      <w:r>
        <w:rPr>
          <w:rFonts w:hint="eastAsia" w:ascii="仿宋" w:hAnsi="仿宋" w:eastAsia="仿宋" w:cs="仿宋"/>
          <w:b/>
          <w:bCs/>
          <w:color w:val="0000FF"/>
          <w:kern w:val="0"/>
          <w:sz w:val="24"/>
          <w:szCs w:val="24"/>
          <w:lang w:val="en-US" w:eastAsia="zh-CN" w:bidi="ar"/>
        </w:rPr>
        <w:t xml:space="preserve"> </w:t>
      </w:r>
      <w:r>
        <w:rPr>
          <w:rFonts w:hint="eastAsia" w:ascii="仿宋" w:hAnsi="仿宋" w:eastAsia="仿宋" w:cs="仿宋"/>
          <w:color w:val="000000"/>
          <w:kern w:val="0"/>
          <w:sz w:val="24"/>
          <w:szCs w:val="24"/>
          <w:lang w:val="en-US" w:eastAsia="zh-CN" w:bidi="ar"/>
        </w:rPr>
        <w:t xml:space="preserve">前将电子版响应文件（附件 1、附件 2） </w:t>
      </w:r>
    </w:p>
    <w:p>
      <w:pPr>
        <w:keepNext w:val="0"/>
        <w:keepLines w:val="0"/>
        <w:widowControl/>
        <w:suppressLineNumbers w:val="0"/>
        <w:jc w:val="left"/>
        <w:rPr>
          <w:rFonts w:hint="default"/>
          <w:lang w:val="en-US"/>
        </w:rPr>
      </w:pPr>
      <w:r>
        <w:rPr>
          <w:rFonts w:hint="eastAsia" w:ascii="仿宋" w:hAnsi="仿宋" w:eastAsia="仿宋" w:cs="仿宋"/>
          <w:color w:val="000000"/>
          <w:kern w:val="0"/>
          <w:sz w:val="24"/>
          <w:szCs w:val="24"/>
          <w:lang w:val="en-US" w:eastAsia="zh-CN" w:bidi="ar"/>
        </w:rPr>
        <w:t>发送至指定邮箱：</w:t>
      </w:r>
      <w:r>
        <w:rPr>
          <w:rFonts w:hint="eastAsia" w:ascii="仿宋" w:hAnsi="仿宋" w:eastAsia="仿宋" w:cs="仿宋"/>
          <w:b/>
          <w:bCs/>
          <w:color w:val="0000FF"/>
          <w:kern w:val="0"/>
          <w:sz w:val="24"/>
          <w:szCs w:val="24"/>
          <w:u w:val="single"/>
          <w:lang w:val="en-US" w:eastAsia="zh-CN" w:bidi="ar"/>
        </w:rPr>
        <w:t>cgzx@dptc.csg.cn（邮件发送成功后，请同步致电我方是否收到）</w:t>
      </w:r>
    </w:p>
    <w:p>
      <w:pPr>
        <w:keepNext w:val="0"/>
        <w:keepLines w:val="0"/>
        <w:widowControl/>
        <w:numPr>
          <w:ilvl w:val="0"/>
          <w:numId w:val="5"/>
        </w:numPr>
        <w:suppressLineNumbers w:val="0"/>
        <w:jc w:val="left"/>
        <w:rPr>
          <w:rFonts w:hint="eastAsia" w:ascii="仿宋" w:hAnsi="仿宋" w:eastAsia="仿宋" w:cs="仿宋"/>
          <w:b/>
          <w:bCs/>
          <w:color w:val="0000FF"/>
          <w:kern w:val="0"/>
          <w:sz w:val="24"/>
          <w:szCs w:val="24"/>
          <w:u w:val="single"/>
          <w:lang w:val="en-US" w:eastAsia="zh-CN" w:bidi="ar"/>
        </w:rPr>
      </w:pPr>
      <w:r>
        <w:rPr>
          <w:rFonts w:hint="eastAsia" w:ascii="仿宋" w:hAnsi="仿宋" w:eastAsia="仿宋" w:cs="仿宋"/>
          <w:b/>
          <w:bCs/>
          <w:color w:val="0000FF"/>
          <w:kern w:val="0"/>
          <w:sz w:val="24"/>
          <w:szCs w:val="24"/>
          <w:u w:val="single"/>
          <w:lang w:val="en-US" w:eastAsia="zh-CN" w:bidi="ar"/>
        </w:rPr>
        <w:t>电子版询价响应文件（附件 1、附件 2）需每页加盖公司公章（或电子章）的 PDF 版本文件，同时另附 Excel 版本报价表，以盖章文件为准（Excel 版文件 无需加盖公章）。</w:t>
      </w:r>
    </w:p>
    <w:p>
      <w:pPr>
        <w:keepNext w:val="0"/>
        <w:keepLines w:val="0"/>
        <w:widowControl/>
        <w:numPr>
          <w:ilvl w:val="0"/>
          <w:numId w:val="0"/>
        </w:numPr>
        <w:suppressLineNumbers w:val="0"/>
        <w:jc w:val="left"/>
      </w:pPr>
      <w:r>
        <w:rPr>
          <w:rFonts w:hint="eastAsia" w:ascii="仿宋" w:hAnsi="仿宋" w:eastAsia="仿宋" w:cs="仿宋"/>
          <w:b/>
          <w:bCs/>
          <w:color w:val="0000FF"/>
          <w:kern w:val="0"/>
          <w:sz w:val="24"/>
          <w:szCs w:val="24"/>
          <w:u w:val="single"/>
          <w:lang w:val="en-US" w:eastAsia="zh-CN" w:bidi="ar"/>
        </w:rPr>
        <w:t>3、为保证寻源过程公允性，所有提交的响应文件必须加密，且需在响应截止时间结束后，再通过邮箱发送文件密码致我司。</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联系方式：</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 系 人：</w:t>
      </w:r>
      <w:r>
        <w:rPr>
          <w:rFonts w:hint="eastAsia" w:ascii="仿宋" w:hAnsi="仿宋" w:eastAsia="仿宋" w:cs="仿宋"/>
          <w:sz w:val="24"/>
          <w:szCs w:val="24"/>
          <w:lang w:eastAsia="zh-CN"/>
        </w:rPr>
        <w:t>南网数字运营软件科技（广东）有限公司</w:t>
      </w:r>
      <w:r>
        <w:rPr>
          <w:rFonts w:hint="eastAsia" w:ascii="仿宋" w:hAnsi="仿宋" w:eastAsia="仿宋" w:cs="仿宋"/>
          <w:sz w:val="24"/>
          <w:szCs w:val="24"/>
          <w:highlight w:val="none"/>
          <w:lang w:val="en-US" w:eastAsia="zh-CN"/>
        </w:rPr>
        <w:t>采购中心</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电子邮箱：cgzx@dptc.csg.cn </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联系电话：0755-82939406/13242938237</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监督电话：0755-82937155      </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监督邮箱：cwjyjd@dptc.csg.cn</w:t>
      </w:r>
    </w:p>
    <w:p>
      <w:pPr>
        <w:pStyle w:val="18"/>
        <w:spacing w:line="360" w:lineRule="auto"/>
        <w:rPr>
          <w:rFonts w:hint="eastAsia" w:ascii="仿宋" w:hAnsi="仿宋" w:eastAsia="仿宋" w:cs="仿宋"/>
          <w:sz w:val="24"/>
          <w:szCs w:val="24"/>
        </w:rPr>
      </w:pPr>
    </w:p>
    <w:p>
      <w:pPr>
        <w:pStyle w:val="18"/>
        <w:spacing w:line="360" w:lineRule="auto"/>
        <w:rPr>
          <w:rFonts w:hint="eastAsia" w:ascii="仿宋" w:hAnsi="仿宋" w:eastAsia="仿宋" w:cs="仿宋"/>
          <w:sz w:val="24"/>
          <w:szCs w:val="24"/>
        </w:rPr>
      </w:pP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bookmarkStart w:id="5" w:name="_Toc22276"/>
      <w:r>
        <w:rPr>
          <w:rFonts w:hint="eastAsia" w:ascii="仿宋" w:hAnsi="仿宋" w:eastAsia="仿宋" w:cs="仿宋"/>
          <w:sz w:val="24"/>
          <w:szCs w:val="24"/>
          <w:highlight w:val="none"/>
          <w:lang w:val="en-US" w:eastAsia="zh-CN"/>
        </w:rPr>
        <w:t>顺颂商祺！</w:t>
      </w:r>
      <w:bookmarkEnd w:id="5"/>
      <w:r>
        <w:rPr>
          <w:rFonts w:hint="eastAsia" w:ascii="仿宋" w:hAnsi="仿宋" w:eastAsia="仿宋" w:cs="仿宋"/>
          <w:sz w:val="24"/>
          <w:szCs w:val="24"/>
          <w:highlight w:val="none"/>
          <w:lang w:val="en-US" w:eastAsia="zh-CN"/>
        </w:rPr>
        <w:t xml:space="preserve">       </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                </w:t>
      </w:r>
      <w:r>
        <w:rPr>
          <w:rFonts w:hint="eastAsia" w:ascii="仿宋" w:hAnsi="仿宋" w:eastAsia="仿宋" w:cs="仿宋"/>
          <w:sz w:val="24"/>
          <w:szCs w:val="24"/>
          <w:lang w:eastAsia="zh-CN"/>
        </w:rPr>
        <w:t xml:space="preserve">            南网数字运营软件科技（广东）有限公司</w:t>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                                          </w:t>
      </w:r>
      <w:r>
        <w:rPr>
          <w:rFonts w:hint="eastAsia" w:ascii="仿宋" w:hAnsi="仿宋" w:eastAsia="仿宋" w:cs="仿宋"/>
          <w:b/>
          <w:bCs/>
          <w:color w:val="0000FF"/>
          <w:sz w:val="24"/>
          <w:szCs w:val="24"/>
          <w:highlight w:val="none"/>
          <w:u w:val="single"/>
          <w:lang w:val="en-US" w:eastAsia="zh-CN"/>
        </w:rPr>
        <w:t xml:space="preserve"> 2026年7月31日</w:t>
      </w:r>
    </w:p>
    <w:p>
      <w:pPr>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br w:type="page"/>
      </w:r>
    </w:p>
    <w:p>
      <w:pPr>
        <w:pStyle w:val="3"/>
        <w:numPr>
          <w:ilvl w:val="0"/>
          <w:numId w:val="0"/>
        </w:numPr>
        <w:bidi w:val="0"/>
        <w:ind w:leftChars="0"/>
        <w:jc w:val="center"/>
        <w:rPr>
          <w:rFonts w:hint="eastAsia"/>
          <w:lang w:eastAsia="zh-CN"/>
        </w:rPr>
      </w:pPr>
      <w:r>
        <w:rPr>
          <w:rFonts w:hint="eastAsia"/>
          <w:lang w:val="en-US" w:eastAsia="zh-CN"/>
        </w:rPr>
        <w:t>资格要求及评审办法</w:t>
      </w:r>
    </w:p>
    <w:p>
      <w:pPr>
        <w:numPr>
          <w:ilvl w:val="0"/>
          <w:numId w:val="0"/>
        </w:numPr>
        <w:spacing w:line="360" w:lineRule="auto"/>
        <w:ind w:left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一、资格要求</w:t>
      </w:r>
    </w:p>
    <w:tbl>
      <w:tblPr>
        <w:tblStyle w:val="25"/>
        <w:tblW w:w="9254" w:type="dxa"/>
        <w:jc w:val="center"/>
        <w:tblLayout w:type="fixed"/>
        <w:tblCellMar>
          <w:top w:w="0" w:type="dxa"/>
          <w:left w:w="0" w:type="dxa"/>
          <w:bottom w:w="0" w:type="dxa"/>
          <w:right w:w="0" w:type="dxa"/>
        </w:tblCellMar>
      </w:tblPr>
      <w:tblGrid>
        <w:gridCol w:w="838"/>
        <w:gridCol w:w="8416"/>
      </w:tblGrid>
      <w:tr>
        <w:tblPrEx>
          <w:tblCellMar>
            <w:top w:w="0" w:type="dxa"/>
            <w:left w:w="0" w:type="dxa"/>
            <w:bottom w:w="0" w:type="dxa"/>
            <w:right w:w="0" w:type="dxa"/>
          </w:tblCellMar>
        </w:tblPrEx>
        <w:trPr>
          <w:trHeight w:val="277" w:hRule="atLeast"/>
          <w:jc w:val="center"/>
        </w:trPr>
        <w:tc>
          <w:tcPr>
            <w:tcW w:w="9254" w:type="dxa"/>
            <w:gridSpan w:val="2"/>
            <w:tcBorders>
              <w:top w:val="nil"/>
              <w:left w:val="nil"/>
              <w:bottom w:val="single" w:color="000000" w:sz="6" w:space="0"/>
              <w:right w:val="nil"/>
            </w:tcBorders>
            <w:shd w:val="clear" w:color="auto" w:fill="FFFFFF"/>
            <w:noWrap w:val="0"/>
            <w:vAlign w:val="center"/>
          </w:tcPr>
          <w:p>
            <w:pPr>
              <w:spacing w:line="360" w:lineRule="auto"/>
              <w:ind w:left="113"/>
              <w:rPr>
                <w:rFonts w:hint="eastAsia" w:ascii="仿宋" w:hAnsi="仿宋" w:eastAsia="仿宋" w:cs="仿宋"/>
                <w:sz w:val="24"/>
                <w:szCs w:val="24"/>
              </w:rPr>
            </w:pPr>
            <w:r>
              <w:rPr>
                <w:rFonts w:hint="eastAsia" w:ascii="仿宋" w:hAnsi="仿宋" w:eastAsia="仿宋" w:cs="仿宋"/>
                <w:b/>
                <w:sz w:val="24"/>
                <w:szCs w:val="24"/>
              </w:rPr>
              <w:t>通用资格：</w:t>
            </w:r>
          </w:p>
        </w:tc>
      </w:tr>
      <w:tr>
        <w:tblPrEx>
          <w:tblCellMar>
            <w:top w:w="0" w:type="dxa"/>
            <w:left w:w="0" w:type="dxa"/>
            <w:bottom w:w="0" w:type="dxa"/>
            <w:right w:w="0" w:type="dxa"/>
          </w:tblCellMar>
        </w:tblPrEx>
        <w:trPr>
          <w:trHeight w:val="213" w:hRule="atLeast"/>
          <w:jc w:val="center"/>
        </w:trPr>
        <w:tc>
          <w:tcPr>
            <w:tcW w:w="9254"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highlight w:val="none"/>
              </w:rPr>
              <w:t>通用资格要求</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序号</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内容</w:t>
            </w:r>
          </w:p>
        </w:tc>
      </w:tr>
      <w:tr>
        <w:tblPrEx>
          <w:tblCellMar>
            <w:top w:w="0" w:type="dxa"/>
            <w:left w:w="0" w:type="dxa"/>
            <w:bottom w:w="0" w:type="dxa"/>
            <w:right w:w="0" w:type="dxa"/>
          </w:tblCellMar>
        </w:tblPrEx>
        <w:trPr>
          <w:trHeight w:val="1343"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tc>
      </w:tr>
      <w:tr>
        <w:tblPrEx>
          <w:tblCellMar>
            <w:top w:w="0" w:type="dxa"/>
            <w:left w:w="0" w:type="dxa"/>
            <w:bottom w:w="0" w:type="dxa"/>
            <w:right w:w="0" w:type="dxa"/>
          </w:tblCellMar>
        </w:tblPrEx>
        <w:trPr>
          <w:trHeight w:val="96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lang w:eastAsia="zh-CN"/>
              </w:rPr>
              <w:t>具备近三年（202</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年至今）对应本项目</w:t>
            </w:r>
            <w:r>
              <w:rPr>
                <w:rFonts w:hint="eastAsia" w:ascii="仿宋" w:hAnsi="仿宋" w:eastAsia="仿宋" w:cs="仿宋"/>
                <w:sz w:val="24"/>
                <w:szCs w:val="24"/>
                <w:lang w:val="en-US" w:eastAsia="zh-CN"/>
              </w:rPr>
              <w:t>寻源</w:t>
            </w:r>
            <w:r>
              <w:rPr>
                <w:rFonts w:hint="eastAsia" w:ascii="仿宋" w:hAnsi="仿宋" w:eastAsia="仿宋" w:cs="仿宋"/>
                <w:sz w:val="24"/>
                <w:szCs w:val="24"/>
                <w:lang w:eastAsia="zh-CN"/>
              </w:rPr>
              <w:t>物资</w:t>
            </w:r>
            <w:r>
              <w:rPr>
                <w:rFonts w:hint="eastAsia" w:ascii="仿宋" w:hAnsi="仿宋" w:eastAsia="仿宋" w:cs="仿宋"/>
                <w:sz w:val="24"/>
                <w:szCs w:val="24"/>
                <w:lang w:val="en-US" w:eastAsia="zh-CN"/>
              </w:rPr>
              <w:t>同</w:t>
            </w:r>
            <w:r>
              <w:rPr>
                <w:rFonts w:hint="eastAsia" w:ascii="仿宋" w:hAnsi="仿宋" w:eastAsia="仿宋" w:cs="仿宋"/>
                <w:sz w:val="24"/>
                <w:szCs w:val="24"/>
                <w:lang w:eastAsia="zh-CN"/>
              </w:rPr>
              <w:t>类型</w:t>
            </w:r>
            <w:r>
              <w:rPr>
                <w:rFonts w:hint="eastAsia" w:ascii="仿宋" w:hAnsi="仿宋" w:eastAsia="仿宋" w:cs="仿宋"/>
                <w:sz w:val="24"/>
                <w:szCs w:val="24"/>
                <w:lang w:val="en-US" w:eastAsia="zh-CN"/>
              </w:rPr>
              <w:t>产品</w:t>
            </w:r>
            <w:r>
              <w:rPr>
                <w:rFonts w:hint="eastAsia" w:ascii="仿宋" w:hAnsi="仿宋" w:eastAsia="仿宋" w:cs="仿宋"/>
                <w:sz w:val="24"/>
                <w:szCs w:val="24"/>
                <w:lang w:eastAsia="zh-CN"/>
              </w:rPr>
              <w:t>的</w:t>
            </w:r>
            <w:r>
              <w:rPr>
                <w:rFonts w:hint="eastAsia" w:ascii="仿宋" w:hAnsi="仿宋" w:eastAsia="仿宋" w:cs="仿宋"/>
                <w:sz w:val="24"/>
                <w:szCs w:val="24"/>
                <w:lang w:val="en-US" w:eastAsia="zh-CN"/>
              </w:rPr>
              <w:t>业绩合同不少于3个，且合同客户为不同法人主体。</w:t>
            </w:r>
            <w:r>
              <w:rPr>
                <w:rFonts w:hint="eastAsia" w:ascii="仿宋" w:hAnsi="仿宋" w:eastAsia="仿宋" w:cs="仿宋"/>
                <w:sz w:val="24"/>
                <w:szCs w:val="24"/>
                <w:lang w:eastAsia="zh-CN"/>
              </w:rPr>
              <w:t>并提供</w:t>
            </w:r>
            <w:r>
              <w:rPr>
                <w:rFonts w:hint="eastAsia" w:ascii="仿宋" w:hAnsi="仿宋" w:eastAsia="仿宋" w:cs="仿宋"/>
                <w:sz w:val="24"/>
                <w:szCs w:val="24"/>
                <w:lang w:val="en-US" w:eastAsia="zh-CN"/>
              </w:rPr>
              <w:t>业绩</w:t>
            </w:r>
            <w:r>
              <w:rPr>
                <w:rFonts w:hint="eastAsia" w:ascii="仿宋" w:hAnsi="仿宋" w:eastAsia="仿宋" w:cs="仿宋"/>
                <w:sz w:val="24"/>
                <w:szCs w:val="24"/>
                <w:lang w:eastAsia="zh-CN"/>
              </w:rPr>
              <w:t>佐证（</w:t>
            </w:r>
            <w:r>
              <w:rPr>
                <w:rFonts w:hint="eastAsia" w:ascii="仿宋" w:hAnsi="仿宋" w:eastAsia="仿宋" w:cs="仿宋"/>
                <w:sz w:val="24"/>
                <w:szCs w:val="24"/>
                <w:lang w:val="en-US" w:eastAsia="zh-CN"/>
              </w:rPr>
              <w:t>如</w:t>
            </w:r>
            <w:r>
              <w:rPr>
                <w:rFonts w:hint="eastAsia" w:ascii="仿宋" w:hAnsi="仿宋" w:eastAsia="仿宋" w:cs="仿宋"/>
                <w:sz w:val="24"/>
                <w:szCs w:val="24"/>
                <w:lang w:eastAsia="zh-CN"/>
              </w:rPr>
              <w:t>采购协议</w:t>
            </w:r>
            <w:r>
              <w:rPr>
                <w:rFonts w:hint="eastAsia" w:ascii="仿宋" w:hAnsi="仿宋" w:eastAsia="仿宋" w:cs="仿宋"/>
                <w:sz w:val="24"/>
                <w:szCs w:val="24"/>
                <w:lang w:val="en-US" w:eastAsia="zh-CN"/>
              </w:rPr>
              <w:t>/合同</w:t>
            </w:r>
            <w:r>
              <w:rPr>
                <w:rFonts w:hint="eastAsia" w:ascii="仿宋" w:hAnsi="仿宋" w:eastAsia="仿宋" w:cs="仿宋"/>
                <w:sz w:val="24"/>
                <w:szCs w:val="24"/>
                <w:lang w:eastAsia="zh-CN"/>
              </w:rPr>
              <w:t>等证明材料）；</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具备基本的生产设备，满足基本生产条件；</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lang w:val="en-US" w:eastAsia="zh-CN" w:bidi="ar-SA"/>
              </w:rPr>
              <w:t>具备本项目响应产品的知识产权（专利或软著等）</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lang w:val="en-US" w:eastAsia="zh-CN"/>
              </w:rPr>
              <w:t>具备本项目响应产品的资质证书，如中国强制性产品认证证书、销售许可证、第三方测试报告等</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当我公司发生实质性需求时，如中选方需在本项目后续的签约和履行阶段需委托其代理商（经销商）实施的，必须在投标寻源响应截止时间前先以原厂邮箱进行邮件告知授权情况及代理商（经销商）基本信息，并在寻源响应阶段提供针对本次投标寻源相关代理商（经销商）唯一授权文件（原厂指定代理商（经销商）需与原厂为长期代理合作关系（提供本次寻源前已签订且处于有效期的一年及以上代理/授权协议、或为原厂指定对外公示期处于有效合作期的指定代理商合作伙伴），并提供额外证明材料），说明授权事项，并且被授权的经销商作为本次寻源响应方，提供报价文件、经制造商确认的产品技术资料和双方（制造商和被授权经销商）的公司简介、营业执照、企业资质等文件作为寻源响应文件。</w:t>
            </w:r>
          </w:p>
        </w:tc>
      </w:tr>
    </w:tbl>
    <w:p>
      <w:pPr>
        <w:numPr>
          <w:ilvl w:val="0"/>
          <w:numId w:val="0"/>
        </w:numPr>
        <w:spacing w:line="360" w:lineRule="auto"/>
        <w:ind w:leftChars="0"/>
        <w:outlineLvl w:val="9"/>
        <w:rPr>
          <w:rFonts w:hint="eastAsia" w:ascii="仿宋" w:hAnsi="仿宋" w:eastAsia="仿宋" w:cs="仿宋"/>
          <w:b/>
          <w:bCs/>
          <w:sz w:val="24"/>
          <w:szCs w:val="24"/>
          <w:lang w:val="en-US" w:eastAsia="zh-CN"/>
        </w:rPr>
      </w:pPr>
    </w:p>
    <w:p>
      <w:pPr>
        <w:numPr>
          <w:ilvl w:val="0"/>
          <w:numId w:val="0"/>
        </w:numPr>
        <w:spacing w:line="360" w:lineRule="auto"/>
        <w:ind w:left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二、评审办法</w:t>
      </w:r>
    </w:p>
    <w:p>
      <w:pPr>
        <w:pStyle w:val="23"/>
        <w:adjustRightInd w:val="0"/>
        <w:snapToGrid w:val="0"/>
        <w:spacing w:line="360" w:lineRule="auto"/>
        <w:ind w:left="0" w:leftChars="0" w:firstLine="42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寻源评审组按照以下规定的方法、评审因素、标准和程序对响应文件进行评审。</w:t>
      </w:r>
    </w:p>
    <w:p>
      <w:pPr>
        <w:keepNext w:val="0"/>
        <w:keepLines w:val="0"/>
        <w:pageBreakBefore w:val="0"/>
        <w:widowControl w:val="0"/>
        <w:numPr>
          <w:ilvl w:val="0"/>
          <w:numId w:val="6"/>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寻源评审组对参与供应商提交的响应文件的有效性、完整性等进行确认。</w:t>
      </w:r>
    </w:p>
    <w:p>
      <w:pPr>
        <w:keepNext w:val="0"/>
        <w:keepLines w:val="0"/>
        <w:pageBreakBefore w:val="0"/>
        <w:widowControl w:val="0"/>
        <w:numPr>
          <w:ilvl w:val="0"/>
          <w:numId w:val="6"/>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寻源评审组对供应商的商务条件、技术条件和报价进行确认。</w:t>
      </w:r>
    </w:p>
    <w:p>
      <w:pPr>
        <w:keepNext w:val="0"/>
        <w:keepLines w:val="0"/>
        <w:pageBreakBefore w:val="0"/>
        <w:widowControl w:val="0"/>
        <w:numPr>
          <w:ilvl w:val="0"/>
          <w:numId w:val="6"/>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寻源评审组应对报价进行详细复核，包括检查是否有计算上的错误或报价范围上的错误。如发现有错误的，将进行修正。</w:t>
      </w:r>
    </w:p>
    <w:p>
      <w:pPr>
        <w:pStyle w:val="23"/>
        <w:adjustRightInd w:val="0"/>
        <w:snapToGrid w:val="0"/>
        <w:spacing w:line="360" w:lineRule="auto"/>
        <w:ind w:firstLine="48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报价错误修正的原则如下：</w:t>
      </w:r>
    </w:p>
    <w:p>
      <w:pPr>
        <w:keepNext w:val="0"/>
        <w:keepLines w:val="0"/>
        <w:pageBreakBefore w:val="0"/>
        <w:widowControl w:val="0"/>
        <w:numPr>
          <w:ilvl w:val="0"/>
          <w:numId w:val="7"/>
        </w:numPr>
        <w:tabs>
          <w:tab w:val="left" w:pos="840"/>
          <w:tab w:val="clear" w:pos="1260"/>
        </w:tabs>
        <w:kinsoku/>
        <w:wordWrap/>
        <w:overflowPunct/>
        <w:topLinePunct w:val="0"/>
        <w:autoSpaceDE/>
        <w:autoSpaceDN/>
        <w:bidi w:val="0"/>
        <w:adjustRightInd/>
        <w:snapToGrid/>
        <w:spacing w:line="360" w:lineRule="auto"/>
        <w:ind w:left="420" w:leftChars="0" w:firstLine="425"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总价金额与依据单价计算出的结果不一致的，以单价金额为准修正总价，但单价金额小数点有明显错误的除外。</w:t>
      </w:r>
    </w:p>
    <w:p>
      <w:pPr>
        <w:keepNext w:val="0"/>
        <w:keepLines w:val="0"/>
        <w:pageBreakBefore w:val="0"/>
        <w:widowControl w:val="0"/>
        <w:numPr>
          <w:ilvl w:val="0"/>
          <w:numId w:val="7"/>
        </w:numPr>
        <w:tabs>
          <w:tab w:val="left" w:pos="840"/>
          <w:tab w:val="clear" w:pos="1260"/>
        </w:tabs>
        <w:kinsoku/>
        <w:wordWrap/>
        <w:overflowPunct/>
        <w:topLinePunct w:val="0"/>
        <w:autoSpaceDE/>
        <w:autoSpaceDN/>
        <w:bidi w:val="0"/>
        <w:adjustRightInd/>
        <w:snapToGrid/>
        <w:spacing w:line="360" w:lineRule="auto"/>
        <w:ind w:left="420" w:leftChars="0" w:firstLine="425"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如果用数字表示的金额与用文字表示的金额不一致，应以文字表示的金额为准。</w:t>
      </w:r>
    </w:p>
    <w:p>
      <w:pPr>
        <w:adjustRightInd w:val="0"/>
        <w:snapToGrid w:val="0"/>
        <w:spacing w:line="360" w:lineRule="auto"/>
        <w:ind w:firstLine="420" w:firstLineChars="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在评</w:t>
      </w:r>
      <w:r>
        <w:rPr>
          <w:rFonts w:hint="eastAsia" w:ascii="仿宋" w:hAnsi="仿宋" w:eastAsia="仿宋" w:cs="仿宋"/>
          <w:color w:val="000000"/>
          <w:kern w:val="0"/>
          <w:sz w:val="24"/>
          <w:szCs w:val="24"/>
          <w:lang w:val="en-US" w:eastAsia="zh-CN"/>
        </w:rPr>
        <w:t>审</w:t>
      </w:r>
      <w:r>
        <w:rPr>
          <w:rFonts w:hint="eastAsia" w:ascii="仿宋" w:hAnsi="仿宋" w:eastAsia="仿宋" w:cs="仿宋"/>
          <w:color w:val="000000"/>
          <w:kern w:val="0"/>
          <w:sz w:val="24"/>
          <w:szCs w:val="24"/>
        </w:rPr>
        <w:t>过程中，寻源评审组可以书面形式要求参与供应商对所提交响应文件中不明确的内容进行书面澄清或说明，或者对细微偏差进行补正。寻源评审组要求参与供应商提供的澄清文件作为响应文件的组成部分。</w:t>
      </w:r>
    </w:p>
    <w:p>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color w:val="000000"/>
          <w:sz w:val="24"/>
          <w:szCs w:val="24"/>
        </w:rPr>
        <w:t>初审项列表如下：</w:t>
      </w:r>
      <w:bookmarkStart w:id="6" w:name="XmInfoEntity_cbscTable_1_1"/>
    </w:p>
    <w:tbl>
      <w:tblPr>
        <w:tblStyle w:val="25"/>
        <w:tblW w:w="9175" w:type="dxa"/>
        <w:jc w:val="center"/>
        <w:tblLayout w:type="fixed"/>
        <w:tblCellMar>
          <w:top w:w="0" w:type="dxa"/>
          <w:left w:w="0" w:type="dxa"/>
          <w:bottom w:w="0" w:type="dxa"/>
          <w:right w:w="0" w:type="dxa"/>
        </w:tblCellMar>
      </w:tblPr>
      <w:tblGrid>
        <w:gridCol w:w="687"/>
        <w:gridCol w:w="1445"/>
        <w:gridCol w:w="7043"/>
      </w:tblGrid>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初评要素</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详细内容</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初评要素1</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rPr>
              <w:t>1.1  报价文件格式是否满足寻源文件要求（主要审查：报价文件的签署以及法人代表授权书等）</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初评要素2</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rPr>
              <w:t>2.1  质量</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服务</w:t>
            </w:r>
            <w:r>
              <w:rPr>
                <w:rFonts w:hint="eastAsia" w:ascii="仿宋" w:hAnsi="仿宋" w:eastAsia="仿宋" w:cs="仿宋"/>
                <w:sz w:val="24"/>
                <w:szCs w:val="24"/>
                <w:highlight w:val="none"/>
                <w:lang w:val="en-US" w:eastAsia="zh-CN"/>
              </w:rPr>
              <w:t>和工期</w:t>
            </w:r>
            <w:r>
              <w:rPr>
                <w:rFonts w:hint="eastAsia" w:ascii="仿宋" w:hAnsi="仿宋" w:eastAsia="仿宋" w:cs="仿宋"/>
                <w:sz w:val="24"/>
                <w:szCs w:val="24"/>
                <w:highlight w:val="none"/>
              </w:rPr>
              <w:t>是否满足要求</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初评要素3</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rPr>
              <w:t>3.1  是否存在“无效报价”的情形</w:t>
            </w:r>
          </w:p>
        </w:tc>
      </w:tr>
      <w:tr>
        <w:tblPrEx>
          <w:tblCellMar>
            <w:top w:w="0" w:type="dxa"/>
            <w:left w:w="0" w:type="dxa"/>
            <w:bottom w:w="0" w:type="dxa"/>
            <w:right w:w="0" w:type="dxa"/>
          </w:tblCellMar>
        </w:tblPrEx>
        <w:trPr>
          <w:trHeight w:val="64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初评要素4</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rPr>
              <w:t>4.1  报价是否合理且在最高限价范围内</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初评要素5</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rPr>
              <w:t>5.1  具有独立承担民事责任的能力</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lang w:eastAsia="zh-CN"/>
              </w:rPr>
            </w:pPr>
            <w:r>
              <w:rPr>
                <w:rFonts w:hint="eastAsia" w:ascii="仿宋" w:hAnsi="仿宋" w:eastAsia="仿宋" w:cs="仿宋"/>
                <w:sz w:val="24"/>
                <w:szCs w:val="24"/>
              </w:rPr>
              <w:t>初评要素</w:t>
            </w:r>
            <w:r>
              <w:rPr>
                <w:rFonts w:hint="eastAsia" w:ascii="仿宋" w:hAnsi="仿宋" w:eastAsia="仿宋" w:cs="仿宋"/>
                <w:sz w:val="24"/>
                <w:szCs w:val="24"/>
                <w:lang w:val="en-US" w:eastAsia="zh-CN"/>
              </w:rPr>
              <w:t>6</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.1  按报价文件要求提供有效的营业执照（组织机构代码证、税务登记证）等相关证书的复印件</w:t>
            </w:r>
          </w:p>
        </w:tc>
      </w:tr>
      <w:bookmarkEnd w:id="6"/>
    </w:tbl>
    <w:p>
      <w:pPr>
        <w:pStyle w:val="23"/>
        <w:adjustRightInd w:val="0"/>
        <w:snapToGrid w:val="0"/>
        <w:spacing w:before="156" w:line="360" w:lineRule="auto"/>
        <w:ind w:firstLine="480"/>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详细评审</w:t>
      </w:r>
      <w:r>
        <w:rPr>
          <w:rFonts w:hint="eastAsia" w:ascii="仿宋" w:hAnsi="仿宋" w:eastAsia="仿宋" w:cs="仿宋"/>
          <w:color w:val="000000"/>
          <w:sz w:val="24"/>
          <w:szCs w:val="24"/>
          <w:lang w:eastAsia="zh-CN"/>
        </w:rPr>
        <w:t>：</w:t>
      </w:r>
    </w:p>
    <w:p>
      <w:pPr>
        <w:keepNext w:val="0"/>
        <w:keepLines w:val="0"/>
        <w:pageBreakBefore w:val="0"/>
        <w:widowControl w:val="0"/>
        <w:numPr>
          <w:ilvl w:val="0"/>
          <w:numId w:val="8"/>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寻源评审组按照寻源文件的详细评审要素，对应邀供应商提交的响应文件进行技术、商务详细评审，详见技术商务评审要素。</w:t>
      </w:r>
    </w:p>
    <w:p>
      <w:pPr>
        <w:keepNext w:val="0"/>
        <w:keepLines w:val="0"/>
        <w:pageBreakBefore w:val="0"/>
        <w:widowControl w:val="0"/>
        <w:numPr>
          <w:ilvl w:val="0"/>
          <w:numId w:val="8"/>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价格评分前应对各应邀供应商的最终报价进行详细复核，检查是否有计算上的错误或报价范围上的错误。如未发现错误，则该报价作为最后的评审价格，如发现错误，将进行修正，修正后的价格作为最后的评审价格。应邀供应商不接受修正价格的，采购工作组会应当否决其报价。</w:t>
      </w:r>
    </w:p>
    <w:p>
      <w:pPr>
        <w:pStyle w:val="23"/>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报价错误修正的原则如下：</w:t>
      </w:r>
    </w:p>
    <w:p>
      <w:pPr>
        <w:keepNext w:val="0"/>
        <w:keepLines w:val="0"/>
        <w:pageBreakBefore w:val="0"/>
        <w:widowControl w:val="0"/>
        <w:numPr>
          <w:ilvl w:val="0"/>
          <w:numId w:val="9"/>
        </w:numPr>
        <w:tabs>
          <w:tab w:val="left" w:pos="840"/>
          <w:tab w:val="clear" w:pos="1260"/>
        </w:tabs>
        <w:kinsoku/>
        <w:wordWrap/>
        <w:overflowPunct/>
        <w:topLinePunct w:val="0"/>
        <w:autoSpaceDE/>
        <w:autoSpaceDN/>
        <w:bidi w:val="0"/>
        <w:adjustRightInd/>
        <w:snapToGrid/>
        <w:spacing w:line="360" w:lineRule="auto"/>
        <w:ind w:left="420" w:leftChars="0" w:firstLine="425"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总价金额与依据单价计算出的结果不一致的，以单价金额为准修正总价，但单价金额小数点有明显错误的除外。</w:t>
      </w:r>
    </w:p>
    <w:p>
      <w:pPr>
        <w:keepNext w:val="0"/>
        <w:keepLines w:val="0"/>
        <w:pageBreakBefore w:val="0"/>
        <w:widowControl w:val="0"/>
        <w:numPr>
          <w:ilvl w:val="0"/>
          <w:numId w:val="9"/>
        </w:numPr>
        <w:tabs>
          <w:tab w:val="left" w:pos="840"/>
          <w:tab w:val="clear" w:pos="1260"/>
        </w:tabs>
        <w:kinsoku/>
        <w:wordWrap/>
        <w:overflowPunct/>
        <w:topLinePunct w:val="0"/>
        <w:autoSpaceDE/>
        <w:autoSpaceDN/>
        <w:bidi w:val="0"/>
        <w:adjustRightInd/>
        <w:snapToGrid/>
        <w:spacing w:line="360" w:lineRule="auto"/>
        <w:ind w:left="420" w:leftChars="0" w:firstLine="425"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如果用数字表示的金额与用文字表示的金额不一致，应以文字表示的金额为准。</w:t>
      </w:r>
    </w:p>
    <w:p>
      <w:pPr>
        <w:keepNext w:val="0"/>
        <w:keepLines w:val="0"/>
        <w:pageBreakBefore w:val="0"/>
        <w:widowControl w:val="0"/>
        <w:numPr>
          <w:ilvl w:val="0"/>
          <w:numId w:val="8"/>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技术、商务、价格评审要素</w:t>
      </w:r>
    </w:p>
    <w:tbl>
      <w:tblPr>
        <w:tblStyle w:val="25"/>
        <w:tblW w:w="9143" w:type="dxa"/>
        <w:jc w:val="center"/>
        <w:tblLayout w:type="fixed"/>
        <w:tblCellMar>
          <w:top w:w="0" w:type="dxa"/>
          <w:left w:w="0" w:type="dxa"/>
          <w:bottom w:w="0" w:type="dxa"/>
          <w:right w:w="0" w:type="dxa"/>
        </w:tblCellMar>
      </w:tblPr>
      <w:tblGrid>
        <w:gridCol w:w="684"/>
        <w:gridCol w:w="1996"/>
        <w:gridCol w:w="2104"/>
        <w:gridCol w:w="4359"/>
      </w:tblGrid>
      <w:tr>
        <w:tblPrEx>
          <w:tblCellMar>
            <w:top w:w="0" w:type="dxa"/>
            <w:left w:w="0" w:type="dxa"/>
            <w:bottom w:w="0" w:type="dxa"/>
            <w:right w:w="0" w:type="dxa"/>
          </w:tblCellMar>
        </w:tblPrEx>
        <w:trPr>
          <w:trHeight w:val="216" w:hRule="atLeast"/>
          <w:jc w:val="center"/>
        </w:trPr>
        <w:tc>
          <w:tcPr>
            <w:tcW w:w="9143" w:type="dxa"/>
            <w:gridSpan w:val="4"/>
            <w:tcBorders>
              <w:top w:val="single" w:color="auto" w:sz="4" w:space="0"/>
              <w:left w:val="single" w:color="auto" w:sz="4" w:space="0"/>
              <w:bottom w:val="single" w:color="auto" w:sz="4" w:space="0"/>
              <w:right w:val="single" w:color="000000" w:sz="6" w:space="0"/>
            </w:tcBorders>
            <w:shd w:val="clear" w:color="auto" w:fill="FFFFFF"/>
            <w:noWrap w:val="0"/>
            <w:vAlign w:val="center"/>
          </w:tcPr>
          <w:p>
            <w:pPr>
              <w:spacing w:line="360" w:lineRule="auto"/>
              <w:jc w:val="left"/>
              <w:rPr>
                <w:rFonts w:hint="eastAsia"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技术</w:t>
            </w:r>
            <w:r>
              <w:rPr>
                <w:rFonts w:hint="eastAsia" w:ascii="仿宋" w:hAnsi="仿宋" w:eastAsia="仿宋" w:cs="仿宋"/>
                <w:b/>
                <w:bCs/>
                <w:sz w:val="24"/>
                <w:szCs w:val="24"/>
              </w:rPr>
              <w:t>评审</w:t>
            </w:r>
          </w:p>
        </w:tc>
      </w:tr>
      <w:tr>
        <w:tblPrEx>
          <w:tblCellMar>
            <w:top w:w="0" w:type="dxa"/>
            <w:left w:w="0" w:type="dxa"/>
            <w:bottom w:w="0" w:type="dxa"/>
            <w:right w:w="0" w:type="dxa"/>
          </w:tblCellMar>
        </w:tblPrEx>
        <w:trPr>
          <w:trHeight w:val="216"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序号</w:t>
            </w:r>
          </w:p>
        </w:tc>
        <w:tc>
          <w:tcPr>
            <w:tcW w:w="19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评审要素</w:t>
            </w:r>
          </w:p>
        </w:tc>
        <w:tc>
          <w:tcPr>
            <w:tcW w:w="2104" w:type="dxa"/>
            <w:tcBorders>
              <w:top w:val="single" w:color="000000" w:sz="6" w:space="0"/>
              <w:left w:val="single" w:color="auto" w:sz="4"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详细评审项</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技术详细评审分项要素</w:t>
            </w:r>
          </w:p>
        </w:tc>
      </w:tr>
      <w:tr>
        <w:tblPrEx>
          <w:tblCellMar>
            <w:top w:w="0" w:type="dxa"/>
            <w:left w:w="0" w:type="dxa"/>
            <w:bottom w:w="0" w:type="dxa"/>
            <w:right w:w="0" w:type="dxa"/>
          </w:tblCellMar>
        </w:tblPrEx>
        <w:trPr>
          <w:trHeight w:val="480"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19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技术参数响应情况</w:t>
            </w:r>
          </w:p>
        </w:tc>
        <w:tc>
          <w:tcPr>
            <w:tcW w:w="2104" w:type="dxa"/>
            <w:tcBorders>
              <w:top w:val="single" w:color="000000" w:sz="6" w:space="0"/>
              <w:left w:val="single" w:color="auto" w:sz="4"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技术参数响应情况</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供应商应</w:t>
            </w:r>
            <w:r>
              <w:rPr>
                <w:rFonts w:hint="eastAsia" w:ascii="仿宋" w:hAnsi="仿宋" w:eastAsia="仿宋" w:cs="仿宋"/>
                <w:sz w:val="24"/>
                <w:szCs w:val="24"/>
              </w:rPr>
              <w:t>满足本项目技术</w:t>
            </w:r>
            <w:r>
              <w:rPr>
                <w:rFonts w:hint="eastAsia" w:ascii="仿宋" w:hAnsi="仿宋" w:eastAsia="仿宋" w:cs="仿宋"/>
                <w:sz w:val="24"/>
                <w:szCs w:val="24"/>
                <w:lang w:val="en-US" w:eastAsia="zh-CN"/>
              </w:rPr>
              <w:t>参数要求</w:t>
            </w:r>
            <w:r>
              <w:rPr>
                <w:rFonts w:hint="eastAsia" w:ascii="仿宋" w:hAnsi="仿宋" w:eastAsia="仿宋" w:cs="仿宋"/>
                <w:sz w:val="24"/>
                <w:szCs w:val="24"/>
                <w:lang w:eastAsia="zh-CN"/>
              </w:rPr>
              <w:t>。</w:t>
            </w:r>
          </w:p>
        </w:tc>
      </w:tr>
      <w:tr>
        <w:tblPrEx>
          <w:tblCellMar>
            <w:top w:w="0" w:type="dxa"/>
            <w:left w:w="0" w:type="dxa"/>
            <w:bottom w:w="0" w:type="dxa"/>
            <w:right w:w="0" w:type="dxa"/>
          </w:tblCellMar>
        </w:tblPrEx>
        <w:trPr>
          <w:trHeight w:val="90" w:hRule="atLeast"/>
          <w:jc w:val="center"/>
        </w:trPr>
        <w:tc>
          <w:tcPr>
            <w:tcW w:w="9143" w:type="dxa"/>
            <w:gridSpan w:val="4"/>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jc w:val="left"/>
              <w:rPr>
                <w:rFonts w:hint="eastAsia" w:ascii="仿宋" w:hAnsi="仿宋" w:eastAsia="仿宋" w:cs="仿宋"/>
                <w:b/>
                <w:bCs/>
                <w:sz w:val="24"/>
                <w:szCs w:val="24"/>
              </w:rPr>
            </w:pPr>
            <w:r>
              <w:rPr>
                <w:rFonts w:hint="eastAsia" w:ascii="仿宋" w:hAnsi="仿宋" w:eastAsia="仿宋" w:cs="仿宋"/>
                <w:b/>
                <w:bCs/>
                <w:sz w:val="24"/>
                <w:szCs w:val="24"/>
              </w:rPr>
              <w:t>（二）、商务评审</w:t>
            </w:r>
          </w:p>
        </w:tc>
      </w:tr>
      <w:tr>
        <w:tblPrEx>
          <w:tblCellMar>
            <w:top w:w="0" w:type="dxa"/>
            <w:left w:w="0" w:type="dxa"/>
            <w:bottom w:w="0" w:type="dxa"/>
            <w:right w:w="0" w:type="dxa"/>
          </w:tblCellMar>
        </w:tblPrEx>
        <w:trPr>
          <w:trHeight w:val="90" w:hRule="atLeast"/>
          <w:jc w:val="center"/>
        </w:trPr>
        <w:tc>
          <w:tcPr>
            <w:tcW w:w="68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序号</w:t>
            </w:r>
          </w:p>
        </w:tc>
        <w:tc>
          <w:tcPr>
            <w:tcW w:w="199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评分要素</w:t>
            </w:r>
          </w:p>
        </w:tc>
        <w:tc>
          <w:tcPr>
            <w:tcW w:w="21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b/>
                <w:sz w:val="24"/>
                <w:szCs w:val="24"/>
              </w:rPr>
              <w:t>详细评审项</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b/>
                <w:sz w:val="24"/>
                <w:szCs w:val="24"/>
                <w:lang w:val="en-US" w:eastAsia="zh-CN"/>
              </w:rPr>
              <w:t>商务</w:t>
            </w:r>
            <w:r>
              <w:rPr>
                <w:rFonts w:hint="eastAsia" w:ascii="仿宋" w:hAnsi="仿宋" w:eastAsia="仿宋" w:cs="仿宋"/>
                <w:b/>
                <w:sz w:val="24"/>
                <w:szCs w:val="24"/>
              </w:rPr>
              <w:t>详细评审分项要素</w:t>
            </w:r>
          </w:p>
        </w:tc>
      </w:tr>
      <w:tr>
        <w:tblPrEx>
          <w:tblCellMar>
            <w:top w:w="0" w:type="dxa"/>
            <w:left w:w="0" w:type="dxa"/>
            <w:bottom w:w="0" w:type="dxa"/>
            <w:right w:w="0" w:type="dxa"/>
          </w:tblCellMar>
        </w:tblPrEx>
        <w:trPr>
          <w:trHeight w:val="208" w:hRule="atLeast"/>
          <w:jc w:val="center"/>
        </w:trPr>
        <w:tc>
          <w:tcPr>
            <w:tcW w:w="684" w:type="dxa"/>
            <w:vMerge w:val="restart"/>
            <w:tcBorders>
              <w:top w:val="single" w:color="000000" w:sz="6" w:space="0"/>
              <w:left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996" w:type="dxa"/>
            <w:vMerge w:val="restart"/>
            <w:tcBorders>
              <w:top w:val="single" w:color="000000" w:sz="6" w:space="0"/>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商务部分</w:t>
            </w:r>
          </w:p>
        </w:tc>
        <w:tc>
          <w:tcPr>
            <w:tcW w:w="21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质量管理体系认证</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具备质量管理体系认证有效证明文件。（如中选方需在本项目后续的签约和履行阶段需委托其经销商实施的，需同时提供原厂商及授权经销商质量管理体系认证有效证明文件。）</w:t>
            </w:r>
          </w:p>
        </w:tc>
      </w:tr>
      <w:tr>
        <w:tblPrEx>
          <w:tblCellMar>
            <w:top w:w="0" w:type="dxa"/>
            <w:left w:w="0" w:type="dxa"/>
            <w:bottom w:w="0" w:type="dxa"/>
            <w:right w:w="0" w:type="dxa"/>
          </w:tblCellMar>
        </w:tblPrEx>
        <w:trPr>
          <w:trHeight w:val="1113" w:hRule="atLeast"/>
          <w:jc w:val="center"/>
        </w:trPr>
        <w:tc>
          <w:tcPr>
            <w:tcW w:w="684" w:type="dxa"/>
            <w:vMerge w:val="continue"/>
            <w:tcBorders>
              <w:left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p>
        </w:tc>
        <w:tc>
          <w:tcPr>
            <w:tcW w:w="1996" w:type="dxa"/>
            <w:vMerge w:val="continue"/>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p>
        </w:tc>
        <w:tc>
          <w:tcPr>
            <w:tcW w:w="21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制造商授权和质保期内原厂售后服务承诺函</w:t>
            </w:r>
          </w:p>
          <w:p>
            <w:pPr>
              <w:tabs>
                <w:tab w:val="center" w:pos="1045"/>
              </w:tabs>
              <w:rPr>
                <w:rFonts w:hint="eastAsia" w:eastAsiaTheme="minorEastAsia"/>
                <w:lang w:eastAsia="zh-CN"/>
              </w:rPr>
            </w:pP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highlight w:val="none"/>
              </w:rPr>
              <w:t>制造商承诺本寻源项目中选后提供针对“华能澜沧江公司智慧水电厂建设提升项目（第一批）服务招标（采购编号：HNZB2026-07-3-291）</w:t>
            </w:r>
            <w:r>
              <w:rPr>
                <w:rFonts w:hint="eastAsia" w:ascii="仿宋" w:hAnsi="仿宋" w:eastAsia="仿宋" w:cs="仿宋"/>
                <w:color w:val="auto"/>
                <w:sz w:val="24"/>
                <w:szCs w:val="24"/>
                <w:highlight w:val="none"/>
                <w:lang w:val="en-US" w:eastAsia="zh-CN"/>
              </w:rPr>
              <w:t>”</w:t>
            </w:r>
            <w:r>
              <w:rPr>
                <w:rFonts w:hint="eastAsia" w:ascii="仿宋" w:hAnsi="仿宋" w:eastAsia="仿宋" w:cs="仿宋"/>
                <w:sz w:val="24"/>
                <w:szCs w:val="24"/>
                <w:highlight w:val="none"/>
              </w:rPr>
              <w:t>，设备制造商唯一有效授权和原厂售后服务承诺函，提供证明材料并盖制造商公章。</w:t>
            </w:r>
          </w:p>
        </w:tc>
      </w:tr>
      <w:tr>
        <w:tblPrEx>
          <w:tblCellMar>
            <w:top w:w="0" w:type="dxa"/>
            <w:left w:w="0" w:type="dxa"/>
            <w:bottom w:w="0" w:type="dxa"/>
            <w:right w:w="0" w:type="dxa"/>
          </w:tblCellMar>
        </w:tblPrEx>
        <w:trPr>
          <w:trHeight w:val="709" w:hRule="atLeast"/>
          <w:jc w:val="center"/>
        </w:trPr>
        <w:tc>
          <w:tcPr>
            <w:tcW w:w="684" w:type="dxa"/>
            <w:vMerge w:val="continue"/>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pPr>
          </w:p>
        </w:tc>
        <w:tc>
          <w:tcPr>
            <w:tcW w:w="1996" w:type="dxa"/>
            <w:vMerge w:val="continue"/>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pPr>
          </w:p>
        </w:tc>
        <w:tc>
          <w:tcPr>
            <w:tcW w:w="21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i w:val="0"/>
                <w:iCs w:val="0"/>
                <w:color w:val="000000" w:themeColor="text1"/>
                <w:sz w:val="24"/>
                <w:szCs w:val="24"/>
                <w:lang w:val="en-US" w:eastAsia="zh-CN"/>
                <w14:textFill>
                  <w14:solidFill>
                    <w14:schemeClr w14:val="tx1"/>
                  </w14:solidFill>
                </w14:textFill>
              </w:rPr>
            </w:pPr>
            <w:r>
              <w:rPr>
                <w:rFonts w:hint="eastAsia" w:ascii="仿宋" w:hAnsi="仿宋" w:eastAsia="仿宋" w:cs="仿宋"/>
                <w:sz w:val="24"/>
                <w:szCs w:val="24"/>
                <w:lang w:val="en-US" w:eastAsia="zh-CN"/>
              </w:rPr>
              <w:t>未使用美光公司产品（包括含有美光芯片的产品）的承诺函</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制造商提供未使用美光公司产品（包括含有美光芯片的产品）的承诺函。</w:t>
            </w:r>
          </w:p>
        </w:tc>
      </w:tr>
      <w:tr>
        <w:tblPrEx>
          <w:tblCellMar>
            <w:top w:w="0" w:type="dxa"/>
            <w:left w:w="0" w:type="dxa"/>
            <w:bottom w:w="0" w:type="dxa"/>
            <w:right w:w="0" w:type="dxa"/>
          </w:tblCellMar>
        </w:tblPrEx>
        <w:trPr>
          <w:trHeight w:val="709" w:hRule="atLeast"/>
          <w:jc w:val="center"/>
        </w:trPr>
        <w:tc>
          <w:tcPr>
            <w:tcW w:w="684" w:type="dxa"/>
            <w:vMerge w:val="continue"/>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pPr>
          </w:p>
        </w:tc>
        <w:tc>
          <w:tcPr>
            <w:tcW w:w="1996" w:type="dxa"/>
            <w:vMerge w:val="continue"/>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pPr>
          </w:p>
        </w:tc>
        <w:tc>
          <w:tcPr>
            <w:tcW w:w="21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themeColor="text1"/>
                <w:sz w:val="24"/>
                <w:szCs w:val="24"/>
                <w:lang w:val="en-US" w:eastAsia="zh-CN"/>
                <w14:textFill>
                  <w14:solidFill>
                    <w14:schemeClr w14:val="tx1"/>
                  </w14:solidFill>
                </w14:textFill>
              </w:rPr>
              <w:t>所提供产品满足自主可控要求</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sz w:val="24"/>
                <w:szCs w:val="24"/>
                <w:highlight w:val="none"/>
              </w:rPr>
              <w:t>制造商承诺</w:t>
            </w:r>
            <w:r>
              <w:rPr>
                <w:rFonts w:hint="eastAsia" w:ascii="仿宋" w:hAnsi="仿宋" w:eastAsia="仿宋" w:cs="仿宋"/>
                <w:i w:val="0"/>
                <w:iCs w:val="0"/>
                <w:color w:val="000000" w:themeColor="text1"/>
                <w:sz w:val="24"/>
                <w:szCs w:val="24"/>
                <w:highlight w:val="none"/>
                <w:lang w:val="en-US" w:eastAsia="zh-CN"/>
                <w14:textFill>
                  <w14:solidFill>
                    <w14:schemeClr w14:val="tx1"/>
                  </w14:solidFill>
                </w14:textFill>
              </w:rPr>
              <w:t>提供产品自主可控承诺函。</w:t>
            </w:r>
          </w:p>
        </w:tc>
      </w:tr>
      <w:tr>
        <w:tblPrEx>
          <w:tblCellMar>
            <w:top w:w="0" w:type="dxa"/>
            <w:left w:w="0" w:type="dxa"/>
            <w:bottom w:w="0" w:type="dxa"/>
            <w:right w:w="0" w:type="dxa"/>
          </w:tblCellMar>
        </w:tblPrEx>
        <w:trPr>
          <w:trHeight w:val="1180" w:hRule="atLeast"/>
          <w:jc w:val="center"/>
        </w:trPr>
        <w:tc>
          <w:tcPr>
            <w:tcW w:w="2680"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jc w:val="center"/>
              <w:rPr>
                <w:rFonts w:hint="eastAsia" w:ascii="仿宋" w:hAnsi="仿宋" w:eastAsia="仿宋" w:cs="仿宋"/>
                <w:b/>
                <w:sz w:val="24"/>
                <w:szCs w:val="24"/>
              </w:rPr>
            </w:pPr>
            <w:r>
              <w:rPr>
                <w:rFonts w:hint="eastAsia" w:ascii="仿宋" w:hAnsi="仿宋" w:eastAsia="仿宋" w:cs="仿宋"/>
                <w:b/>
                <w:sz w:val="24"/>
                <w:szCs w:val="24"/>
              </w:rPr>
              <w:t>技术、商务评审</w:t>
            </w:r>
          </w:p>
          <w:p>
            <w:pPr>
              <w:spacing w:line="360" w:lineRule="auto"/>
              <w:ind w:left="113"/>
              <w:jc w:val="center"/>
              <w:rPr>
                <w:rFonts w:hint="eastAsia" w:ascii="仿宋" w:hAnsi="仿宋" w:eastAsia="仿宋" w:cs="仿宋"/>
                <w:sz w:val="24"/>
                <w:szCs w:val="24"/>
              </w:rPr>
            </w:pPr>
            <w:r>
              <w:rPr>
                <w:rFonts w:hint="eastAsia" w:ascii="仿宋" w:hAnsi="仿宋" w:eastAsia="仿宋" w:cs="仿宋"/>
                <w:b/>
                <w:sz w:val="24"/>
                <w:szCs w:val="24"/>
              </w:rPr>
              <w:t>方法</w:t>
            </w:r>
          </w:p>
        </w:tc>
        <w:tc>
          <w:tcPr>
            <w:tcW w:w="6463"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jc w:val="both"/>
              <w:rPr>
                <w:rFonts w:hint="eastAsia" w:ascii="仿宋" w:hAnsi="仿宋" w:eastAsia="仿宋" w:cs="仿宋"/>
                <w:sz w:val="24"/>
                <w:szCs w:val="24"/>
              </w:rPr>
            </w:pPr>
            <w:r>
              <w:rPr>
                <w:rFonts w:hint="eastAsia" w:ascii="仿宋" w:hAnsi="仿宋" w:eastAsia="仿宋" w:cs="仿宋"/>
                <w:sz w:val="24"/>
                <w:szCs w:val="24"/>
              </w:rPr>
              <w:t>寻源评审专家对各供应商技术、商务应答进行逐项评审，不满足</w:t>
            </w:r>
            <w:r>
              <w:rPr>
                <w:rFonts w:hint="eastAsia" w:ascii="仿宋" w:hAnsi="仿宋" w:eastAsia="仿宋" w:cs="仿宋"/>
                <w:sz w:val="24"/>
                <w:szCs w:val="24"/>
                <w:lang w:eastAsia="zh-CN"/>
              </w:rPr>
              <w:t>投标</w:t>
            </w:r>
            <w:r>
              <w:rPr>
                <w:rFonts w:hint="eastAsia" w:ascii="仿宋" w:hAnsi="仿宋" w:eastAsia="仿宋" w:cs="仿宋"/>
                <w:sz w:val="24"/>
                <w:szCs w:val="24"/>
              </w:rPr>
              <w:t>寻源商务和技术条款（参数），其寻源响应将被拒绝，不进入下一步评审。</w:t>
            </w:r>
          </w:p>
        </w:tc>
      </w:tr>
      <w:tr>
        <w:tblPrEx>
          <w:tblCellMar>
            <w:top w:w="0" w:type="dxa"/>
            <w:left w:w="0" w:type="dxa"/>
            <w:bottom w:w="0" w:type="dxa"/>
            <w:right w:w="0" w:type="dxa"/>
          </w:tblCellMar>
        </w:tblPrEx>
        <w:trPr>
          <w:trHeight w:val="90" w:hRule="atLeast"/>
          <w:jc w:val="center"/>
        </w:trPr>
        <w:tc>
          <w:tcPr>
            <w:tcW w:w="9143" w:type="dxa"/>
            <w:gridSpan w:val="4"/>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spacing w:line="360" w:lineRule="auto"/>
              <w:ind w:left="113"/>
              <w:rPr>
                <w:rFonts w:hint="eastAsia" w:ascii="仿宋" w:hAnsi="仿宋" w:eastAsia="仿宋" w:cs="仿宋"/>
                <w:sz w:val="24"/>
                <w:szCs w:val="24"/>
              </w:rPr>
            </w:pPr>
            <w:r>
              <w:rPr>
                <w:rFonts w:hint="eastAsia" w:ascii="仿宋" w:hAnsi="仿宋" w:eastAsia="仿宋" w:cs="仿宋"/>
                <w:b/>
                <w:sz w:val="24"/>
                <w:szCs w:val="24"/>
              </w:rPr>
              <w:t>（</w:t>
            </w:r>
            <w:r>
              <w:rPr>
                <w:rFonts w:hint="eastAsia" w:ascii="仿宋" w:hAnsi="仿宋" w:eastAsia="仿宋" w:cs="仿宋"/>
                <w:b/>
                <w:sz w:val="24"/>
                <w:szCs w:val="24"/>
                <w:lang w:val="en-US" w:eastAsia="zh-CN"/>
              </w:rPr>
              <w:t>三</w:t>
            </w:r>
            <w:r>
              <w:rPr>
                <w:rFonts w:hint="eastAsia" w:ascii="仿宋" w:hAnsi="仿宋" w:eastAsia="仿宋" w:cs="仿宋"/>
                <w:b/>
                <w:sz w:val="24"/>
                <w:szCs w:val="24"/>
              </w:rPr>
              <w:t>）、价格评审</w:t>
            </w:r>
          </w:p>
        </w:tc>
      </w:tr>
      <w:tr>
        <w:tblPrEx>
          <w:tblCellMar>
            <w:top w:w="0" w:type="dxa"/>
            <w:left w:w="0" w:type="dxa"/>
            <w:bottom w:w="0" w:type="dxa"/>
            <w:right w:w="0" w:type="dxa"/>
          </w:tblCellMar>
        </w:tblPrEx>
        <w:trPr>
          <w:trHeight w:val="740" w:hRule="atLeast"/>
          <w:jc w:val="center"/>
        </w:trPr>
        <w:tc>
          <w:tcPr>
            <w:tcW w:w="2680"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rPr>
                <w:rFonts w:hint="eastAsia" w:ascii="仿宋" w:hAnsi="仿宋" w:eastAsia="仿宋" w:cs="仿宋"/>
                <w:sz w:val="24"/>
                <w:szCs w:val="24"/>
              </w:rPr>
            </w:pPr>
            <w:r>
              <w:rPr>
                <w:rFonts w:hint="eastAsia" w:ascii="仿宋" w:hAnsi="仿宋" w:eastAsia="仿宋" w:cs="仿宋"/>
                <w:b/>
                <w:sz w:val="24"/>
                <w:szCs w:val="24"/>
              </w:rPr>
              <w:t>价格评审名称</w:t>
            </w:r>
          </w:p>
        </w:tc>
        <w:tc>
          <w:tcPr>
            <w:tcW w:w="6463"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rPr>
                <w:rFonts w:hint="eastAsia" w:ascii="仿宋" w:hAnsi="仿宋" w:eastAsia="仿宋" w:cs="仿宋"/>
                <w:sz w:val="24"/>
                <w:szCs w:val="24"/>
              </w:rPr>
            </w:pPr>
            <w:r>
              <w:rPr>
                <w:rFonts w:hint="eastAsia" w:ascii="仿宋" w:hAnsi="仿宋" w:eastAsia="仿宋" w:cs="仿宋"/>
                <w:sz w:val="24"/>
                <w:szCs w:val="24"/>
                <w:u w:val="single"/>
                <w:lang w:val="en-US" w:eastAsia="zh-CN"/>
              </w:rPr>
              <w:t>最低价评估法。</w:t>
            </w:r>
            <w:r>
              <w:rPr>
                <w:rFonts w:hint="eastAsia" w:ascii="仿宋" w:hAnsi="仿宋" w:eastAsia="仿宋" w:cs="仿宋"/>
                <w:sz w:val="24"/>
                <w:szCs w:val="24"/>
              </w:rPr>
              <w:t>在商务、技术条款均满足寻源文件要求时，寻源响应价格最低者为推荐</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"https://baike.baidu.com/item/%E4%B8%AD%E6%A0%87%E4%BA%BA?fromModule=lemma_inlink" \t "https://baike.baidu.com/item/%E6%9C%80%E4%BD%8E%E8%AF%84%E6%A0%87%E4%BB%B7%E6%B3%95/_blank" </w:instrText>
            </w:r>
            <w:r>
              <w:rPr>
                <w:rFonts w:hint="eastAsia" w:ascii="仿宋" w:hAnsi="仿宋" w:eastAsia="仿宋" w:cs="仿宋"/>
                <w:sz w:val="24"/>
                <w:szCs w:val="24"/>
              </w:rPr>
              <w:fldChar w:fldCharType="separate"/>
            </w:r>
            <w:r>
              <w:rPr>
                <w:rFonts w:hint="eastAsia" w:ascii="仿宋" w:hAnsi="仿宋" w:eastAsia="仿宋" w:cs="仿宋"/>
                <w:sz w:val="24"/>
                <w:szCs w:val="24"/>
              </w:rPr>
              <w:t>中选人</w:t>
            </w:r>
            <w:r>
              <w:rPr>
                <w:rFonts w:hint="eastAsia" w:ascii="仿宋" w:hAnsi="仿宋" w:eastAsia="仿宋" w:cs="仿宋"/>
                <w:sz w:val="24"/>
                <w:szCs w:val="24"/>
              </w:rPr>
              <w:fldChar w:fldCharType="end"/>
            </w:r>
            <w:r>
              <w:rPr>
                <w:rFonts w:hint="eastAsia" w:ascii="仿宋" w:hAnsi="仿宋" w:eastAsia="仿宋" w:cs="仿宋"/>
                <w:sz w:val="24"/>
                <w:szCs w:val="24"/>
              </w:rPr>
              <w:t>。</w:t>
            </w:r>
          </w:p>
        </w:tc>
      </w:tr>
    </w:tbl>
    <w:p>
      <w:pPr>
        <w:pStyle w:val="23"/>
        <w:spacing w:line="360" w:lineRule="auto"/>
        <w:ind w:firstLine="0" w:firstLineChars="0"/>
        <w:rPr>
          <w:rFonts w:hint="eastAsia" w:ascii="仿宋" w:hAnsi="仿宋" w:eastAsia="仿宋" w:cs="仿宋"/>
          <w:b/>
          <w:bCs/>
          <w:color w:val="0000FF"/>
          <w:kern w:val="2"/>
          <w:sz w:val="24"/>
          <w:szCs w:val="24"/>
          <w:highlight w:val="none"/>
          <w:u w:val="single"/>
          <w:lang w:val="en-US" w:eastAsia="zh-CN" w:bidi="ar-SA"/>
        </w:rPr>
      </w:pPr>
      <w:r>
        <w:rPr>
          <w:rFonts w:hint="eastAsia" w:ascii="仿宋" w:hAnsi="仿宋" w:eastAsia="仿宋" w:cs="仿宋"/>
          <w:b/>
          <w:bCs/>
          <w:color w:val="0000FF"/>
          <w:kern w:val="2"/>
          <w:sz w:val="24"/>
          <w:szCs w:val="24"/>
          <w:highlight w:val="none"/>
          <w:u w:val="single"/>
          <w:lang w:val="en-US" w:eastAsia="zh-CN" w:bidi="ar-SA"/>
        </w:rPr>
        <w:t>评分办法名称：最低价评估法</w:t>
      </w:r>
    </w:p>
    <w:p>
      <w:pPr>
        <w:numPr>
          <w:ilvl w:val="0"/>
          <w:numId w:val="10"/>
        </w:numPr>
        <w:spacing w:line="360" w:lineRule="auto"/>
        <w:ind w:left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技术参数偏离表（见附件）</w:t>
      </w:r>
    </w:p>
    <w:p>
      <w:pPr>
        <w:spacing w:line="360" w:lineRule="auto"/>
        <w:rPr>
          <w:rFonts w:hint="eastAsia"/>
          <w:lang w:val="en-US" w:eastAsia="zh-CN"/>
        </w:rPr>
      </w:pPr>
      <w:r>
        <w:rPr>
          <w:rFonts w:hint="eastAsia" w:ascii="仿宋" w:hAnsi="仿宋" w:eastAsia="仿宋" w:cs="仿宋"/>
          <w:i/>
          <w:iCs/>
          <w:color w:val="0000FF"/>
          <w:kern w:val="0"/>
          <w:sz w:val="24"/>
          <w:szCs w:val="24"/>
          <w:u w:val="single"/>
          <w:lang w:val="en-US" w:eastAsia="zh-CN" w:bidi="ar"/>
        </w:rPr>
        <w:t>（说明：需提供盖章版技术参数偏离响应表。）</w:t>
      </w:r>
    </w:p>
    <w:p>
      <w:pPr>
        <w:pStyle w:val="24"/>
        <w:spacing w:line="360" w:lineRule="auto"/>
        <w:ind w:left="0" w:leftChars="0" w:firstLine="0" w:firstLineChars="0"/>
        <w:rPr>
          <w:rFonts w:hint="eastAsia" w:ascii="仿宋" w:hAnsi="仿宋" w:eastAsia="仿宋" w:cs="仿宋"/>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CBD24411-EAE4-414F-B033-12B4D7C0D0FE}"/>
  </w:font>
  <w:font w:name="仿宋_GB2312">
    <w:panose1 w:val="02010609030101010101"/>
    <w:charset w:val="86"/>
    <w:family w:val="auto"/>
    <w:pitch w:val="default"/>
    <w:sig w:usb0="00000001" w:usb1="080E0000" w:usb2="00000000" w:usb3="00000000" w:csb0="00040000" w:csb1="00000000"/>
    <w:embedRegular r:id="rId2" w:fontKey="{F1EBF6B5-EB57-4A63-91B5-704AEEB43D23}"/>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B30766"/>
    <w:multiLevelType w:val="singleLevel"/>
    <w:tmpl w:val="94B30766"/>
    <w:lvl w:ilvl="0" w:tentative="0">
      <w:start w:val="1"/>
      <w:numFmt w:val="decimal"/>
      <w:suff w:val="nothing"/>
      <w:lvlText w:val="%1、"/>
      <w:lvlJc w:val="left"/>
      <w:pPr>
        <w:ind w:left="0" w:leftChars="0" w:firstLine="482" w:firstLineChars="0"/>
      </w:pPr>
      <w:rPr>
        <w:rFonts w:hint="default" w:ascii="宋体" w:hAnsi="宋体" w:eastAsia="宋体" w:cs="宋体"/>
        <w:sz w:val="22"/>
        <w:szCs w:val="22"/>
      </w:rPr>
    </w:lvl>
  </w:abstractNum>
  <w:abstractNum w:abstractNumId="1">
    <w:nsid w:val="9907126A"/>
    <w:multiLevelType w:val="multilevel"/>
    <w:tmpl w:val="9907126A"/>
    <w:lvl w:ilvl="0" w:tentative="0">
      <w:start w:val="1"/>
      <w:numFmt w:val="decimal"/>
      <w:pStyle w:val="3"/>
      <w:lvlText w:val="%1."/>
      <w:lvlJc w:val="left"/>
      <w:pPr>
        <w:ind w:left="432" w:hanging="432"/>
      </w:pPr>
      <w:rPr>
        <w:rFonts w:hint="default"/>
      </w:rPr>
    </w:lvl>
    <w:lvl w:ilvl="1" w:tentative="0">
      <w:start w:val="1"/>
      <w:numFmt w:val="decimal"/>
      <w:pStyle w:val="4"/>
      <w:suff w:val="space"/>
      <w:lvlText w:val="%1.%2."/>
      <w:lvlJc w:val="left"/>
      <w:pPr>
        <w:ind w:left="575" w:hanging="575"/>
      </w:pPr>
      <w:rPr>
        <w:rFonts w:hint="default"/>
      </w:rPr>
    </w:lvl>
    <w:lvl w:ilvl="2" w:tentative="0">
      <w:start w:val="1"/>
      <w:numFmt w:val="decimal"/>
      <w:pStyle w:val="5"/>
      <w:suff w:val="space"/>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pStyle w:val="8"/>
      <w:lvlText w:val="%1.%2.%3.%4.%5.%6."/>
      <w:lvlJc w:val="left"/>
      <w:pPr>
        <w:ind w:left="1151" w:hanging="1151"/>
      </w:pPr>
      <w:rPr>
        <w:rFonts w:hint="default"/>
      </w:rPr>
    </w:lvl>
    <w:lvl w:ilvl="6" w:tentative="0">
      <w:start w:val="1"/>
      <w:numFmt w:val="decimal"/>
      <w:pStyle w:val="9"/>
      <w:lvlText w:val="%1.%2.%3.%4.%5.%6.%7."/>
      <w:lvlJc w:val="left"/>
      <w:pPr>
        <w:ind w:left="1296" w:hanging="1296"/>
      </w:pPr>
      <w:rPr>
        <w:rFonts w:hint="default"/>
      </w:rPr>
    </w:lvl>
    <w:lvl w:ilvl="7" w:tentative="0">
      <w:start w:val="1"/>
      <w:numFmt w:val="decimal"/>
      <w:pStyle w:val="10"/>
      <w:lvlText w:val="%1.%2.%3.%4.%5.%6.%7.%8."/>
      <w:lvlJc w:val="left"/>
      <w:pPr>
        <w:ind w:left="1440" w:hanging="1440"/>
      </w:pPr>
      <w:rPr>
        <w:rFonts w:hint="default"/>
      </w:rPr>
    </w:lvl>
    <w:lvl w:ilvl="8" w:tentative="0">
      <w:start w:val="1"/>
      <w:numFmt w:val="decimal"/>
      <w:pStyle w:val="11"/>
      <w:lvlText w:val="%1.%2.%3.%4.%5.%6.%7.%8.%9."/>
      <w:lvlJc w:val="left"/>
      <w:pPr>
        <w:ind w:left="1583" w:hanging="1583"/>
      </w:pPr>
      <w:rPr>
        <w:rFonts w:hint="default"/>
      </w:rPr>
    </w:lvl>
  </w:abstractNum>
  <w:abstractNum w:abstractNumId="2">
    <w:nsid w:val="A4FF484D"/>
    <w:multiLevelType w:val="singleLevel"/>
    <w:tmpl w:val="A4FF484D"/>
    <w:lvl w:ilvl="0" w:tentative="0">
      <w:start w:val="1"/>
      <w:numFmt w:val="decimal"/>
      <w:suff w:val="nothing"/>
      <w:lvlText w:val="%1、"/>
      <w:lvlJc w:val="left"/>
      <w:pPr>
        <w:ind w:left="0" w:leftChars="0" w:firstLine="482" w:firstLineChars="0"/>
      </w:pPr>
      <w:rPr>
        <w:rFonts w:hint="default" w:ascii="宋体" w:hAnsi="宋体" w:eastAsia="宋体" w:cs="宋体"/>
        <w:sz w:val="22"/>
        <w:szCs w:val="22"/>
      </w:rPr>
    </w:lvl>
  </w:abstractNum>
  <w:abstractNum w:abstractNumId="3">
    <w:nsid w:val="CD4F3C64"/>
    <w:multiLevelType w:val="singleLevel"/>
    <w:tmpl w:val="CD4F3C64"/>
    <w:lvl w:ilvl="0" w:tentative="0">
      <w:start w:val="1"/>
      <w:numFmt w:val="decimal"/>
      <w:lvlText w:val="(%1)"/>
      <w:lvlJc w:val="left"/>
      <w:pPr>
        <w:tabs>
          <w:tab w:val="left" w:pos="1260"/>
        </w:tabs>
        <w:ind w:left="1685" w:hanging="425"/>
      </w:pPr>
      <w:rPr>
        <w:rFonts w:hint="default"/>
      </w:rPr>
    </w:lvl>
  </w:abstractNum>
  <w:abstractNum w:abstractNumId="4">
    <w:nsid w:val="DCD655E9"/>
    <w:multiLevelType w:val="singleLevel"/>
    <w:tmpl w:val="DCD655E9"/>
    <w:lvl w:ilvl="0" w:tentative="0">
      <w:start w:val="1"/>
      <w:numFmt w:val="decimal"/>
      <w:suff w:val="nothing"/>
      <w:lvlText w:val="%1、"/>
      <w:lvlJc w:val="left"/>
      <w:pPr>
        <w:ind w:left="1350" w:hanging="450"/>
      </w:pPr>
      <w:rPr>
        <w:rFonts w:hint="default"/>
        <w:sz w:val="22"/>
        <w:szCs w:val="22"/>
      </w:rPr>
    </w:lvl>
  </w:abstractNum>
  <w:abstractNum w:abstractNumId="5">
    <w:nsid w:val="F448C7D1"/>
    <w:multiLevelType w:val="singleLevel"/>
    <w:tmpl w:val="F448C7D1"/>
    <w:lvl w:ilvl="0" w:tentative="0">
      <w:start w:val="3"/>
      <w:numFmt w:val="chineseCounting"/>
      <w:suff w:val="nothing"/>
      <w:lvlText w:val="%1、"/>
      <w:lvlJc w:val="left"/>
      <w:rPr>
        <w:rFonts w:hint="eastAsia"/>
      </w:rPr>
    </w:lvl>
  </w:abstractNum>
  <w:abstractNum w:abstractNumId="6">
    <w:nsid w:val="FADF068A"/>
    <w:multiLevelType w:val="singleLevel"/>
    <w:tmpl w:val="FADF068A"/>
    <w:lvl w:ilvl="0" w:tentative="0">
      <w:start w:val="1"/>
      <w:numFmt w:val="decimal"/>
      <w:lvlText w:val="(%1)"/>
      <w:lvlJc w:val="left"/>
      <w:pPr>
        <w:tabs>
          <w:tab w:val="left" w:pos="1260"/>
        </w:tabs>
        <w:ind w:left="1685" w:hanging="425"/>
      </w:pPr>
      <w:rPr>
        <w:rFonts w:hint="default"/>
      </w:rPr>
    </w:lvl>
  </w:abstractNum>
  <w:abstractNum w:abstractNumId="7">
    <w:nsid w:val="09671B4A"/>
    <w:multiLevelType w:val="singleLevel"/>
    <w:tmpl w:val="09671B4A"/>
    <w:lvl w:ilvl="0" w:tentative="0">
      <w:start w:val="2"/>
      <w:numFmt w:val="decimal"/>
      <w:suff w:val="nothing"/>
      <w:lvlText w:val="%1、"/>
      <w:lvlJc w:val="left"/>
    </w:lvl>
  </w:abstractNum>
  <w:abstractNum w:abstractNumId="8">
    <w:nsid w:val="2BACDB66"/>
    <w:multiLevelType w:val="singleLevel"/>
    <w:tmpl w:val="2BACDB66"/>
    <w:lvl w:ilvl="0" w:tentative="0">
      <w:start w:val="1"/>
      <w:numFmt w:val="chineseCounting"/>
      <w:suff w:val="space"/>
      <w:lvlText w:val="%1、"/>
      <w:lvlJc w:val="left"/>
      <w:pPr>
        <w:ind w:left="0" w:firstLine="0"/>
      </w:pPr>
      <w:rPr>
        <w:rFonts w:hint="eastAsia"/>
      </w:rPr>
    </w:lvl>
  </w:abstractNum>
  <w:abstractNum w:abstractNumId="9">
    <w:nsid w:val="74C5B661"/>
    <w:multiLevelType w:val="singleLevel"/>
    <w:tmpl w:val="74C5B661"/>
    <w:lvl w:ilvl="0" w:tentative="0">
      <w:start w:val="1"/>
      <w:numFmt w:val="decimal"/>
      <w:suff w:val="nothing"/>
      <w:lvlText w:val="%1、"/>
      <w:lvlJc w:val="left"/>
      <w:pPr>
        <w:ind w:left="0" w:leftChars="0" w:firstLine="482" w:firstLineChars="0"/>
      </w:pPr>
      <w:rPr>
        <w:rFonts w:hint="default" w:ascii="宋体" w:hAnsi="宋体" w:eastAsia="宋体" w:cs="宋体"/>
        <w:sz w:val="22"/>
        <w:szCs w:val="22"/>
      </w:rPr>
    </w:lvl>
  </w:abstractNum>
  <w:num w:numId="1">
    <w:abstractNumId w:val="1"/>
  </w:num>
  <w:num w:numId="2">
    <w:abstractNumId w:val="8"/>
  </w:num>
  <w:num w:numId="3">
    <w:abstractNumId w:val="0"/>
  </w:num>
  <w:num w:numId="4">
    <w:abstractNumId w:val="9"/>
  </w:num>
  <w:num w:numId="5">
    <w:abstractNumId w:val="7"/>
  </w:num>
  <w:num w:numId="6">
    <w:abstractNumId w:val="2"/>
  </w:num>
  <w:num w:numId="7">
    <w:abstractNumId w:val="3"/>
  </w:num>
  <w:num w:numId="8">
    <w:abstractNumId w:val="4"/>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615FE"/>
    <w:rsid w:val="052B53BF"/>
    <w:rsid w:val="05A61FF7"/>
    <w:rsid w:val="05B1344A"/>
    <w:rsid w:val="05CD222A"/>
    <w:rsid w:val="05D754E1"/>
    <w:rsid w:val="06280796"/>
    <w:rsid w:val="066550DF"/>
    <w:rsid w:val="066B6A19"/>
    <w:rsid w:val="06B855CD"/>
    <w:rsid w:val="07CF1F33"/>
    <w:rsid w:val="07EA0E72"/>
    <w:rsid w:val="087234E3"/>
    <w:rsid w:val="08760957"/>
    <w:rsid w:val="08B60D54"/>
    <w:rsid w:val="08D12FC0"/>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A2430D"/>
    <w:rsid w:val="0D1F336B"/>
    <w:rsid w:val="0D904269"/>
    <w:rsid w:val="0DBA12E6"/>
    <w:rsid w:val="0E135E91"/>
    <w:rsid w:val="0E6F20D1"/>
    <w:rsid w:val="0E896B03"/>
    <w:rsid w:val="0F657030"/>
    <w:rsid w:val="0FA364D6"/>
    <w:rsid w:val="0FBC6EC1"/>
    <w:rsid w:val="0FC70711"/>
    <w:rsid w:val="0FEA5585"/>
    <w:rsid w:val="115F642C"/>
    <w:rsid w:val="11872D38"/>
    <w:rsid w:val="11E179DF"/>
    <w:rsid w:val="120A209E"/>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5E86122"/>
    <w:rsid w:val="16007AB2"/>
    <w:rsid w:val="16023077"/>
    <w:rsid w:val="16A553E7"/>
    <w:rsid w:val="16BD6733"/>
    <w:rsid w:val="16D26743"/>
    <w:rsid w:val="16D44AE5"/>
    <w:rsid w:val="16E65167"/>
    <w:rsid w:val="16E8374B"/>
    <w:rsid w:val="173F2D66"/>
    <w:rsid w:val="17BE19D3"/>
    <w:rsid w:val="17CD1C16"/>
    <w:rsid w:val="181276B9"/>
    <w:rsid w:val="18743FAF"/>
    <w:rsid w:val="18860743"/>
    <w:rsid w:val="18AF200B"/>
    <w:rsid w:val="18C82B09"/>
    <w:rsid w:val="18E37943"/>
    <w:rsid w:val="18FF4051"/>
    <w:rsid w:val="193A152D"/>
    <w:rsid w:val="1A375D90"/>
    <w:rsid w:val="1A46462D"/>
    <w:rsid w:val="1A504ADA"/>
    <w:rsid w:val="1AAA1F45"/>
    <w:rsid w:val="1AAB7EC8"/>
    <w:rsid w:val="1ABC61D4"/>
    <w:rsid w:val="1AC27A2C"/>
    <w:rsid w:val="1AE856E5"/>
    <w:rsid w:val="1B276664"/>
    <w:rsid w:val="1B2D0F23"/>
    <w:rsid w:val="1B5F18F4"/>
    <w:rsid w:val="1C406E5A"/>
    <w:rsid w:val="1C632B49"/>
    <w:rsid w:val="1C6F14EE"/>
    <w:rsid w:val="1CEF0DD8"/>
    <w:rsid w:val="1CEF7C1C"/>
    <w:rsid w:val="1D110939"/>
    <w:rsid w:val="1D13456F"/>
    <w:rsid w:val="1D24052A"/>
    <w:rsid w:val="1D29242A"/>
    <w:rsid w:val="1D440485"/>
    <w:rsid w:val="1D8A4831"/>
    <w:rsid w:val="1DA476B9"/>
    <w:rsid w:val="1DD404D0"/>
    <w:rsid w:val="1E967206"/>
    <w:rsid w:val="1ED32208"/>
    <w:rsid w:val="1F4A5FC5"/>
    <w:rsid w:val="1F574BE7"/>
    <w:rsid w:val="1F901EA7"/>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3A07B3C"/>
    <w:rsid w:val="23AF3653"/>
    <w:rsid w:val="23BB54C2"/>
    <w:rsid w:val="23C20FAF"/>
    <w:rsid w:val="23C245F9"/>
    <w:rsid w:val="23C465C3"/>
    <w:rsid w:val="23C91E2B"/>
    <w:rsid w:val="240A0463"/>
    <w:rsid w:val="2446522A"/>
    <w:rsid w:val="244A6AC8"/>
    <w:rsid w:val="24E46F1D"/>
    <w:rsid w:val="24E94533"/>
    <w:rsid w:val="25074C4E"/>
    <w:rsid w:val="255313C0"/>
    <w:rsid w:val="25A42208"/>
    <w:rsid w:val="25D56865"/>
    <w:rsid w:val="25DC4098"/>
    <w:rsid w:val="25F954DB"/>
    <w:rsid w:val="268312DA"/>
    <w:rsid w:val="26856FC3"/>
    <w:rsid w:val="26886044"/>
    <w:rsid w:val="26AB4CBF"/>
    <w:rsid w:val="26EC6D72"/>
    <w:rsid w:val="274176DD"/>
    <w:rsid w:val="274D3E81"/>
    <w:rsid w:val="27FA6F96"/>
    <w:rsid w:val="282E58E6"/>
    <w:rsid w:val="292F0661"/>
    <w:rsid w:val="293C5506"/>
    <w:rsid w:val="294A08D7"/>
    <w:rsid w:val="2A314286"/>
    <w:rsid w:val="2B3A34A2"/>
    <w:rsid w:val="2B4D3342"/>
    <w:rsid w:val="2B65794F"/>
    <w:rsid w:val="2C320FD7"/>
    <w:rsid w:val="2C773801"/>
    <w:rsid w:val="2CBF201D"/>
    <w:rsid w:val="2CF134CA"/>
    <w:rsid w:val="2D2C76B3"/>
    <w:rsid w:val="2D480265"/>
    <w:rsid w:val="2DA44F15"/>
    <w:rsid w:val="2DB256DE"/>
    <w:rsid w:val="2DC02456"/>
    <w:rsid w:val="2DE53FC1"/>
    <w:rsid w:val="2DF61A6F"/>
    <w:rsid w:val="2E3E6240"/>
    <w:rsid w:val="2E4A3E2D"/>
    <w:rsid w:val="2E6536FD"/>
    <w:rsid w:val="2EE2477F"/>
    <w:rsid w:val="2EF03540"/>
    <w:rsid w:val="2F1D06C4"/>
    <w:rsid w:val="2F7C41F6"/>
    <w:rsid w:val="30896BCA"/>
    <w:rsid w:val="30C97C19"/>
    <w:rsid w:val="30D91855"/>
    <w:rsid w:val="312B1A2F"/>
    <w:rsid w:val="32456B21"/>
    <w:rsid w:val="324A05DB"/>
    <w:rsid w:val="328E3BC4"/>
    <w:rsid w:val="32917FB8"/>
    <w:rsid w:val="32DB75FB"/>
    <w:rsid w:val="335039CF"/>
    <w:rsid w:val="33CF7CBE"/>
    <w:rsid w:val="33FE78CF"/>
    <w:rsid w:val="34B561E0"/>
    <w:rsid w:val="34FD1C7B"/>
    <w:rsid w:val="354B3A06"/>
    <w:rsid w:val="35A61FCC"/>
    <w:rsid w:val="35CA5DCC"/>
    <w:rsid w:val="35D70AF0"/>
    <w:rsid w:val="36405F7D"/>
    <w:rsid w:val="3660664C"/>
    <w:rsid w:val="36643468"/>
    <w:rsid w:val="367C130C"/>
    <w:rsid w:val="3699661F"/>
    <w:rsid w:val="36D52B69"/>
    <w:rsid w:val="36DB793C"/>
    <w:rsid w:val="37476E97"/>
    <w:rsid w:val="379540A7"/>
    <w:rsid w:val="37D87A19"/>
    <w:rsid w:val="38EC5F48"/>
    <w:rsid w:val="391F3C45"/>
    <w:rsid w:val="3922196A"/>
    <w:rsid w:val="3925145A"/>
    <w:rsid w:val="39382F3B"/>
    <w:rsid w:val="39785A2E"/>
    <w:rsid w:val="39BB4BF8"/>
    <w:rsid w:val="39C240B8"/>
    <w:rsid w:val="39CC0C76"/>
    <w:rsid w:val="3A45454A"/>
    <w:rsid w:val="3A4E5ED7"/>
    <w:rsid w:val="3AC86541"/>
    <w:rsid w:val="3AD268EA"/>
    <w:rsid w:val="3AF36399"/>
    <w:rsid w:val="3B4E6A46"/>
    <w:rsid w:val="3B8C57C0"/>
    <w:rsid w:val="3B985F13"/>
    <w:rsid w:val="3BE13381"/>
    <w:rsid w:val="3C055CF8"/>
    <w:rsid w:val="3C0C519E"/>
    <w:rsid w:val="3C750F2E"/>
    <w:rsid w:val="3C9D5708"/>
    <w:rsid w:val="3D3D6D72"/>
    <w:rsid w:val="3D820C29"/>
    <w:rsid w:val="3E0419F9"/>
    <w:rsid w:val="3E2B152F"/>
    <w:rsid w:val="3E7FC369"/>
    <w:rsid w:val="3E9C21BE"/>
    <w:rsid w:val="3EAA48DB"/>
    <w:rsid w:val="3F020E1D"/>
    <w:rsid w:val="3F6A324D"/>
    <w:rsid w:val="3F784273"/>
    <w:rsid w:val="3F7D40ED"/>
    <w:rsid w:val="3FAE412E"/>
    <w:rsid w:val="40095632"/>
    <w:rsid w:val="40BB2DD0"/>
    <w:rsid w:val="40DF6356"/>
    <w:rsid w:val="40F87666"/>
    <w:rsid w:val="41BF069E"/>
    <w:rsid w:val="41C04416"/>
    <w:rsid w:val="422704F3"/>
    <w:rsid w:val="422F6EA6"/>
    <w:rsid w:val="426E4AEA"/>
    <w:rsid w:val="42A62E30"/>
    <w:rsid w:val="42C11714"/>
    <w:rsid w:val="42C84DBE"/>
    <w:rsid w:val="42EB0859"/>
    <w:rsid w:val="42F6512B"/>
    <w:rsid w:val="43086E28"/>
    <w:rsid w:val="43255201"/>
    <w:rsid w:val="432F53AF"/>
    <w:rsid w:val="433D6BDD"/>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75950F1"/>
    <w:rsid w:val="47841A42"/>
    <w:rsid w:val="47AB7859"/>
    <w:rsid w:val="481F60CE"/>
    <w:rsid w:val="48223734"/>
    <w:rsid w:val="48624C7F"/>
    <w:rsid w:val="487A531F"/>
    <w:rsid w:val="48E362E2"/>
    <w:rsid w:val="48EA2F86"/>
    <w:rsid w:val="48F475D7"/>
    <w:rsid w:val="49BD30FA"/>
    <w:rsid w:val="49F53858"/>
    <w:rsid w:val="4A071323"/>
    <w:rsid w:val="4A140F17"/>
    <w:rsid w:val="4A236ED5"/>
    <w:rsid w:val="4AB4556F"/>
    <w:rsid w:val="4AD45CF1"/>
    <w:rsid w:val="4C4D68A6"/>
    <w:rsid w:val="4C5453EE"/>
    <w:rsid w:val="4C8C526A"/>
    <w:rsid w:val="4C9C6DE9"/>
    <w:rsid w:val="4D09474F"/>
    <w:rsid w:val="4D2B07D6"/>
    <w:rsid w:val="4D552378"/>
    <w:rsid w:val="4D5C3245"/>
    <w:rsid w:val="4D6D5452"/>
    <w:rsid w:val="4D7FD265"/>
    <w:rsid w:val="4E47547C"/>
    <w:rsid w:val="4E4F4B57"/>
    <w:rsid w:val="4EB956A7"/>
    <w:rsid w:val="4EE130C3"/>
    <w:rsid w:val="4EE15203"/>
    <w:rsid w:val="4EF92D15"/>
    <w:rsid w:val="4F2064F4"/>
    <w:rsid w:val="4F46432B"/>
    <w:rsid w:val="4F6748F3"/>
    <w:rsid w:val="4F6B434D"/>
    <w:rsid w:val="4F8E7901"/>
    <w:rsid w:val="50197233"/>
    <w:rsid w:val="50A458F7"/>
    <w:rsid w:val="51385D77"/>
    <w:rsid w:val="51511CBE"/>
    <w:rsid w:val="517B5C63"/>
    <w:rsid w:val="51AB479B"/>
    <w:rsid w:val="51E333FD"/>
    <w:rsid w:val="527D69BB"/>
    <w:rsid w:val="52BF281F"/>
    <w:rsid w:val="536F1AF1"/>
    <w:rsid w:val="537B1F4B"/>
    <w:rsid w:val="539D6365"/>
    <w:rsid w:val="53A00470"/>
    <w:rsid w:val="53A21BCD"/>
    <w:rsid w:val="53AF7E46"/>
    <w:rsid w:val="53BEED35"/>
    <w:rsid w:val="54353EFA"/>
    <w:rsid w:val="548A17D5"/>
    <w:rsid w:val="54A651D7"/>
    <w:rsid w:val="552705DC"/>
    <w:rsid w:val="55A63A05"/>
    <w:rsid w:val="55CA76DF"/>
    <w:rsid w:val="55F2496C"/>
    <w:rsid w:val="55FF1F64"/>
    <w:rsid w:val="566F1681"/>
    <w:rsid w:val="56B57E6A"/>
    <w:rsid w:val="56EF6DF2"/>
    <w:rsid w:val="572B7505"/>
    <w:rsid w:val="575E6C7E"/>
    <w:rsid w:val="576C5B53"/>
    <w:rsid w:val="57B204EC"/>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377F26"/>
    <w:rsid w:val="5B4E6197"/>
    <w:rsid w:val="5B527A35"/>
    <w:rsid w:val="5BA3470D"/>
    <w:rsid w:val="5C3942F1"/>
    <w:rsid w:val="5C81334F"/>
    <w:rsid w:val="5C826E66"/>
    <w:rsid w:val="5C8A31FF"/>
    <w:rsid w:val="5C8C51C9"/>
    <w:rsid w:val="5CEF474C"/>
    <w:rsid w:val="5D0905C7"/>
    <w:rsid w:val="5D5932D1"/>
    <w:rsid w:val="5D6B1052"/>
    <w:rsid w:val="5D845EA0"/>
    <w:rsid w:val="5DA07D5A"/>
    <w:rsid w:val="5DAD4F2E"/>
    <w:rsid w:val="5DB1394D"/>
    <w:rsid w:val="5DF58799"/>
    <w:rsid w:val="5E5EC090"/>
    <w:rsid w:val="5E826883"/>
    <w:rsid w:val="5EAF73F9"/>
    <w:rsid w:val="5EB809CA"/>
    <w:rsid w:val="5EC450EE"/>
    <w:rsid w:val="5F9C1BC7"/>
    <w:rsid w:val="5FB21C17"/>
    <w:rsid w:val="5FB71C1F"/>
    <w:rsid w:val="603911C4"/>
    <w:rsid w:val="608F405C"/>
    <w:rsid w:val="60C97425"/>
    <w:rsid w:val="6108329D"/>
    <w:rsid w:val="611556AE"/>
    <w:rsid w:val="61331F98"/>
    <w:rsid w:val="614624FC"/>
    <w:rsid w:val="61985A8C"/>
    <w:rsid w:val="619967BD"/>
    <w:rsid w:val="61D75138"/>
    <w:rsid w:val="61E15FB7"/>
    <w:rsid w:val="62E278F0"/>
    <w:rsid w:val="63777811"/>
    <w:rsid w:val="63867E92"/>
    <w:rsid w:val="63B27C28"/>
    <w:rsid w:val="653E102A"/>
    <w:rsid w:val="655B398A"/>
    <w:rsid w:val="656947A4"/>
    <w:rsid w:val="657F3D1A"/>
    <w:rsid w:val="65921346"/>
    <w:rsid w:val="65931376"/>
    <w:rsid w:val="65FF2434"/>
    <w:rsid w:val="66173356"/>
    <w:rsid w:val="6673430D"/>
    <w:rsid w:val="667A5E00"/>
    <w:rsid w:val="66AA700F"/>
    <w:rsid w:val="67717495"/>
    <w:rsid w:val="677D5E3A"/>
    <w:rsid w:val="67A21691"/>
    <w:rsid w:val="67BA0E3C"/>
    <w:rsid w:val="681625A3"/>
    <w:rsid w:val="68182B58"/>
    <w:rsid w:val="689773CF"/>
    <w:rsid w:val="689A7E71"/>
    <w:rsid w:val="68A225D2"/>
    <w:rsid w:val="68D20407"/>
    <w:rsid w:val="692005BA"/>
    <w:rsid w:val="694D0F2B"/>
    <w:rsid w:val="69DF77E3"/>
    <w:rsid w:val="6A0F7894"/>
    <w:rsid w:val="6A310DC4"/>
    <w:rsid w:val="6A6C0D55"/>
    <w:rsid w:val="6A9857D5"/>
    <w:rsid w:val="6AA10091"/>
    <w:rsid w:val="6AAA6557"/>
    <w:rsid w:val="6AD12253"/>
    <w:rsid w:val="6AE301E8"/>
    <w:rsid w:val="6B0D6064"/>
    <w:rsid w:val="6B18238A"/>
    <w:rsid w:val="6B182A49"/>
    <w:rsid w:val="6BC33FDB"/>
    <w:rsid w:val="6BD34BC2"/>
    <w:rsid w:val="6CAE2F39"/>
    <w:rsid w:val="6CDF3F86"/>
    <w:rsid w:val="6CF8654C"/>
    <w:rsid w:val="6D351F98"/>
    <w:rsid w:val="6D9E3567"/>
    <w:rsid w:val="6DFD7C82"/>
    <w:rsid w:val="6E26547D"/>
    <w:rsid w:val="6E535B46"/>
    <w:rsid w:val="6EAA25F1"/>
    <w:rsid w:val="6EAC5256"/>
    <w:rsid w:val="6EE83DD3"/>
    <w:rsid w:val="6EF908E0"/>
    <w:rsid w:val="6F1B2E85"/>
    <w:rsid w:val="6F2F600D"/>
    <w:rsid w:val="6F360CBA"/>
    <w:rsid w:val="6F59081C"/>
    <w:rsid w:val="6F7F472E"/>
    <w:rsid w:val="6FB35F6F"/>
    <w:rsid w:val="6FCC03A0"/>
    <w:rsid w:val="6FCE8BEC"/>
    <w:rsid w:val="6FD827A7"/>
    <w:rsid w:val="6FDC1B6B"/>
    <w:rsid w:val="6FEE4ABE"/>
    <w:rsid w:val="703D45C4"/>
    <w:rsid w:val="707A3A78"/>
    <w:rsid w:val="70A97AE6"/>
    <w:rsid w:val="70CF08F5"/>
    <w:rsid w:val="713F6856"/>
    <w:rsid w:val="71476A4D"/>
    <w:rsid w:val="71EB0B34"/>
    <w:rsid w:val="7258688C"/>
    <w:rsid w:val="72882FCA"/>
    <w:rsid w:val="72CE6D66"/>
    <w:rsid w:val="72FF3793"/>
    <w:rsid w:val="73036137"/>
    <w:rsid w:val="73623B25"/>
    <w:rsid w:val="736519BD"/>
    <w:rsid w:val="736D1458"/>
    <w:rsid w:val="73905147"/>
    <w:rsid w:val="739E2806"/>
    <w:rsid w:val="73A45BAA"/>
    <w:rsid w:val="73CB49E0"/>
    <w:rsid w:val="73CF5B6F"/>
    <w:rsid w:val="743D52CE"/>
    <w:rsid w:val="746745E8"/>
    <w:rsid w:val="74822CE1"/>
    <w:rsid w:val="74AE7F7A"/>
    <w:rsid w:val="74BD640F"/>
    <w:rsid w:val="74FF4332"/>
    <w:rsid w:val="756947C5"/>
    <w:rsid w:val="757108D4"/>
    <w:rsid w:val="75816130"/>
    <w:rsid w:val="75EDF077"/>
    <w:rsid w:val="75F60207"/>
    <w:rsid w:val="764C7FA1"/>
    <w:rsid w:val="767DCC2F"/>
    <w:rsid w:val="76AD7DBE"/>
    <w:rsid w:val="76EC2FDC"/>
    <w:rsid w:val="77EE8E8F"/>
    <w:rsid w:val="77FB4879"/>
    <w:rsid w:val="78A376CA"/>
    <w:rsid w:val="78BD69DE"/>
    <w:rsid w:val="78C31B1A"/>
    <w:rsid w:val="78CC777C"/>
    <w:rsid w:val="78D94CCE"/>
    <w:rsid w:val="78EE34E5"/>
    <w:rsid w:val="79556C16"/>
    <w:rsid w:val="797572B9"/>
    <w:rsid w:val="79817E76"/>
    <w:rsid w:val="79847A03"/>
    <w:rsid w:val="79CB512B"/>
    <w:rsid w:val="7A2F391C"/>
    <w:rsid w:val="7AFD7566"/>
    <w:rsid w:val="7B37AC90"/>
    <w:rsid w:val="7B3B62E0"/>
    <w:rsid w:val="7B544624"/>
    <w:rsid w:val="7B63439E"/>
    <w:rsid w:val="7B9D2AF7"/>
    <w:rsid w:val="7BE91898"/>
    <w:rsid w:val="7BF70B16"/>
    <w:rsid w:val="7C1868E6"/>
    <w:rsid w:val="7CB50EE6"/>
    <w:rsid w:val="7CFC55FB"/>
    <w:rsid w:val="7D2B1642"/>
    <w:rsid w:val="7DB84B82"/>
    <w:rsid w:val="7E9B797F"/>
    <w:rsid w:val="7EA58078"/>
    <w:rsid w:val="7F030EC3"/>
    <w:rsid w:val="7F4A64A2"/>
    <w:rsid w:val="7F4C0ABC"/>
    <w:rsid w:val="7F74591C"/>
    <w:rsid w:val="7F9B327E"/>
    <w:rsid w:val="7FDD9570"/>
    <w:rsid w:val="7FEE042A"/>
    <w:rsid w:val="7FFDCEA3"/>
    <w:rsid w:val="8FFA1496"/>
    <w:rsid w:val="97FC4C4E"/>
    <w:rsid w:val="B7AFA353"/>
    <w:rsid w:val="B7FF8E0F"/>
    <w:rsid w:val="BEBFF245"/>
    <w:rsid w:val="BF7FE73E"/>
    <w:rsid w:val="CBC95CF8"/>
    <w:rsid w:val="D3BD3B42"/>
    <w:rsid w:val="D5BD1B20"/>
    <w:rsid w:val="DDEE320B"/>
    <w:rsid w:val="DFFD291E"/>
    <w:rsid w:val="E97F1FE7"/>
    <w:rsid w:val="ECBA142E"/>
    <w:rsid w:val="EDDFDAA1"/>
    <w:rsid w:val="EFEFE61D"/>
    <w:rsid w:val="EFF2DA64"/>
    <w:rsid w:val="F09B1FEC"/>
    <w:rsid w:val="F5780EF8"/>
    <w:rsid w:val="F5BD3117"/>
    <w:rsid w:val="F7E3946A"/>
    <w:rsid w:val="F97CD02C"/>
    <w:rsid w:val="F9FF7CEC"/>
    <w:rsid w:val="FD7F17D1"/>
    <w:rsid w:val="FDFF02F0"/>
    <w:rsid w:val="FEE36C09"/>
    <w:rsid w:val="FF634F4F"/>
    <w:rsid w:val="FFB78546"/>
    <w:rsid w:val="FFFA20F5"/>
    <w:rsid w:val="FFFD02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35"/>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4">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5">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6">
    <w:name w:val="heading 4"/>
    <w:basedOn w:val="1"/>
    <w:next w:val="1"/>
    <w:link w:val="32"/>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7">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8">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9">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0">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1">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2">
    <w:name w:val="List 2"/>
    <w:basedOn w:val="1"/>
    <w:unhideWhenUsed/>
    <w:qFormat/>
    <w:uiPriority w:val="0"/>
    <w:pPr>
      <w:widowControl/>
      <w:adjustRightInd w:val="0"/>
      <w:ind w:left="100" w:leftChars="200" w:hanging="200" w:hangingChars="200"/>
      <w:contextualSpacing/>
    </w:pPr>
    <w:rPr>
      <w:rFonts w:ascii="Calibri" w:hAnsi="Calibri" w:cs="Times New Roman"/>
      <w:lang w:bidi="en-US"/>
    </w:rPr>
  </w:style>
  <w:style w:type="paragraph" w:styleId="12">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3">
    <w:name w:val="annotation text"/>
    <w:basedOn w:val="1"/>
    <w:qFormat/>
    <w:uiPriority w:val="0"/>
    <w:pPr>
      <w:jc w:val="left"/>
    </w:pPr>
  </w:style>
  <w:style w:type="paragraph" w:styleId="14">
    <w:name w:val="Body Text"/>
    <w:basedOn w:val="1"/>
    <w:next w:val="15"/>
    <w:qFormat/>
    <w:uiPriority w:val="0"/>
    <w:pPr>
      <w:widowControl w:val="0"/>
      <w:spacing w:after="120"/>
      <w:jc w:val="both"/>
    </w:pPr>
    <w:rPr>
      <w:kern w:val="2"/>
      <w:sz w:val="21"/>
    </w:rPr>
  </w:style>
  <w:style w:type="paragraph" w:styleId="15">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6">
    <w:name w:val="Body Text Indent"/>
    <w:basedOn w:val="1"/>
    <w:next w:val="17"/>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7">
    <w:name w:val="envelope return"/>
    <w:basedOn w:val="1"/>
    <w:unhideWhenUsed/>
    <w:qFormat/>
    <w:uiPriority w:val="99"/>
    <w:rPr>
      <w:rFonts w:ascii="Arial" w:hAnsi="Arial"/>
    </w:rPr>
  </w:style>
  <w:style w:type="paragraph" w:styleId="18">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9">
    <w:name w:val="footer"/>
    <w:basedOn w:val="1"/>
    <w:qFormat/>
    <w:uiPriority w:val="0"/>
    <w:pPr>
      <w:tabs>
        <w:tab w:val="center" w:pos="4153"/>
        <w:tab w:val="right" w:pos="8306"/>
      </w:tabs>
      <w:snapToGrid w:val="0"/>
      <w:jc w:val="left"/>
    </w:pPr>
    <w:rPr>
      <w:sz w:val="18"/>
      <w:szCs w:val="18"/>
    </w:rPr>
  </w:style>
  <w:style w:type="paragraph" w:styleId="2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1">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22">
    <w:name w:val="Normal (Web)"/>
    <w:basedOn w:val="1"/>
    <w:qFormat/>
    <w:uiPriority w:val="0"/>
    <w:pPr>
      <w:spacing w:beforeAutospacing="1" w:afterAutospacing="1"/>
      <w:jc w:val="left"/>
    </w:pPr>
    <w:rPr>
      <w:kern w:val="0"/>
      <w:sz w:val="24"/>
    </w:rPr>
  </w:style>
  <w:style w:type="paragraph" w:styleId="23">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4">
    <w:name w:val="Body Text First Indent 2"/>
    <w:basedOn w:val="16"/>
    <w:next w:val="1"/>
    <w:qFormat/>
    <w:uiPriority w:val="0"/>
    <w:pPr>
      <w:spacing w:before="0" w:after="120" w:line="240" w:lineRule="auto"/>
      <w:ind w:left="420" w:firstLine="0" w:firstLineChars="0"/>
    </w:pPr>
    <w:rPr>
      <w:rFonts w:ascii="Times New Roman" w:hAnsi="Times New Roman"/>
      <w:szCs w:val="20"/>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page number"/>
    <w:qFormat/>
    <w:uiPriority w:val="0"/>
    <w:rPr>
      <w:rFonts w:ascii="Times New Roman" w:hAnsi="Times New Roman" w:eastAsia="宋体"/>
      <w:sz w:val="18"/>
    </w:rPr>
  </w:style>
  <w:style w:type="paragraph" w:customStyle="1" w:styleId="29">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30">
    <w:name w:val="南网格式"/>
    <w:basedOn w:val="1"/>
    <w:qFormat/>
    <w:uiPriority w:val="0"/>
    <w:pPr>
      <w:widowControl/>
      <w:spacing w:before="120" w:line="360" w:lineRule="auto"/>
      <w:jc w:val="left"/>
    </w:pPr>
    <w:rPr>
      <w:rFonts w:ascii="宋体" w:hAnsi="宋体"/>
      <w:kern w:val="0"/>
      <w:sz w:val="24"/>
      <w:szCs w:val="28"/>
    </w:rPr>
  </w:style>
  <w:style w:type="paragraph" w:customStyle="1" w:styleId="31">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32">
    <w:name w:val="标题 4 Char"/>
    <w:link w:val="6"/>
    <w:qFormat/>
    <w:uiPriority w:val="0"/>
    <w:rPr>
      <w:rFonts w:ascii="Arial" w:hAnsi="Arial" w:eastAsia="黑体"/>
      <w:sz w:val="28"/>
    </w:rPr>
  </w:style>
  <w:style w:type="paragraph" w:customStyle="1" w:styleId="33">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4">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5">
    <w:name w:val="标题 1 Char"/>
    <w:link w:val="3"/>
    <w:qFormat/>
    <w:uiPriority w:val="0"/>
    <w:rPr>
      <w:b/>
      <w:kern w:val="44"/>
      <w:sz w:val="44"/>
    </w:rPr>
  </w:style>
  <w:style w:type="character" w:customStyle="1" w:styleId="36">
    <w:name w:val="font21"/>
    <w:basedOn w:val="27"/>
    <w:qFormat/>
    <w:uiPriority w:val="0"/>
    <w:rPr>
      <w:rFonts w:hint="eastAsia" w:ascii="宋体" w:hAnsi="宋体" w:eastAsia="宋体" w:cs="宋体"/>
      <w:color w:val="000000"/>
      <w:sz w:val="21"/>
      <w:szCs w:val="21"/>
      <w:u w:val="none"/>
    </w:rPr>
  </w:style>
  <w:style w:type="character" w:customStyle="1" w:styleId="37">
    <w:name w:val="font31"/>
    <w:basedOn w:val="27"/>
    <w:qFormat/>
    <w:uiPriority w:val="0"/>
    <w:rPr>
      <w:rFonts w:ascii="Calibri" w:hAnsi="Calibri" w:cs="Calibri"/>
      <w:color w:val="000000"/>
      <w:sz w:val="21"/>
      <w:szCs w:val="21"/>
      <w:u w:val="none"/>
    </w:rPr>
  </w:style>
  <w:style w:type="paragraph" w:customStyle="1" w:styleId="38">
    <w:name w:val="表格"/>
    <w:qFormat/>
    <w:uiPriority w:val="0"/>
    <w:pPr>
      <w:widowControl w:val="0"/>
      <w:autoSpaceDE/>
      <w:autoSpaceDN/>
      <w:adjustRightInd w:val="0"/>
      <w:jc w:val="center"/>
    </w:pPr>
    <w:rPr>
      <w:rFonts w:ascii="宋体" w:hAnsi="宋体" w:eastAsia="仿宋"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4689</Words>
  <Characters>4916</Characters>
  <Lines>0</Lines>
  <Paragraphs>0</Paragraphs>
  <TotalTime>1</TotalTime>
  <ScaleCrop>false</ScaleCrop>
  <LinksUpToDate>false</LinksUpToDate>
  <CharactersWithSpaces>5039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2023-10-20T01:32:00Z</dcterms:created>
  <dc:creator>风影</dc:creator>
  <cp:lastModifiedBy>121E9EEF90344EAF9C7D382F3701D165</cp:lastModifiedBy>
  <dcterms:modified xsi:type="dcterms:W3CDTF">2026-07-31T04:44:33Z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7923EB6B6F47482595B6AEB1DC07D277</vt:lpwstr>
  </property>
  <property fmtid="{D5CDD505-2E9C-101B-9397-08002B2CF9AE}" pid="4" name="KSOTemplateDocerSaveRecord">
    <vt:lpwstr>eyJoZGlkIjoiOTcxZjNmMTljYjdhNGI0MTkxYjE0MWExZjA3YzU5YjEiLCJ1c2VySWQiOiI2MzMyNjA3NTcifQ==</vt:lpwstr>
  </property>
</Properties>
</file>