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default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15706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附录H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零星采购项目要求</w:t>
      </w:r>
    </w:p>
    <w:tbl>
      <w:tblPr>
        <w:tblStyle w:val="5"/>
        <w:tblW w:w="9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441"/>
        <w:gridCol w:w="1545"/>
        <w:gridCol w:w="1674"/>
        <w:gridCol w:w="785"/>
        <w:gridCol w:w="555"/>
        <w:gridCol w:w="867"/>
        <w:gridCol w:w="984"/>
        <w:gridCol w:w="1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  <w:t>海南电网有限责任公司输电运检分公司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采购承办部门（中心）</w:t>
            </w:r>
          </w:p>
        </w:tc>
        <w:tc>
          <w:tcPr>
            <w:tcW w:w="339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线路部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采购项目名称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bookmarkStart w:id="1" w:name="OLE_LINK1"/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  <w:t>输电分公司除草剂购置</w:t>
            </w:r>
            <w:bookmarkEnd w:id="1"/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  <w:t>采购概算金额</w:t>
            </w:r>
          </w:p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  <w:t>（万元）</w:t>
            </w:r>
          </w:p>
        </w:tc>
        <w:tc>
          <w:tcPr>
            <w:tcW w:w="339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49500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项目类别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 xml:space="preserve">□工程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 xml:space="preserve">货物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服务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资金来源</w:t>
            </w:r>
          </w:p>
        </w:tc>
        <w:tc>
          <w:tcPr>
            <w:tcW w:w="339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生产其他材料费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00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采购品类及数量</w:t>
            </w: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规格型号/主要技术、商务要求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总价（元）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  <w:t>环嗪酮除草剂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bookmarkStart w:id="2" w:name="OLE_LINK2"/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</w:rPr>
              <w:t>50克/袋</w:t>
            </w:r>
            <w:bookmarkEnd w:id="2"/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6600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袋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7.5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49500</w:t>
            </w:r>
          </w:p>
        </w:tc>
        <w:tc>
          <w:tcPr>
            <w:tcW w:w="15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bookmarkStart w:id="3" w:name="OLE_LINK3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2026年8月10日</w:t>
            </w:r>
            <w:bookmarkEnd w:id="3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一、项目概况及采购内容：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highlight w:val="none"/>
        </w:rPr>
        <w:t>输电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highlight w:val="none"/>
          <w:lang w:val="en-US" w:eastAsia="zh-CN"/>
        </w:rPr>
        <w:t>分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highlight w:val="none"/>
        </w:rPr>
        <w:t>公司采购除草剂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highlight w:val="none"/>
          <w:lang w:val="en-US" w:eastAsia="zh-CN"/>
        </w:rPr>
        <w:t>6600袋。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二、资质要求：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资质条件是要求商家营业执照、法人身份证复印件、开户许可证、产品照片、产品说明书、产品安装说明。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三、相关技术要求：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1.能消除大直径树种、竹子、灌木等树种，环嗪酮成分达到75%。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2.袋装颗粒状药物，无需兑水直接播撒。</w:t>
      </w:r>
      <w:bookmarkStart w:id="4" w:name="_GoBack"/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20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3.能维持药效至少6个月及以上。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4.除草剂生产日期小于6个月。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四、服务相关要求：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货品送达现场后，供应商负责组织人员上下装卸。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五、交付标准：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kern w:val="2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1"/>
          <w:highlight w:val="none"/>
          <w:u w:val="none"/>
          <w:vertAlign w:val="baseline"/>
          <w:lang w:val="en-US" w:eastAsia="zh-CN" w:bidi="ar-SA"/>
        </w:rPr>
        <w:t>2026年8月10日前完成到货交付。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六、商务及报价要求：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1..报价方式为总价包干报价，报价低于概算价50%或最低价低于除最低价外的平均报价25%应要求提供成本分析报告，未按要求提供或者报告未能合理说明原因的，可进行否决处理。且报价文件加盖单位公章；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2.报价为含税总价，需开具增值税专用发票。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3.付款账户必须为成交供应商对公账户，不接受委托收款、第三方代收;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七、其他要求：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EC34DB"/>
    <w:rsid w:val="04EC34DB"/>
    <w:rsid w:val="07F46301"/>
    <w:rsid w:val="19A83A14"/>
    <w:rsid w:val="1D807A20"/>
    <w:rsid w:val="1F186591"/>
    <w:rsid w:val="2968067B"/>
    <w:rsid w:val="470F0868"/>
    <w:rsid w:val="64BC0A34"/>
    <w:rsid w:val="6FFA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2026-07-28T08:08:00Z</dcterms:created>
  <dc:creator>HNDW</dc:creator>
  <cp:lastModifiedBy>HNDW</cp:lastModifiedBy>
  <dcterms:modified xsi:type="dcterms:W3CDTF">2026-07-29T08:43:25Z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9937FC8416084A929090B787CB537548</vt:lpwstr>
  </property>
</Properties>
</file>