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6570A3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委托方（甲方）：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3b110e05-81db-412d-9571-ec045b5b177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0"/>
        </w:sdtContent>
      </w:sdt>
    </w:p>
    <w:p w14:paraId="2282F18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fa498eb0-f6da-4f61-a391-db41ee588b6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
        </w:sdtContent>
      </w:sdt>
    </w:p>
    <w:p w14:paraId="4B47F0D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42a8814b-462a-476a-9b66-f87e70e1cf5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
        </w:sdtContent>
      </w:sdt>
    </w:p>
    <w:p w14:paraId="1BF705B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deed8839-a9c1-4f8e-b51f-5e0389a8614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
        </w:sdtContent>
      </w:sdt>
    </w:p>
    <w:p w14:paraId="38DBFC2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014e655e-1e0c-4c96-8161-7af48a857102}"/>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14:paraId="4AD5DD9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ad82e880-5304-4dd2-a4db-301815efee34}"/>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
        </w:sdtContent>
      </w:sdt>
    </w:p>
    <w:p w14:paraId="5CD5186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615aa753-2885-4de2-80f1-fa642a0930b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
        </w:sdtContent>
      </w:sdt>
    </w:p>
    <w:p w14:paraId="353BEA3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b19a4d9c-fcdb-4e3a-bba4-31a3fbd76bc9}"/>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
        </w:sdtContent>
      </w:sdt>
    </w:p>
    <w:p w14:paraId="2D11F9D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14:paraId="6D49030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受托方（乙方）</w:t>
      </w:r>
      <w:r>
        <w:rPr>
          <w:rFonts w:hint="eastAsia" w:ascii="宋体" w:hAnsi="宋体" w:eastAsia="宋体" w:cs="宋体"/>
          <w:color w:val="auto"/>
          <w:sz w:val="28"/>
          <w:szCs w:val="28"/>
          <w:highlight w:val="none"/>
          <w:shd w:val="clear" w:color="auto" w:fill="auto"/>
        </w:rPr>
        <w:t>：</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9421f898-7381-41d2-bb06-3cbac5303eb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
        </w:sdtContent>
      </w:sdt>
    </w:p>
    <w:p w14:paraId="61A160F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2f5221a0-a913-4f72-ac6e-34c7b2b5e10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
        </w:sdtContent>
      </w:sdt>
    </w:p>
    <w:p w14:paraId="51322EF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639529f8-ab2f-42b9-98b9-90404dedc3f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
        </w:sdtContent>
      </w:sdt>
    </w:p>
    <w:p w14:paraId="23F7295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6b11ed0b-a000-458c-b047-d6f44ca17b3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
        </w:sdtContent>
      </w:sdt>
    </w:p>
    <w:p w14:paraId="302CC48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c96cfe92-4126-4271-bb0d-6e62a22952f2}"/>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14:paraId="0C5D217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c4d7fb0a-a06f-4775-9688-af0165dbe83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
        </w:sdtContent>
      </w:sdt>
    </w:p>
    <w:p w14:paraId="468F867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6fa8890c-d851-4ecc-ae2f-cd74cab6692b}"/>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
        </w:sdtContent>
      </w:sdt>
    </w:p>
    <w:p w14:paraId="6D1FAB72">
      <w:pPr>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1f910f9e-d284-43ad-b5d8-9913a03ec0d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14:paraId="68C87178">
      <w:pPr>
        <w:pStyle w:val="2"/>
        <w:pageBreakBefore w:val="0"/>
        <w:kinsoku/>
        <w:wordWrap/>
        <w:overflowPunct/>
        <w:topLinePunct w:val="0"/>
        <w:bidi w:val="0"/>
        <w:spacing w:after="0" w:line="540" w:lineRule="exact"/>
        <w:rPr>
          <w:rFonts w:hint="eastAsia" w:ascii="宋体" w:hAnsi="宋体" w:eastAsia="宋体" w:cs="宋体"/>
          <w:color w:val="auto"/>
          <w:sz w:val="28"/>
          <w:szCs w:val="28"/>
          <w:highlight w:val="none"/>
          <w:shd w:val="clear" w:color="auto" w:fill="auto"/>
        </w:rPr>
      </w:pPr>
    </w:p>
    <w:p w14:paraId="0C2B75E9">
      <w:pPr>
        <w:pageBreakBefore w:val="0"/>
        <w:tabs>
          <w:tab w:val="center" w:pos="4560"/>
          <w:tab w:val="right" w:pos="9120"/>
        </w:tabs>
        <w:kinsoku/>
        <w:wordWrap/>
        <w:overflowPunct/>
        <w:topLinePunct w:val="0"/>
        <w:bidi w:val="0"/>
        <w:snapToGrid w:val="0"/>
        <w:spacing w:line="540" w:lineRule="exact"/>
        <w:ind w:firstLine="562" w:firstLineChars="200"/>
        <w:jc w:val="center"/>
        <w:outlineLvl w:val="0"/>
        <w:rPr>
          <w:rFonts w:hint="eastAsia" w:ascii="宋体" w:hAnsi="宋体" w:eastAsia="宋体" w:cs="宋体"/>
          <w:b/>
          <w:color w:val="auto"/>
          <w:sz w:val="28"/>
          <w:szCs w:val="28"/>
          <w:highlight w:val="none"/>
          <w:shd w:val="clear" w:color="auto" w:fill="auto"/>
        </w:rPr>
      </w:pPr>
      <w:bookmarkStart w:id="0" w:name="_Toc491798523"/>
      <w:bookmarkStart w:id="1" w:name="_Toc152042546"/>
      <w:bookmarkStart w:id="2" w:name="_Toc144974826"/>
      <w:bookmarkStart w:id="3" w:name="_Toc152045767"/>
      <w:bookmarkStart w:id="4" w:name="_Toc179632785"/>
      <w:bookmarkStart w:id="5" w:name="_Toc144974578"/>
      <w:bookmarkStart w:id="6" w:name="_Toc247527798"/>
      <w:bookmarkStart w:id="7" w:name="_Toc152045610"/>
      <w:bookmarkStart w:id="8" w:name="_Toc300835199"/>
      <w:bookmarkStart w:id="9" w:name="_Toc247514197"/>
      <w:bookmarkStart w:id="10" w:name="_Toc152042388"/>
      <w:bookmarkStart w:id="11" w:name="_Toc184635122"/>
      <w:r>
        <w:rPr>
          <w:rFonts w:hint="eastAsia" w:ascii="宋体" w:hAnsi="宋体" w:eastAsia="宋体" w:cs="宋体"/>
          <w:b/>
          <w:color w:val="auto"/>
          <w:sz w:val="28"/>
          <w:szCs w:val="28"/>
          <w:highlight w:val="none"/>
          <w:shd w:val="clear" w:color="auto" w:fill="auto"/>
        </w:rPr>
        <w:t>第一部分　协议书</w:t>
      </w:r>
    </w:p>
    <w:p w14:paraId="4B726021">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根据《中华人民共和国</w:t>
      </w:r>
      <w:r>
        <w:rPr>
          <w:rFonts w:hint="eastAsia" w:ascii="宋体" w:hAnsi="宋体" w:eastAsia="宋体" w:cs="宋体"/>
          <w:color w:val="auto"/>
          <w:sz w:val="28"/>
          <w:szCs w:val="28"/>
          <w:highlight w:val="none"/>
          <w:shd w:val="clear" w:color="auto" w:fill="auto"/>
          <w:lang w:eastAsia="zh-CN"/>
        </w:rPr>
        <w:t>民法典</w:t>
      </w:r>
      <w:r>
        <w:rPr>
          <w:rFonts w:hint="eastAsia" w:ascii="宋体" w:hAnsi="宋体" w:eastAsia="宋体" w:cs="宋体"/>
          <w:color w:val="auto"/>
          <w:sz w:val="28"/>
          <w:szCs w:val="28"/>
          <w:highlight w:val="none"/>
          <w:shd w:val="clear" w:color="auto" w:fill="auto"/>
        </w:rPr>
        <w:t>》及有关法律法规规定，就甲方委托乙方提供建设工程造价咨询服务，经甲乙双方协商一致，达成如下事宜：</w:t>
      </w:r>
    </w:p>
    <w:p w14:paraId="6A81ABDE">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1.委托人委托咨询人为以下项目提供建设工程造价咨询服务：</w:t>
      </w:r>
    </w:p>
    <w:p w14:paraId="5DA38E75">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1.1项目名称：</w:t>
      </w:r>
      <w:permStart w:id="16" w:edGrp="everyone"/>
      <w:r>
        <w:rPr>
          <w:rFonts w:hint="eastAsia" w:ascii="宋体" w:hAnsi="宋体" w:eastAsia="宋体" w:cs="宋体"/>
          <w:color w:val="auto"/>
          <w:sz w:val="28"/>
          <w:szCs w:val="28"/>
          <w:highlight w:val="none"/>
          <w:u w:val="single"/>
          <w:shd w:val="clear" w:color="auto" w:fill="auto"/>
        </w:rPr>
        <w:t xml:space="preserve">                                  </w:t>
      </w:r>
      <w:permEnd w:id="16"/>
    </w:p>
    <w:p w14:paraId="27B17318">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1.2服务类别：</w:t>
      </w:r>
      <w:permStart w:id="17" w:edGrp="everyone"/>
      <w:r>
        <w:rPr>
          <w:rFonts w:hint="eastAsia" w:ascii="宋体" w:hAnsi="宋体" w:eastAsia="宋体" w:cs="宋体"/>
          <w:color w:val="auto"/>
          <w:sz w:val="28"/>
          <w:szCs w:val="28"/>
          <w:highlight w:val="none"/>
          <w:u w:val="single"/>
          <w:shd w:val="clear" w:color="auto" w:fill="auto"/>
        </w:rPr>
        <w:t xml:space="preserve">                                  </w:t>
      </w:r>
      <w:permEnd w:id="17"/>
    </w:p>
    <w:p w14:paraId="02C02D3E">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2.本合同的措词和用语与所属建设工程造价咨询合同条件及有关附件同义。</w:t>
      </w:r>
    </w:p>
    <w:p w14:paraId="4BF84B10">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3.下列文件均为本合同的组成部分：</w:t>
      </w:r>
    </w:p>
    <w:p w14:paraId="273E970D">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3.1建设工程造价咨询合同标准条件；</w:t>
      </w:r>
    </w:p>
    <w:p w14:paraId="15BA430C">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3.2建设工程造价咨询合同专用条件；</w:t>
      </w:r>
    </w:p>
    <w:p w14:paraId="54CE5CFC">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3.3建设工程造价咨询合同执行中双方共同签署的补充与修正文件。</w:t>
      </w:r>
    </w:p>
    <w:p w14:paraId="5781462B">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4.咨询人同意按照本合同的约定，承担本合同专用条件中议定范围内的建设工程造价咨询业务。</w:t>
      </w:r>
    </w:p>
    <w:p w14:paraId="689DB18B">
      <w:pPr>
        <w:keepNext w:val="0"/>
        <w:keepLines w:val="0"/>
        <w:pageBreakBefore w:val="0"/>
        <w:widowControl w:val="0"/>
        <w:tabs>
          <w:tab w:val="center" w:pos="4560"/>
          <w:tab w:val="right" w:pos="9120"/>
        </w:tabs>
        <w:kinsoku/>
        <w:wordWrap/>
        <w:overflowPunct/>
        <w:topLinePunct w:val="0"/>
        <w:autoSpaceDE/>
        <w:autoSpaceDN/>
        <w:bidi w:val="0"/>
        <w:adjustRightInd/>
        <w:snapToGrid w:val="0"/>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5.委托人同意按照本合同规定的期限、方式、币种、额度向咨询人支付酬金。</w:t>
      </w:r>
    </w:p>
    <w:p w14:paraId="2602A788">
      <w:pPr>
        <w:keepNext w:val="0"/>
        <w:keepLines w:val="0"/>
        <w:pageBreakBefore w:val="0"/>
        <w:widowControl w:val="0"/>
        <w:kinsoku/>
        <w:wordWrap/>
        <w:overflowPunct/>
        <w:topLinePunct w:val="0"/>
        <w:autoSpaceDE/>
        <w:autoSpaceDN/>
        <w:bidi w:val="0"/>
        <w:adjustRightIn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6.合同的建设工程造价咨询业务自</w:t>
      </w:r>
      <w:sdt>
        <w:sdtPr>
          <w:rPr>
            <w:rFonts w:hint="eastAsia" w:ascii="宋体" w:hAnsi="宋体" w:eastAsia="宋体" w:cs="宋体"/>
            <w:color w:val="auto"/>
            <w:sz w:val="28"/>
            <w:szCs w:val="28"/>
            <w:highlight w:val="none"/>
            <w:shd w:val="clear" w:color="auto" w:fill="auto"/>
            <w:lang w:val="en-US" w:eastAsia="zh-CN"/>
          </w:rPr>
          <w:alias w:val="履行开始时间不应早于合同签订之日"/>
          <w:tag w:val="履行开始时间"/>
          <w:id w:val="147458093"/>
          <w:placeholder>
            <w:docPart w:val="{52768ed9-61f8-4475-8239-e9c25e3e1a00}"/>
          </w:placeholder>
          <w:date>
            <w:dateFormat w:val="yyyy'年'M'月'd'日'"/>
            <w:lid w:val="zh-CN"/>
            <w:storeMappedDataAs w:val="datetime"/>
            <w:calendar w:val="gregorian"/>
          </w:date>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8" w:edGrp="everyone"/>
          <w:r>
            <w:rPr>
              <w:rFonts w:hint="eastAsia" w:ascii="宋体" w:hAnsi="宋体" w:eastAsia="宋体" w:cs="宋体"/>
              <w:color w:val="auto"/>
              <w:sz w:val="28"/>
              <w:szCs w:val="28"/>
              <w:highlight w:val="none"/>
              <w:shd w:val="clear" w:color="auto" w:fill="auto"/>
              <w:lang w:val="en-US" w:eastAsia="zh-CN"/>
            </w:rPr>
            <w:t xml:space="preserve">      年    月    日</w:t>
          </w:r>
        </w:sdtContent>
      </w:sdt>
      <w:r>
        <w:rPr>
          <w:rFonts w:hint="eastAsia" w:ascii="宋体" w:hAnsi="宋体" w:eastAsia="宋体" w:cs="宋体"/>
          <w:color w:val="auto"/>
          <w:sz w:val="28"/>
          <w:szCs w:val="28"/>
          <w:highlight w:val="none"/>
          <w:shd w:val="clear" w:color="auto" w:fill="auto"/>
        </w:rPr>
        <w:t>（或签订合同之日起）</w:t>
      </w:r>
      <w:permEnd w:id="18"/>
      <w:r>
        <w:rPr>
          <w:rFonts w:hint="eastAsia" w:ascii="宋体" w:hAnsi="宋体" w:eastAsia="宋体" w:cs="宋体"/>
          <w:color w:val="auto"/>
          <w:sz w:val="28"/>
          <w:szCs w:val="28"/>
          <w:highlight w:val="none"/>
          <w:shd w:val="clear" w:color="auto" w:fill="auto"/>
        </w:rPr>
        <w:t xml:space="preserve"> 开始实施，至</w:t>
      </w:r>
      <w:sdt>
        <w:sdtPr>
          <w:rPr>
            <w:rFonts w:hint="eastAsia" w:ascii="宋体" w:hAnsi="宋体" w:eastAsia="宋体" w:cs="宋体"/>
            <w:color w:val="auto"/>
            <w:sz w:val="28"/>
            <w:szCs w:val="28"/>
            <w:highlight w:val="none"/>
            <w:shd w:val="clear" w:color="auto" w:fill="auto"/>
            <w:lang w:val="en-US" w:eastAsia="zh-CN"/>
          </w:rPr>
          <w:alias w:val="请选择具体日期，不能确定的，请手动填写。"/>
          <w:tag w:val="履行结束时间"/>
          <w:id w:val="147452310"/>
          <w:placeholder>
            <w:docPart w:val="{6a7f4281-204e-4b55-ad04-c3cd3922bbf3}"/>
          </w:placeholder>
          <w:date w:fullDate="2022-11-24T00:00:00Z">
            <w:dateFormat w:val="yyyy'年'M'月'd'日'"/>
            <w:lid w:val="zh-CN"/>
            <w:storeMappedDataAs w:val="datetime"/>
            <w:calendar w:val="gregorian"/>
          </w:date>
        </w:sdtPr>
        <w:sdtEndPr>
          <w:rPr>
            <w:rFonts w:hint="eastAsia" w:ascii="宋体" w:hAnsi="宋体" w:eastAsia="宋体" w:cs="宋体"/>
            <w:color w:val="auto"/>
            <w:sz w:val="28"/>
            <w:szCs w:val="28"/>
            <w:highlight w:val="none"/>
            <w:shd w:val="clear" w:color="auto" w:fill="auto"/>
            <w:lang w:val="en-US" w:eastAsia="zh-CN"/>
          </w:rPr>
        </w:sdtEndPr>
        <w:sdtContent>
          <w:permStart w:id="19" w:edGrp="everyone"/>
          <w:r>
            <w:rPr>
              <w:rFonts w:hint="eastAsia" w:ascii="宋体" w:hAnsi="宋体" w:eastAsia="宋体" w:cs="宋体"/>
              <w:color w:val="auto"/>
              <w:sz w:val="28"/>
              <w:szCs w:val="28"/>
              <w:highlight w:val="none"/>
              <w:shd w:val="clear" w:color="auto" w:fill="auto"/>
              <w:lang w:val="en-US" w:eastAsia="zh-CN"/>
            </w:rPr>
            <w:t xml:space="preserve">      年      月      </w:t>
          </w:r>
        </w:sdtContent>
      </w:sdt>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（或委托范围内所有项目竣工投产且总结算报告完成）</w:t>
      </w:r>
      <w:permEnd w:id="19"/>
      <w:r>
        <w:rPr>
          <w:rFonts w:hint="eastAsia" w:ascii="宋体" w:hAnsi="宋体" w:eastAsia="宋体" w:cs="宋体"/>
          <w:color w:val="auto"/>
          <w:sz w:val="28"/>
          <w:szCs w:val="28"/>
          <w:highlight w:val="none"/>
          <w:shd w:val="clear" w:color="auto" w:fill="auto"/>
        </w:rPr>
        <w:t>终结。</w:t>
      </w:r>
    </w:p>
    <w:p w14:paraId="785855C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7.</w:t>
      </w:r>
      <w:r>
        <w:rPr>
          <w:rFonts w:hint="eastAsia" w:ascii="宋体" w:hAnsi="宋体" w:eastAsia="宋体" w:cs="宋体"/>
          <w:color w:val="auto"/>
          <w:sz w:val="28"/>
          <w:szCs w:val="28"/>
          <w:highlight w:val="none"/>
          <w:shd w:val="clear" w:color="auto" w:fill="auto"/>
          <w:lang w:val="en-US" w:eastAsia="zh-CN"/>
        </w:rPr>
        <w:t>廉洁条款</w:t>
      </w:r>
    </w:p>
    <w:p w14:paraId="06A90D4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rPr>
        <w:t>7</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14:paraId="162BC01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7.</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14:paraId="1BC1FD2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3D6656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2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0"/>
      <w:r>
        <w:rPr>
          <w:rFonts w:hint="eastAsia" w:ascii="宋体" w:hAnsi="宋体" w:eastAsia="宋体" w:cs="宋体"/>
          <w:color w:val="auto"/>
          <w:sz w:val="28"/>
          <w:szCs w:val="28"/>
          <w:highlight w:val="none"/>
          <w:shd w:val="clear" w:color="auto" w:fill="auto"/>
        </w:rPr>
        <w:t>；举报地址：</w:t>
      </w:r>
      <w:permStart w:id="21" w:edGrp="everyone"/>
      <w:r>
        <w:rPr>
          <w:rFonts w:hint="eastAsia" w:ascii="宋体" w:hAnsi="宋体" w:eastAsia="宋体" w:cs="宋体"/>
          <w:color w:val="auto"/>
          <w:sz w:val="28"/>
          <w:szCs w:val="28"/>
          <w:highlight w:val="none"/>
          <w:u w:val="single"/>
          <w:shd w:val="clear" w:color="auto" w:fill="auto"/>
          <w:lang w:val="en-US"/>
        </w:rPr>
        <w:t xml:space="preserve">    </w:t>
      </w:r>
      <w:permEnd w:id="21"/>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22" w:edGrp="everyone"/>
      <w:r>
        <w:rPr>
          <w:rFonts w:hint="eastAsia" w:ascii="宋体" w:hAnsi="宋体" w:eastAsia="宋体" w:cs="宋体"/>
          <w:color w:val="auto"/>
          <w:sz w:val="28"/>
          <w:szCs w:val="28"/>
          <w:highlight w:val="none"/>
          <w:u w:val="single"/>
          <w:shd w:val="clear" w:color="auto" w:fill="auto"/>
          <w:lang w:val="en-US"/>
        </w:rPr>
        <w:t xml:space="preserve">     </w:t>
      </w:r>
      <w:permEnd w:id="22"/>
      <w:r>
        <w:rPr>
          <w:rFonts w:hint="eastAsia" w:ascii="宋体" w:hAnsi="宋体" w:eastAsia="宋体" w:cs="宋体"/>
          <w:color w:val="auto"/>
          <w:sz w:val="28"/>
          <w:szCs w:val="28"/>
          <w:highlight w:val="none"/>
          <w:shd w:val="clear" w:color="auto" w:fill="auto"/>
        </w:rPr>
        <w:t>；举报电话：</w:t>
      </w:r>
      <w:permStart w:id="23"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23"/>
      <w:r>
        <w:rPr>
          <w:rFonts w:hint="eastAsia" w:ascii="宋体" w:hAnsi="宋体" w:eastAsia="宋体" w:cs="宋体"/>
          <w:color w:val="auto"/>
          <w:sz w:val="28"/>
          <w:szCs w:val="28"/>
          <w:highlight w:val="none"/>
          <w:shd w:val="clear" w:color="auto" w:fill="auto"/>
        </w:rPr>
        <w:t>。</w:t>
      </w:r>
    </w:p>
    <w:p w14:paraId="6ECFD4B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44FBCEAA">
      <w:pPr>
        <w:keepNext w:val="0"/>
        <w:keepLines w:val="0"/>
        <w:pageBreakBefore w:val="0"/>
        <w:widowControl w:val="0"/>
        <w:kinsoku/>
        <w:wordWrap/>
        <w:overflowPunct/>
        <w:topLinePunct w:val="0"/>
        <w:autoSpaceDE/>
        <w:autoSpaceDN/>
        <w:bidi w:val="0"/>
        <w:adjustRightInd/>
        <w:spacing w:line="540" w:lineRule="exact"/>
        <w:ind w:firstLine="562" w:firstLineChars="200"/>
        <w:textAlignment w:val="auto"/>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7.</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76E8E7B3">
      <w:pPr>
        <w:keepNext w:val="0"/>
        <w:keepLines w:val="0"/>
        <w:pageBreakBefore w:val="0"/>
        <w:widowControl w:val="0"/>
        <w:kinsoku/>
        <w:wordWrap/>
        <w:overflowPunct/>
        <w:topLinePunct w:val="0"/>
        <w:autoSpaceDE/>
        <w:autoSpaceDN/>
        <w:bidi w:val="0"/>
        <w:adjustRightInd/>
        <w:spacing w:line="540" w:lineRule="exact"/>
        <w:ind w:firstLine="560" w:firstLineChars="200"/>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rPr>
        <w:t>8.</w:t>
      </w:r>
      <w:r>
        <w:rPr>
          <w:rFonts w:hint="eastAsia" w:ascii="宋体" w:hAnsi="宋体" w:eastAsia="宋体" w:cs="宋体"/>
          <w:color w:val="auto"/>
          <w:sz w:val="28"/>
          <w:szCs w:val="28"/>
          <w:highlight w:val="none"/>
          <w:shd w:val="clear" w:color="auto" w:fill="auto"/>
          <w:lang w:val="zh-CN"/>
        </w:rPr>
        <w:t>本合同文本一式</w:t>
      </w:r>
      <w:sdt>
        <w:sdtPr>
          <w:rPr>
            <w:rFonts w:hint="eastAsia" w:ascii="宋体" w:hAnsi="宋体" w:eastAsia="宋体" w:cs="宋体"/>
            <w:color w:val="auto"/>
            <w:sz w:val="28"/>
            <w:szCs w:val="28"/>
            <w:highlight w:val="none"/>
            <w:shd w:val="clear" w:color="auto" w:fill="auto"/>
            <w:lang w:val="en-US" w:eastAsia="zh-CN"/>
          </w:rPr>
          <w:alias w:val="建议数字大写，注意各份数相加结果"/>
          <w:tag w:val="合同总份数 "/>
          <w:id w:val="147474502"/>
          <w:placeholder>
            <w:docPart w:val="{caa8f59e-6f08-44a5-8115-4343c4faddd9}"/>
          </w:placeholder>
        </w:sdtPr>
        <w:sdtEndPr>
          <w:rPr>
            <w:rFonts w:hint="eastAsia" w:ascii="宋体" w:hAnsi="宋体" w:eastAsia="宋体" w:cs="宋体"/>
            <w:color w:val="auto"/>
            <w:sz w:val="28"/>
            <w:szCs w:val="28"/>
            <w:highlight w:val="none"/>
            <w:shd w:val="clear" w:color="auto" w:fill="auto"/>
            <w:lang w:val="en-US" w:eastAsia="zh-CN"/>
          </w:rPr>
        </w:sdtEndPr>
        <w:sdtContent>
          <w:permStart w:id="24" w:edGrp="everyone"/>
          <w:r>
            <w:rPr>
              <w:rFonts w:hint="eastAsia" w:ascii="宋体" w:hAnsi="宋体" w:eastAsia="宋体" w:cs="宋体"/>
              <w:color w:val="auto"/>
              <w:sz w:val="28"/>
              <w:szCs w:val="28"/>
              <w:highlight w:val="none"/>
              <w:shd w:val="clear" w:color="auto" w:fill="auto"/>
              <w:lang w:val="en-US" w:eastAsia="zh-CN"/>
            </w:rPr>
            <w:t xml:space="preserve">     </w:t>
          </w:r>
          <w:permEnd w:id="24"/>
        </w:sdtContent>
      </w:sdt>
      <w:r>
        <w:rPr>
          <w:rFonts w:hint="eastAsia" w:ascii="宋体" w:hAnsi="宋体" w:eastAsia="宋体" w:cs="宋体"/>
          <w:color w:val="auto"/>
          <w:sz w:val="28"/>
          <w:szCs w:val="28"/>
          <w:highlight w:val="none"/>
          <w:shd w:val="clear" w:color="auto" w:fill="auto"/>
          <w:lang w:val="zh-CN"/>
        </w:rPr>
        <w:t>份，甲方执</w:t>
      </w:r>
      <w:sdt>
        <w:sdtPr>
          <w:rPr>
            <w:rFonts w:hint="eastAsia" w:ascii="宋体" w:hAnsi="宋体" w:eastAsia="宋体" w:cs="宋体"/>
            <w:color w:val="auto"/>
            <w:sz w:val="28"/>
            <w:szCs w:val="28"/>
            <w:highlight w:val="none"/>
            <w:shd w:val="clear" w:color="auto" w:fill="auto"/>
            <w:lang w:val="en-US" w:eastAsia="zh-CN"/>
          </w:rPr>
          <w:alias w:val="建议数字大写，注意各份数相加结果"/>
          <w:tag w:val="甲方所执份数"/>
          <w:id w:val="525828382"/>
          <w:placeholder>
            <w:docPart w:val="{79a7b27b-ec7f-40e1-97f8-86ddb6550ee2}"/>
          </w:placeholder>
        </w:sdtPr>
        <w:sdtEndPr>
          <w:rPr>
            <w:rFonts w:hint="eastAsia" w:ascii="宋体" w:hAnsi="宋体" w:eastAsia="宋体" w:cs="宋体"/>
            <w:color w:val="auto"/>
            <w:sz w:val="28"/>
            <w:szCs w:val="28"/>
            <w:highlight w:val="none"/>
            <w:shd w:val="clear" w:color="auto" w:fill="auto"/>
            <w:lang w:val="en-US" w:eastAsia="zh-CN"/>
          </w:rPr>
        </w:sdtEndPr>
        <w:sdtContent>
          <w:permStart w:id="25" w:edGrp="everyone"/>
          <w:r>
            <w:rPr>
              <w:rFonts w:hint="eastAsia" w:ascii="宋体" w:hAnsi="宋体" w:eastAsia="宋体" w:cs="宋体"/>
              <w:color w:val="auto"/>
              <w:sz w:val="28"/>
              <w:szCs w:val="28"/>
              <w:highlight w:val="none"/>
              <w:shd w:val="clear" w:color="auto" w:fill="auto"/>
              <w:lang w:val="en-US" w:eastAsia="zh-CN"/>
            </w:rPr>
            <w:t xml:space="preserve">     </w:t>
          </w:r>
          <w:permEnd w:id="25"/>
        </w:sdtContent>
      </w:sdt>
      <w:r>
        <w:rPr>
          <w:rFonts w:hint="eastAsia" w:ascii="宋体" w:hAnsi="宋体" w:eastAsia="宋体" w:cs="宋体"/>
          <w:color w:val="auto"/>
          <w:sz w:val="28"/>
          <w:szCs w:val="28"/>
          <w:highlight w:val="none"/>
          <w:shd w:val="clear" w:color="auto" w:fill="auto"/>
          <w:lang w:val="zh-CN"/>
        </w:rPr>
        <w:t>份，乙方执</w:t>
      </w:r>
      <w:sdt>
        <w:sdtPr>
          <w:rPr>
            <w:rFonts w:hint="eastAsia" w:ascii="宋体" w:hAnsi="宋体" w:eastAsia="宋体" w:cs="宋体"/>
            <w:color w:val="auto"/>
            <w:sz w:val="28"/>
            <w:szCs w:val="28"/>
            <w:highlight w:val="none"/>
            <w:shd w:val="clear" w:color="auto" w:fill="auto"/>
            <w:lang w:val="en-US" w:eastAsia="zh-CN"/>
          </w:rPr>
          <w:alias w:val="建议数字大写，注意各份数相加结果"/>
          <w:tag w:val="乙方所执份数"/>
          <w:id w:val="702408869"/>
          <w:placeholder>
            <w:docPart w:val="{efecf220-b817-4ef4-a656-9c24bb4031d6}"/>
          </w:placeholder>
        </w:sdtPr>
        <w:sdtEndPr>
          <w:rPr>
            <w:rFonts w:hint="eastAsia" w:ascii="宋体" w:hAnsi="宋体" w:eastAsia="宋体" w:cs="宋体"/>
            <w:color w:val="auto"/>
            <w:sz w:val="28"/>
            <w:szCs w:val="28"/>
            <w:highlight w:val="none"/>
            <w:shd w:val="clear" w:color="auto" w:fill="auto"/>
            <w:lang w:val="en-US" w:eastAsia="zh-CN"/>
          </w:rPr>
        </w:sdtEndPr>
        <w:sdtContent>
          <w:permStart w:id="26" w:edGrp="everyone"/>
          <w:r>
            <w:rPr>
              <w:rFonts w:hint="eastAsia" w:ascii="宋体" w:hAnsi="宋体" w:eastAsia="宋体" w:cs="宋体"/>
              <w:color w:val="auto"/>
              <w:sz w:val="28"/>
              <w:szCs w:val="28"/>
              <w:highlight w:val="none"/>
              <w:shd w:val="clear" w:color="auto" w:fill="auto"/>
              <w:lang w:val="en-US" w:eastAsia="zh-CN"/>
            </w:rPr>
            <w:t xml:space="preserve">     </w:t>
          </w:r>
          <w:permEnd w:id="26"/>
        </w:sdtContent>
      </w:sdt>
      <w:r>
        <w:rPr>
          <w:rFonts w:hint="eastAsia" w:ascii="宋体" w:hAnsi="宋体" w:eastAsia="宋体" w:cs="宋体"/>
          <w:color w:val="auto"/>
          <w:sz w:val="28"/>
          <w:szCs w:val="28"/>
          <w:highlight w:val="none"/>
          <w:shd w:val="clear" w:color="auto" w:fill="auto"/>
          <w:lang w:val="zh-CN"/>
        </w:rPr>
        <w:t>份，具有同等法律效力。</w:t>
      </w:r>
    </w:p>
    <w:p w14:paraId="1B8E215C">
      <w:pPr>
        <w:pStyle w:val="2"/>
        <w:pageBreakBefore w:val="0"/>
        <w:kinsoku/>
        <w:wordWrap/>
        <w:overflowPunct/>
        <w:topLinePunct w:val="0"/>
        <w:bidi w:val="0"/>
        <w:spacing w:line="540" w:lineRule="exact"/>
        <w:rPr>
          <w:rFonts w:hint="eastAsia"/>
          <w:color w:val="auto"/>
          <w:highlight w:val="none"/>
          <w:shd w:val="clear" w:color="auto" w:fill="auto"/>
          <w:lang w:val="zh-CN"/>
        </w:rPr>
      </w:pP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en-US" w:eastAsia="zh-CN"/>
        </w:rPr>
        <w:t>本部分以下无正文</w:t>
      </w:r>
      <w:r>
        <w:rPr>
          <w:rFonts w:hint="eastAsia" w:ascii="宋体" w:hAnsi="宋体" w:eastAsia="宋体" w:cs="宋体"/>
          <w:color w:val="auto"/>
          <w:sz w:val="28"/>
          <w:szCs w:val="28"/>
          <w:highlight w:val="none"/>
          <w:shd w:val="clear" w:color="auto" w:fill="auto"/>
          <w:lang w:val="zh-CN"/>
        </w:rPr>
        <w:t>）</w:t>
      </w:r>
    </w:p>
    <w:p w14:paraId="3E43735C">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rPr>
        <w:br w:type="page"/>
      </w:r>
    </w:p>
    <w:p w14:paraId="0BFD63F5">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147480141"/>
          <w:placeholder>
            <w:docPart w:val="{c8922a64-17b9-43a5-83ab-5e5fc8acca8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7" w:edGrp="everyone"/>
          <w:r>
            <w:rPr>
              <w:rFonts w:hint="eastAsia" w:cstheme="minorBidi"/>
              <w:color w:val="auto"/>
              <w:kern w:val="2"/>
              <w:sz w:val="28"/>
              <w:szCs w:val="36"/>
              <w:highlight w:val="none"/>
              <w:u w:val="single"/>
              <w:shd w:val="clear" w:color="auto" w:fill="auto"/>
              <w:lang w:val="en-US" w:eastAsia="zh-CN" w:bidi="ar-SA"/>
            </w:rPr>
            <w:t xml:space="preserve">           </w:t>
          </w:r>
          <w:permEnd w:id="27"/>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668253724"/>
          <w:placeholder>
            <w:docPart w:val="{c78c75e9-5ad5-4972-b8c3-6950fa2a9c11}"/>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14:paraId="6D9E21CF">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kern w:val="0"/>
          <w:sz w:val="28"/>
          <w:szCs w:val="28"/>
          <w:highlight w:val="none"/>
          <w:shd w:val="clear" w:color="auto" w:fill="auto"/>
          <w:lang w:eastAsia="zh-CN"/>
        </w:rPr>
      </w:pPr>
    </w:p>
    <w:p w14:paraId="354F996C">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imes New Roman" w:hAnsi="宋体" w:eastAsia="宋体" w:cs="Times New Roman"/>
          <w:color w:val="auto"/>
          <w:sz w:val="28"/>
          <w:szCs w:val="28"/>
          <w:highlight w:val="none"/>
          <w:shd w:val="clear" w:color="auto" w:fill="auto"/>
          <w:lang w:eastAsia="zh-CN"/>
        </w:rPr>
      </w:pPr>
    </w:p>
    <w:p w14:paraId="21C65432">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49528de5-3463-4d72-bbf1-98758550fe6f}"/>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2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8"/>
        </w:sdtContent>
      </w:sdt>
    </w:p>
    <w:p w14:paraId="0E7384C2">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14:paraId="156D2B4D">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664EF099">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1ECBE05E">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216390E7">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323367CF">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372d2b1e-6235-4d31-ab03-d092e3051bd9}"/>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2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9"/>
        </w:sdtContent>
      </w:sdt>
    </w:p>
    <w:p w14:paraId="45D5ADF2">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14:paraId="4AB2F7BA">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1A240667">
      <w:pPr>
        <w:pageBreakBefore w:val="0"/>
        <w:kinsoku/>
        <w:wordWrap/>
        <w:overflowPunct/>
        <w:topLinePunct w:val="0"/>
        <w:bidi w:val="0"/>
        <w:spacing w:line="540" w:lineRule="exac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br w:type="page"/>
      </w:r>
    </w:p>
    <w:p w14:paraId="7EBE5D6E">
      <w:pPr>
        <w:pageBreakBefore w:val="0"/>
        <w:tabs>
          <w:tab w:val="center" w:pos="4560"/>
          <w:tab w:val="right" w:pos="9120"/>
        </w:tabs>
        <w:kinsoku/>
        <w:wordWrap/>
        <w:overflowPunct/>
        <w:topLinePunct w:val="0"/>
        <w:bidi w:val="0"/>
        <w:snapToGrid w:val="0"/>
        <w:spacing w:line="540" w:lineRule="exact"/>
        <w:ind w:firstLine="562" w:firstLineChars="200"/>
        <w:jc w:val="center"/>
        <w:outlineLvl w:val="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第二部分　标准条件</w:t>
      </w:r>
    </w:p>
    <w:p w14:paraId="65407711">
      <w:pPr>
        <w:pageBreakBefore w:val="0"/>
        <w:tabs>
          <w:tab w:val="center" w:pos="4560"/>
          <w:tab w:val="right" w:pos="9120"/>
        </w:tabs>
        <w:kinsoku/>
        <w:wordWrap/>
        <w:overflowPunct/>
        <w:topLinePunct w:val="0"/>
        <w:bidi w:val="0"/>
        <w:snapToGrid w:val="0"/>
        <w:spacing w:line="540" w:lineRule="exact"/>
        <w:ind w:firstLine="562" w:firstLineChars="200"/>
        <w:jc w:val="center"/>
        <w:rPr>
          <w:rFonts w:hint="eastAsia" w:ascii="宋体" w:hAnsi="宋体" w:eastAsia="宋体" w:cs="宋体"/>
          <w:b/>
          <w:color w:val="auto"/>
          <w:sz w:val="28"/>
          <w:szCs w:val="28"/>
          <w:highlight w:val="none"/>
          <w:shd w:val="clear" w:color="auto" w:fill="auto"/>
        </w:rPr>
      </w:pPr>
    </w:p>
    <w:p w14:paraId="3BD34BFD">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bookmarkStart w:id="12" w:name="_Toc1418"/>
      <w:r>
        <w:rPr>
          <w:rFonts w:hint="eastAsia" w:ascii="宋体" w:hAnsi="宋体" w:eastAsia="宋体" w:cs="宋体"/>
          <w:b/>
          <w:color w:val="auto"/>
          <w:sz w:val="28"/>
          <w:szCs w:val="28"/>
          <w:highlight w:val="none"/>
          <w:shd w:val="clear" w:color="auto" w:fill="auto"/>
        </w:rPr>
        <w:t>词语定义、适用语言和法律、法规</w:t>
      </w:r>
      <w:bookmarkEnd w:id="12"/>
    </w:p>
    <w:p w14:paraId="4198A620">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第一条 下列名词和用语，除上下文另有规定外具有如下含义。</w:t>
      </w:r>
    </w:p>
    <w:p w14:paraId="6227878E">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1."委托人"是指委托建设工程造价咨询业务和聘用工程造价咨询单位的一方，及其合法继承人。</w:t>
      </w:r>
    </w:p>
    <w:p w14:paraId="62274F88">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2."咨询人"是指承担建设工程造价咨询业务和工程造价咨询责任的一方，及其合法继承人。</w:t>
      </w:r>
    </w:p>
    <w:p w14:paraId="03E81F25">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3."第三人"是指除委托人、咨询人以外与本咨询业务有关的当事人。</w:t>
      </w:r>
    </w:p>
    <w:p w14:paraId="2437DD8D">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4."日"是指任何一天零时至第二天零时的时间段。</w:t>
      </w:r>
    </w:p>
    <w:p w14:paraId="2D439AA6">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第二条 建设工程造价咨询合同适用的是中国的法律、法规，以及专用条件中议定的部门规章、工程造价有关计价办法和规定或项目所在地的地方法规、地方规章。</w:t>
      </w:r>
    </w:p>
    <w:p w14:paraId="681BFB80">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第三条 建设工程造价咨询合同的书写、解释和说明，以汉语为标准语言。当不同语言文本发生不同解释时，以汉语合同文本为准。</w:t>
      </w:r>
    </w:p>
    <w:p w14:paraId="48C81691">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bookmarkStart w:id="13" w:name="_Toc1292"/>
      <w:r>
        <w:rPr>
          <w:rFonts w:hint="eastAsia" w:ascii="宋体" w:hAnsi="宋体" w:eastAsia="宋体" w:cs="宋体"/>
          <w:b/>
          <w:color w:val="auto"/>
          <w:sz w:val="28"/>
          <w:szCs w:val="28"/>
          <w:highlight w:val="none"/>
          <w:shd w:val="clear" w:color="auto" w:fill="auto"/>
        </w:rPr>
        <w:t>咨询人的义务</w:t>
      </w:r>
      <w:bookmarkEnd w:id="13"/>
    </w:p>
    <w:p w14:paraId="76B78A72">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第四条 向委托人提供与工程造价咨询业务有关的资料，包括工程造价咨询的资质证书及承担本合同业务的专业人员名单、咨询工作计划等，并按合同专用条件中约定的范围实施咨询服务。</w:t>
      </w:r>
    </w:p>
    <w:p w14:paraId="4320733D">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第五条 咨询人在履行本合同期间，向委托人提供的服务包括正常服务、附加服务和额外服务。</w:t>
      </w:r>
    </w:p>
    <w:p w14:paraId="4F128F6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 "正常服务"是指双方在专用条件第4条中所约定咨询服务范围内的所有服务；</w:t>
      </w:r>
    </w:p>
    <w:p w14:paraId="575D5D4C">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2."附加服务"是指在"正常服务"以外，经双方书面协议确定的其他工程造价咨询服务；</w:t>
      </w:r>
    </w:p>
    <w:p w14:paraId="4970A76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 "额外服务"是指不属于"正常服务"和"附加服务"，但根据合同标准条件第十三条、第二十条和第二十二条的约定，咨询人应增加的额外工作量。</w:t>
      </w:r>
    </w:p>
    <w:p w14:paraId="3115F8C1">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第六条 甲乙双方保证对在履行本合同过程中所获悉的属于对方的商业和技术秘密予以保密。未经一方同意，另一方不得向任何第三方泄露该商业和技术秘密的全部或部分内容。无论本合同是否生效、被撤销、变更、解除或终止，双方仍应执行本保密条款，如违反本保密条款给对方造成损失的，应承担赔偿责任。</w:t>
      </w:r>
    </w:p>
    <w:p w14:paraId="377660AF">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bookmarkStart w:id="14" w:name="_Toc22982"/>
      <w:r>
        <w:rPr>
          <w:rFonts w:hint="eastAsia" w:ascii="宋体" w:hAnsi="宋体" w:eastAsia="宋体" w:cs="宋体"/>
          <w:b/>
          <w:color w:val="auto"/>
          <w:sz w:val="28"/>
          <w:szCs w:val="28"/>
          <w:highlight w:val="none"/>
          <w:shd w:val="clear" w:color="auto" w:fill="auto"/>
        </w:rPr>
        <w:t>委托人的义务</w:t>
      </w:r>
      <w:bookmarkEnd w:id="14"/>
    </w:p>
    <w:p w14:paraId="57217067">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第七条 委托人应负责与本建设工程造价咨询服务有关第三人的协调工作，为咨询人工作提供外部条件。</w:t>
      </w:r>
    </w:p>
    <w:p w14:paraId="5C34BEDE">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第八条 委托人应当在约定的时间内，免费向咨询人提供与本项目咨询业务有关的资料。</w:t>
      </w:r>
    </w:p>
    <w:p w14:paraId="74032B3D">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第九条 委托人应当在约定的时间内就咨询人书面提交并要求做出答复的事宜做出书面答复。咨询人要求第三人提供有关资料时，委托人应负责转达及资料转送。</w:t>
      </w:r>
    </w:p>
    <w:p w14:paraId="3FD0A6A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第十条 委托人应当授权胜任本咨询业务的代表，负责与咨询人联系。</w:t>
      </w:r>
    </w:p>
    <w:p w14:paraId="75F2DE59">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bookmarkStart w:id="15" w:name="_Toc8329"/>
      <w:r>
        <w:rPr>
          <w:rFonts w:hint="eastAsia" w:ascii="宋体" w:hAnsi="宋体" w:eastAsia="宋体" w:cs="宋体"/>
          <w:b/>
          <w:color w:val="auto"/>
          <w:sz w:val="28"/>
          <w:szCs w:val="28"/>
          <w:highlight w:val="none"/>
          <w:shd w:val="clear" w:color="auto" w:fill="auto"/>
        </w:rPr>
        <w:t>咨询人的权利</w:t>
      </w:r>
      <w:bookmarkEnd w:id="15"/>
    </w:p>
    <w:p w14:paraId="7679998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第十一条 委托人在委托的建设工程造价咨询业务范围内，授予咨询人以下权利：</w:t>
      </w:r>
    </w:p>
    <w:p w14:paraId="38F53E4C">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1.咨询人在咨询过程中，如委托人提供的资料不明确时可向委托人提出书面报告。</w:t>
      </w:r>
    </w:p>
    <w:p w14:paraId="685744F1">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2.咨询人在咨询过程中，有权对第三人提出与本咨询业务有关的问题进行核对或查问。</w:t>
      </w:r>
    </w:p>
    <w:p w14:paraId="0D661828">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3.咨询人在咨询过程中，有到工程现场勘察的权利。</w:t>
      </w:r>
    </w:p>
    <w:p w14:paraId="4AC606A3">
      <w:pPr>
        <w:pageBreakBefore w:val="0"/>
        <w:tabs>
          <w:tab w:val="center" w:pos="4560"/>
          <w:tab w:val="right" w:pos="9120"/>
        </w:tabs>
        <w:kinsoku/>
        <w:wordWrap/>
        <w:overflowPunct/>
        <w:topLinePunct w:val="0"/>
        <w:bidi w:val="0"/>
        <w:snapToGrid w:val="0"/>
        <w:spacing w:line="540" w:lineRule="exact"/>
        <w:ind w:firstLine="562" w:firstLineChars="200"/>
        <w:outlineLvl w:val="9"/>
        <w:rPr>
          <w:rFonts w:hint="eastAsia" w:ascii="宋体" w:hAnsi="宋体" w:eastAsia="宋体" w:cs="宋体"/>
          <w:b/>
          <w:color w:val="auto"/>
          <w:sz w:val="28"/>
          <w:szCs w:val="28"/>
          <w:highlight w:val="none"/>
          <w:shd w:val="clear" w:color="auto" w:fill="auto"/>
        </w:rPr>
      </w:pPr>
      <w:bookmarkStart w:id="16" w:name="_Toc350"/>
      <w:r>
        <w:rPr>
          <w:rFonts w:hint="eastAsia" w:ascii="宋体" w:hAnsi="宋体" w:eastAsia="宋体" w:cs="宋体"/>
          <w:b/>
          <w:color w:val="auto"/>
          <w:sz w:val="28"/>
          <w:szCs w:val="28"/>
          <w:highlight w:val="none"/>
          <w:shd w:val="clear" w:color="auto" w:fill="auto"/>
        </w:rPr>
        <w:t>委托人的权利</w:t>
      </w:r>
      <w:bookmarkEnd w:id="16"/>
    </w:p>
    <w:p w14:paraId="48A93C30">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第十二条 委托人有下列权利：</w:t>
      </w:r>
    </w:p>
    <w:p w14:paraId="69B2036C">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1.委托人有权向咨询人询问工作进展情况及相关的内容。</w:t>
      </w:r>
    </w:p>
    <w:p w14:paraId="6A006909">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2.委托人有权阐述对具体问题的意见和建议。</w:t>
      </w:r>
    </w:p>
    <w:p w14:paraId="3D43F801">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3.当委托人认定咨询专业人员不按咨询合同履行其职责，或与第三人串通给委托人造成经济损失的，委托人有权要求更换咨询专业人员，直至终止合同并要求咨询人承担相应的赔偿责任。</w:t>
      </w:r>
    </w:p>
    <w:p w14:paraId="14686A5E">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bookmarkStart w:id="17" w:name="_Toc29616"/>
      <w:r>
        <w:rPr>
          <w:rFonts w:hint="eastAsia" w:ascii="宋体" w:hAnsi="宋体" w:eastAsia="宋体" w:cs="宋体"/>
          <w:b/>
          <w:color w:val="auto"/>
          <w:sz w:val="28"/>
          <w:szCs w:val="28"/>
          <w:highlight w:val="none"/>
          <w:shd w:val="clear" w:color="auto" w:fill="auto"/>
        </w:rPr>
        <w:t>咨询人的责任</w:t>
      </w:r>
      <w:bookmarkEnd w:id="17"/>
    </w:p>
    <w:p w14:paraId="72D5AC07">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第十三条 咨询人的责任期即建设工程造价咨询合同有效期。如因非咨询人的责任造成进度的推迟或延误而超过约定的日期，双方</w:t>
      </w:r>
      <w:r>
        <w:rPr>
          <w:rFonts w:hint="default" w:ascii="宋体" w:hAnsi="宋体" w:eastAsia="宋体" w:cs="宋体"/>
          <w:color w:val="auto"/>
          <w:sz w:val="28"/>
          <w:szCs w:val="28"/>
          <w:highlight w:val="none"/>
          <w:shd w:val="clear" w:color="auto" w:fill="auto"/>
          <w:lang w:val="en-US"/>
        </w:rPr>
        <w:t>应</w:t>
      </w:r>
      <w:r>
        <w:rPr>
          <w:rFonts w:hint="eastAsia" w:ascii="宋体" w:hAnsi="宋体" w:eastAsia="宋体" w:cs="宋体"/>
          <w:color w:val="auto"/>
          <w:sz w:val="28"/>
          <w:szCs w:val="28"/>
          <w:highlight w:val="none"/>
          <w:shd w:val="clear" w:color="auto" w:fill="auto"/>
        </w:rPr>
        <w:t>进一步约定相应延长合同有效期。延长期限所导致增加的费用由咨询人承担，委托人不再另行支付费用。</w:t>
      </w:r>
    </w:p>
    <w:p w14:paraId="2CF78CFE">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第十四条 咨询人责任期内，应当履行合同约定的义务，因咨询人的故意或过失造成的经济损失，应当向委托人进行赔偿。</w:t>
      </w:r>
    </w:p>
    <w:p w14:paraId="61D5A330">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第十五条 咨询人对委托人或第三人所提出的问题不能及时核对或答复，导致合同不能全部或部分履行，咨询人应承担责任，并应当向委托人进行赔偿。</w:t>
      </w:r>
    </w:p>
    <w:p w14:paraId="50C5DDDA">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第十六条 咨询人向委托人提出赔偿要求不能成立时，则应补偿由于该赔偿或其他要求所导致委托人的各种费用的支出。</w:t>
      </w:r>
    </w:p>
    <w:p w14:paraId="16BB8F24">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第十七条 咨询人在合同履行期间应严格执行南方电网有限责任公司相关管理制度及规定，包括《中国南方电网有限责任公司电力事故事件调查规程》、《中国南方电网有限责任公司电力安全工作规程》、《中国南方电网有限责任公司基建管理规定》、《中国南方电网有限责任公司生产项目管理办法》、《中国南方电网有限责任公司供应商管理办法》等相关规定和指引，如有违反，咨询人自愿按照相关规定，接受南方电网系统内通报批评、评标扣分、等级下调、承包商评价扣分、经济责任追究以及限制一定时期市场禁入等处理。</w:t>
      </w:r>
    </w:p>
    <w:p w14:paraId="0F56BF41">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bookmarkStart w:id="18" w:name="_Toc437"/>
      <w:r>
        <w:rPr>
          <w:rFonts w:hint="eastAsia" w:ascii="宋体" w:hAnsi="宋体" w:eastAsia="宋体" w:cs="宋体"/>
          <w:b/>
          <w:color w:val="auto"/>
          <w:sz w:val="28"/>
          <w:szCs w:val="28"/>
          <w:highlight w:val="none"/>
          <w:shd w:val="clear" w:color="auto" w:fill="auto"/>
        </w:rPr>
        <w:t>委托人的责任</w:t>
      </w:r>
      <w:bookmarkEnd w:id="18"/>
    </w:p>
    <w:p w14:paraId="3594F436">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第十八条 委托人应当履行建设工程造价咨询合同约定的义务，如有违反则应当承担违约责任，赔偿给咨询人造成的损失。</w:t>
      </w:r>
    </w:p>
    <w:p w14:paraId="6CE13AB4">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第十九条 委托人如果向咨询人提出赔偿或其他要求不能成立时，则应补偿由于该赔偿或其他要求所导致咨询人的各种费用的支出。</w:t>
      </w:r>
    </w:p>
    <w:p w14:paraId="207C1E44">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合同生效，变更与终止</w:t>
      </w:r>
    </w:p>
    <w:p w14:paraId="269B09A3">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第二十条 本合同自双方签字盖章之日起生效。</w:t>
      </w:r>
    </w:p>
    <w:p w14:paraId="64FDEA57">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第二十一条 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14:paraId="10FC6F38">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第二十二条 当事人一方要求变更或解除合同时，则应当在14日前通知对方，经另一方书面同意后，可变更或解除合同；因变更或解除合同使一方遭受损失的，应由责任方负责赔偿。</w:t>
      </w:r>
    </w:p>
    <w:p w14:paraId="7E1D4729">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第二十三条 咨询人由于非自身原因暂停或终止执行建设工程造价咨询业务，由此而增加的恢复执行建设工程造价咨询业务的工作，应视为额外服务，有权得到额外的时间和酬金。</w:t>
      </w:r>
    </w:p>
    <w:p w14:paraId="70CDF2EA">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第二十四条 变更或解除合同的通知或协议应当采取书面形式，新的协议未达成之前，原合同仍然有效。</w:t>
      </w:r>
    </w:p>
    <w:p w14:paraId="1CFD1901">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bookmarkStart w:id="19" w:name="_Toc32362"/>
      <w:r>
        <w:rPr>
          <w:rFonts w:hint="eastAsia" w:ascii="宋体" w:hAnsi="宋体" w:eastAsia="宋体" w:cs="宋体"/>
          <w:b/>
          <w:color w:val="auto"/>
          <w:sz w:val="28"/>
          <w:szCs w:val="28"/>
          <w:highlight w:val="none"/>
          <w:shd w:val="clear" w:color="auto" w:fill="auto"/>
        </w:rPr>
        <w:t>咨询业务的酬金</w:t>
      </w:r>
      <w:bookmarkEnd w:id="19"/>
    </w:p>
    <w:p w14:paraId="31111865">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第二十五条 正常的建设工程造价咨询业务，附加工作和额外工作的酬金，按照合同专用条件约定的方法计取，并按约定的时间和数额支付。</w:t>
      </w:r>
    </w:p>
    <w:p w14:paraId="3E291749">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第二十六条 如果委托人在规定的支付期限内未支付建设工程造价咨询酬金，自支付期限届满之次日，应当向咨询人补偿支付酬金利息。利息按本合同约定支付期限最后一日银行活期存款利率乘以拖欠酬金的时间计算。</w:t>
      </w:r>
    </w:p>
    <w:p w14:paraId="3AEE03C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第二十七条 如果委托人对咨询人提交的支付通知书中酬金或部分酬金项目提出异议，应当在收到支付通知书两日内向咨询人发出异议的通知，但委托人不得拖延其无异议酬金项目的支付。</w:t>
      </w:r>
    </w:p>
    <w:p w14:paraId="6955F186">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第二十八条 支付建设工程造价咨询酬金所采取的货币币种、汇率由合同专用条件约定。</w:t>
      </w:r>
    </w:p>
    <w:p w14:paraId="63877F03">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验收标准和方式</w:t>
      </w:r>
    </w:p>
    <w:p w14:paraId="4AD9F2F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第二十九条 咨询人在完成本合同约定的咨询服务内容后向委托人提交书面咨询报告或咨询成果，委托人按照本条的约定进行验收。</w:t>
      </w:r>
    </w:p>
    <w:p w14:paraId="427EA98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1.委托人应当在接到咨询人书面咨询报告或咨询成果后及时组织验收。</w:t>
      </w:r>
    </w:p>
    <w:p w14:paraId="71FE1541">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2.验收标准：详见合同专用条件。</w:t>
      </w:r>
    </w:p>
    <w:p w14:paraId="6351F46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3.验收后的处理：</w:t>
      </w:r>
    </w:p>
    <w:p w14:paraId="39FFC168">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（1）验收通过，委托人应对咨询报告或咨询成果书面确认并通知咨询人。</w:t>
      </w:r>
    </w:p>
    <w:p w14:paraId="4CBEFE55">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验收未通过，委托人应出具验收不合格的书面意见给咨询人。咨询人应当及时根据甲方的验收意见对咨询报告（或意见）进行修改和完善，并再次向委托人申请验收，若第二次验收仍未通过的，委托人有权解除本合同，咨询人应当按照本合同的约定承担违约责任。</w:t>
      </w:r>
    </w:p>
    <w:p w14:paraId="08783B18">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4.委托人对书面咨询报告或咨询成果确认，不能视为免除</w:t>
      </w:r>
      <w:r>
        <w:rPr>
          <w:rFonts w:hint="eastAsia" w:ascii="宋体" w:hAnsi="宋体" w:cs="宋体"/>
          <w:color w:val="auto"/>
          <w:sz w:val="28"/>
          <w:szCs w:val="28"/>
          <w:highlight w:val="none"/>
          <w:shd w:val="clear" w:color="auto" w:fill="auto"/>
          <w:lang w:val="en-US" w:eastAsia="zh-CN"/>
        </w:rPr>
        <w:t>或减轻</w:t>
      </w:r>
      <w:r>
        <w:rPr>
          <w:rFonts w:hint="eastAsia" w:ascii="宋体" w:hAnsi="宋体" w:eastAsia="宋体" w:cs="宋体"/>
          <w:color w:val="auto"/>
          <w:sz w:val="28"/>
          <w:szCs w:val="28"/>
          <w:highlight w:val="none"/>
          <w:shd w:val="clear" w:color="auto" w:fill="auto"/>
        </w:rPr>
        <w:t>咨询人对咨询报告或咨询成果存在缺陷所应负的责任，如存在缺陷的，咨询人应免费予以修正和完善。咨询人不予解决的，委托人有权委托第三方解决，</w:t>
      </w:r>
      <w:r>
        <w:rPr>
          <w:rFonts w:hint="eastAsia" w:ascii="宋体" w:hAnsi="宋体" w:cs="宋体"/>
          <w:color w:val="auto"/>
          <w:sz w:val="28"/>
          <w:szCs w:val="28"/>
          <w:highlight w:val="none"/>
          <w:shd w:val="clear" w:color="auto" w:fill="auto"/>
          <w:lang w:val="en-US" w:eastAsia="zh-CN"/>
        </w:rPr>
        <w:t>因此产生的费用全部由咨询人承担，且</w:t>
      </w:r>
      <w:r>
        <w:rPr>
          <w:rFonts w:hint="eastAsia" w:ascii="宋体" w:hAnsi="宋体" w:eastAsia="宋体" w:cs="宋体"/>
          <w:color w:val="auto"/>
          <w:sz w:val="28"/>
          <w:szCs w:val="28"/>
          <w:highlight w:val="none"/>
          <w:shd w:val="clear" w:color="auto" w:fill="auto"/>
        </w:rPr>
        <w:t>咨询人</w:t>
      </w:r>
      <w:r>
        <w:rPr>
          <w:rFonts w:hint="eastAsia" w:ascii="宋体" w:hAnsi="宋体" w:cs="宋体"/>
          <w:color w:val="auto"/>
          <w:sz w:val="28"/>
          <w:szCs w:val="28"/>
          <w:highlight w:val="none"/>
          <w:shd w:val="clear" w:color="auto" w:fill="auto"/>
          <w:lang w:val="en-US" w:eastAsia="zh-CN"/>
        </w:rPr>
        <w:t>还</w:t>
      </w:r>
      <w:r>
        <w:rPr>
          <w:rFonts w:hint="eastAsia" w:ascii="宋体" w:hAnsi="宋体" w:eastAsia="宋体" w:cs="宋体"/>
          <w:color w:val="auto"/>
          <w:sz w:val="28"/>
          <w:szCs w:val="28"/>
          <w:highlight w:val="none"/>
          <w:shd w:val="clear" w:color="auto" w:fill="auto"/>
        </w:rPr>
        <w:t>应赔偿由此给委托人造成的一切损失。</w:t>
      </w:r>
    </w:p>
    <w:p w14:paraId="22DE356A">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违约责任</w:t>
      </w:r>
    </w:p>
    <w:p w14:paraId="771522E4">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第三十条 委托人和咨询人应按照本合同的约定履行合同，如因合同一方未按照本合同的约定履行的，应当承担违约责任。违约责任不足以弥补对方损失的，还应当承担赔偿责任。</w:t>
      </w:r>
    </w:p>
    <w:p w14:paraId="0D64917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第三十一条 因咨询人原因导致委托人解除合同的，未支付的不再支付，已支付的报酬咨询人应予以退还，并按照</w:t>
      </w:r>
      <w:r>
        <w:rPr>
          <w:rFonts w:hint="eastAsia" w:ascii="宋体" w:hAnsi="宋体" w:cs="宋体"/>
          <w:color w:val="auto"/>
          <w:sz w:val="28"/>
          <w:szCs w:val="28"/>
          <w:highlight w:val="none"/>
          <w:shd w:val="clear" w:color="auto" w:fill="auto"/>
          <w:lang w:val="en-US" w:eastAsia="zh-CN"/>
        </w:rPr>
        <w:t>同期贷款市场报价利率（LPR）</w:t>
      </w:r>
      <w:r>
        <w:rPr>
          <w:rFonts w:hint="eastAsia" w:ascii="宋体" w:hAnsi="宋体" w:eastAsia="宋体" w:cs="宋体"/>
          <w:color w:val="auto"/>
          <w:sz w:val="28"/>
          <w:szCs w:val="28"/>
          <w:highlight w:val="none"/>
          <w:shd w:val="clear" w:color="auto" w:fill="auto"/>
        </w:rPr>
        <w:t>向委托人支付利息，还应向委托人支付违约金，违约金不足以弥补甲方损失的，应承担赔偿责任。</w:t>
      </w:r>
    </w:p>
    <w:p w14:paraId="4BB9ACF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第三十二条 咨询人不能按照本合同约定时间提交咨询报告或咨询成果的，应</w:t>
      </w:r>
      <w:r>
        <w:rPr>
          <w:rFonts w:hint="eastAsia" w:ascii="宋体" w:hAnsi="宋体" w:eastAsia="宋体" w:cs="宋体"/>
          <w:color w:val="auto"/>
          <w:sz w:val="28"/>
          <w:szCs w:val="28"/>
          <w:highlight w:val="none"/>
          <w:shd w:val="clear" w:color="auto" w:fill="auto"/>
          <w:lang w:val="en-US" w:eastAsia="zh-CN"/>
        </w:rPr>
        <w:t>向</w:t>
      </w:r>
      <w:r>
        <w:rPr>
          <w:rFonts w:hint="eastAsia" w:ascii="宋体" w:hAnsi="宋体" w:eastAsia="宋体" w:cs="宋体"/>
          <w:color w:val="auto"/>
          <w:sz w:val="28"/>
          <w:szCs w:val="28"/>
          <w:highlight w:val="none"/>
          <w:shd w:val="clear" w:color="auto" w:fill="auto"/>
        </w:rPr>
        <w:t>委托人支付违约金。咨询人迟延提交咨询报告或咨询成果超过一定时间的，委托人可以解除合同。</w:t>
      </w:r>
    </w:p>
    <w:p w14:paraId="5A627B25">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合同争议的解决</w:t>
      </w:r>
    </w:p>
    <w:p w14:paraId="56EBD054">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第三十三条 合同在履行过程中发生争议，委托人应与咨询应及时协商解决；如未能达成一致，可提交有关主管部门调解；协商或调解不成的，采用提交仲裁或依法向委托人所在地的人民法院起诉等方式解决。</w:t>
      </w:r>
    </w:p>
    <w:p w14:paraId="1AEA7F32">
      <w:pPr>
        <w:pageBreakBefore w:val="0"/>
        <w:tabs>
          <w:tab w:val="center" w:pos="4560"/>
          <w:tab w:val="right" w:pos="9120"/>
        </w:tabs>
        <w:kinsoku/>
        <w:wordWrap/>
        <w:overflowPunct/>
        <w:topLinePunct w:val="0"/>
        <w:bidi w:val="0"/>
        <w:snapToGrid w:val="0"/>
        <w:spacing w:line="540" w:lineRule="exact"/>
        <w:ind w:firstLine="562" w:firstLineChars="200"/>
        <w:outlineLvl w:val="1"/>
        <w:rPr>
          <w:rFonts w:hint="eastAsia" w:ascii="宋体" w:hAnsi="宋体" w:eastAsia="宋体" w:cs="宋体"/>
          <w:b/>
          <w:color w:val="auto"/>
          <w:sz w:val="28"/>
          <w:szCs w:val="28"/>
          <w:highlight w:val="none"/>
          <w:shd w:val="clear" w:color="auto" w:fill="auto"/>
        </w:rPr>
      </w:pPr>
      <w:bookmarkStart w:id="20" w:name="_Toc21233"/>
      <w:r>
        <w:rPr>
          <w:rFonts w:hint="eastAsia" w:ascii="宋体" w:hAnsi="宋体" w:eastAsia="宋体" w:cs="宋体"/>
          <w:b/>
          <w:color w:val="auto"/>
          <w:sz w:val="28"/>
          <w:szCs w:val="28"/>
          <w:highlight w:val="none"/>
          <w:shd w:val="clear" w:color="auto" w:fill="auto"/>
        </w:rPr>
        <w:t>其他</w:t>
      </w:r>
      <w:bookmarkEnd w:id="20"/>
    </w:p>
    <w:p w14:paraId="3F8D921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第三十四条 因建设工程造价咨询业务的需要，咨询人在合同约定外的外出考察，经委托人同意的，其所需费用由委托人负责。</w:t>
      </w:r>
    </w:p>
    <w:p w14:paraId="4511C474">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第三十五条 咨询人如需外聘专家协助，在委托的建设工程造价咨询业务范围内其费用由咨询人承担；在委托的建设工程造价咨询业务范围以外经委托人认可其费用由委托人承担。</w:t>
      </w:r>
    </w:p>
    <w:p w14:paraId="5370F62D">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第三十六条 未经对方的书面同意，各方均不得转让合同约定的权利和义务。</w:t>
      </w:r>
    </w:p>
    <w:p w14:paraId="75BF9A0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第三十七条 除委托人书面同意外，咨询人及咨询专业人员不应接受建设工程造价咨询合同约定以外的与工程造价咨询项目有关的任何报酬。</w:t>
      </w:r>
    </w:p>
    <w:p w14:paraId="4BF8DE2A">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第三十八条 咨询人不得参与可能与合同规定的与委托人利益相冲突的任何活动。</w:t>
      </w:r>
    </w:p>
    <w:p w14:paraId="0B9972ED">
      <w:pPr>
        <w:pageBreakBefore w:val="0"/>
        <w:tabs>
          <w:tab w:val="center" w:pos="4560"/>
          <w:tab w:val="right" w:pos="9120"/>
        </w:tabs>
        <w:kinsoku/>
        <w:wordWrap/>
        <w:overflowPunct/>
        <w:topLinePunct w:val="0"/>
        <w:bidi w:val="0"/>
        <w:snapToGrid w:val="0"/>
        <w:spacing w:line="540" w:lineRule="exact"/>
        <w:ind w:firstLine="399" w:firstLineChars="142"/>
        <w:jc w:val="center"/>
        <w:rPr>
          <w:rFonts w:hint="eastAsia" w:ascii="宋体" w:hAnsi="宋体" w:eastAsia="宋体" w:cs="宋体"/>
          <w:b/>
          <w:color w:val="auto"/>
          <w:sz w:val="28"/>
          <w:szCs w:val="28"/>
          <w:highlight w:val="none"/>
          <w:shd w:val="clear" w:color="auto" w:fill="auto"/>
        </w:rPr>
        <w:sectPr>
          <w:footerReference r:id="rId3" w:type="default"/>
          <w:pgSz w:w="12240" w:h="15840"/>
          <w:pgMar w:top="1440" w:right="1800" w:bottom="1440" w:left="1800" w:header="720" w:footer="720" w:gutter="0"/>
          <w:cols w:space="0" w:num="1"/>
          <w:rtlGutter w:val="0"/>
          <w:docGrid w:linePitch="285" w:charSpace="0"/>
        </w:sectPr>
      </w:pPr>
    </w:p>
    <w:p w14:paraId="1424F813">
      <w:pPr>
        <w:pageBreakBefore w:val="0"/>
        <w:tabs>
          <w:tab w:val="center" w:pos="4560"/>
          <w:tab w:val="right" w:pos="9120"/>
        </w:tabs>
        <w:kinsoku/>
        <w:wordWrap/>
        <w:overflowPunct/>
        <w:topLinePunct w:val="0"/>
        <w:bidi w:val="0"/>
        <w:snapToGrid w:val="0"/>
        <w:spacing w:line="540" w:lineRule="exact"/>
        <w:ind w:firstLine="399" w:firstLineChars="142"/>
        <w:jc w:val="center"/>
        <w:outlineLvl w:val="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第三部分  专用条件</w:t>
      </w:r>
    </w:p>
    <w:p w14:paraId="20E3B5E1">
      <w:pPr>
        <w:pStyle w:val="37"/>
        <w:pageBreakBefore w:val="0"/>
        <w:tabs>
          <w:tab w:val="left" w:pos="0"/>
        </w:tabs>
        <w:kinsoku/>
        <w:wordWrap/>
        <w:overflowPunct/>
        <w:topLinePunct w:val="0"/>
        <w:bidi w:val="0"/>
        <w:spacing w:before="0" w:beforeAutospacing="0" w:after="0" w:afterAutospacing="0" w:line="540" w:lineRule="exact"/>
        <w:ind w:firstLine="539"/>
        <w:jc w:val="both"/>
        <w:rPr>
          <w:rFonts w:hint="eastAsia" w:ascii="宋体" w:hAnsi="宋体" w:eastAsia="宋体" w:cs="宋体"/>
          <w:color w:val="auto"/>
          <w:sz w:val="28"/>
          <w:szCs w:val="28"/>
          <w:highlight w:val="none"/>
          <w:shd w:val="clear" w:color="auto" w:fill="auto"/>
        </w:rPr>
      </w:pPr>
    </w:p>
    <w:p w14:paraId="750ECA39">
      <w:pPr>
        <w:pStyle w:val="37"/>
        <w:pageBreakBefore w:val="0"/>
        <w:tabs>
          <w:tab w:val="left" w:pos="0"/>
        </w:tabs>
        <w:kinsoku/>
        <w:wordWrap/>
        <w:overflowPunct/>
        <w:topLinePunct w:val="0"/>
        <w:bidi w:val="0"/>
        <w:spacing w:before="0" w:beforeAutospacing="0" w:after="0" w:afterAutospacing="0" w:line="540" w:lineRule="exact"/>
        <w:ind w:firstLine="539"/>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第二条 本合同适用的法律、法规及工程造价咨询计价办法和规定： </w:t>
      </w:r>
    </w:p>
    <w:p w14:paraId="428E1A56">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1.本合同适用的法律、法规：</w:t>
      </w:r>
      <w:permStart w:id="30" w:edGrp="everyone"/>
      <w:r>
        <w:rPr>
          <w:rFonts w:hint="eastAsia" w:ascii="宋体" w:hAnsi="宋体" w:eastAsia="宋体" w:cs="宋体"/>
          <w:color w:val="auto"/>
          <w:kern w:val="0"/>
          <w:sz w:val="28"/>
          <w:szCs w:val="28"/>
          <w:highlight w:val="none"/>
          <w:u w:val="single"/>
          <w:shd w:val="clear" w:color="auto" w:fill="auto"/>
        </w:rPr>
        <w:t>《中华人民共和国</w:t>
      </w:r>
      <w:r>
        <w:rPr>
          <w:rFonts w:hint="eastAsia" w:ascii="宋体" w:hAnsi="宋体" w:eastAsia="宋体" w:cs="宋体"/>
          <w:color w:val="auto"/>
          <w:kern w:val="0"/>
          <w:sz w:val="28"/>
          <w:szCs w:val="28"/>
          <w:highlight w:val="none"/>
          <w:u w:val="single"/>
          <w:shd w:val="clear" w:color="auto" w:fill="auto"/>
          <w:lang w:eastAsia="zh-CN"/>
        </w:rPr>
        <w:t>民法典</w:t>
      </w:r>
      <w:r>
        <w:rPr>
          <w:rFonts w:hint="eastAsia" w:ascii="宋体" w:hAnsi="宋体" w:eastAsia="宋体" w:cs="宋体"/>
          <w:color w:val="auto"/>
          <w:kern w:val="0"/>
          <w:sz w:val="28"/>
          <w:szCs w:val="28"/>
          <w:highlight w:val="none"/>
          <w:u w:val="single"/>
          <w:shd w:val="clear" w:color="auto" w:fill="auto"/>
        </w:rPr>
        <w:t>》</w:t>
      </w:r>
      <w:permEnd w:id="30"/>
      <w:r>
        <w:rPr>
          <w:rFonts w:hint="eastAsia" w:ascii="宋体" w:hAnsi="宋体" w:eastAsia="宋体" w:cs="宋体"/>
          <w:color w:val="auto"/>
          <w:kern w:val="0"/>
          <w:sz w:val="28"/>
          <w:szCs w:val="28"/>
          <w:highlight w:val="none"/>
          <w:shd w:val="clear" w:color="auto" w:fill="auto"/>
        </w:rPr>
        <w:t>。</w:t>
      </w:r>
    </w:p>
    <w:p w14:paraId="2A0F8AC5">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2.双方同意本合同价款按以下第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tag w:val="合同金额类型选项"/>
          <w:id w:val="147460960"/>
          <w:placeholder>
            <w:docPart w:val="{b7492aee-36e4-48f5-95b9-ae10ee00ffd0}"/>
          </w:placeholder>
          <w:comboBox>
            <w:listItem w:displayText="（1）" w:value="（1）"/>
            <w:listItem w:displayText="（2）" w:value="（2）"/>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1"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31"/>
        </w:sdtContent>
      </w:sdt>
      <w:r>
        <w:rPr>
          <w:rFonts w:hint="eastAsia" w:ascii="宋体" w:hAnsi="宋体" w:eastAsia="宋体" w:cs="宋体"/>
          <w:color w:val="auto"/>
          <w:kern w:val="0"/>
          <w:sz w:val="28"/>
          <w:szCs w:val="28"/>
          <w:highlight w:val="none"/>
          <w:shd w:val="clear" w:color="auto" w:fill="auto"/>
        </w:rPr>
        <w:t>种方式确定：</w:t>
      </w:r>
    </w:p>
    <w:p w14:paraId="4C791070">
      <w:pPr>
        <w:pageBreakBefore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（1）合同价款</w:t>
      </w:r>
      <w:r>
        <w:rPr>
          <w:rFonts w:hint="eastAsia" w:ascii="宋体" w:hAnsi="宋体" w:eastAsia="宋体" w:cs="宋体"/>
          <w:color w:val="auto"/>
          <w:sz w:val="28"/>
          <w:szCs w:val="28"/>
          <w:highlight w:val="none"/>
          <w:shd w:val="clear" w:color="auto" w:fill="auto"/>
          <w:lang w:val="en-US" w:eastAsia="zh-CN"/>
        </w:rPr>
        <w:t>为人民币含税价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sz w:val="28"/>
            <w:szCs w:val="28"/>
            <w:highlight w:val="none"/>
            <w:shd w:val="clear" w:color="auto" w:fill="auto"/>
            <w:lang w:val="en-US" w:eastAsia="zh-CN"/>
          </w:rPr>
          <w:alias w:val="合同金额"/>
          <w:tag w:val="合同金额"/>
          <w:id w:val="383278168"/>
          <w:placeholder>
            <w:docPart w:val="{8ce5ffba-72da-4f5d-8db2-8a0c5ada7286}"/>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2" w:edGrp="everyone"/>
          <w:r>
            <w:rPr>
              <w:rFonts w:hint="eastAsia" w:ascii="宋体" w:hAnsi="宋体" w:eastAsia="宋体" w:cs="宋体"/>
              <w:color w:val="auto"/>
              <w:sz w:val="28"/>
              <w:szCs w:val="28"/>
              <w:highlight w:val="none"/>
              <w:shd w:val="clear" w:color="auto" w:fill="auto"/>
            </w:rPr>
            <w:t xml:space="preserve">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 xml:space="preserve"> </w:t>
          </w:r>
          <w:permEnd w:id="32"/>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sz w:val="28"/>
            <w:szCs w:val="28"/>
            <w:highlight w:val="none"/>
            <w:shd w:val="clear" w:color="auto" w:fill="auto"/>
            <w:lang w:val="en-US" w:eastAsia="zh-CN"/>
          </w:rPr>
          <w:alias w:val="合同大写金额"/>
          <w:tag w:val="合同大写金额"/>
          <w:id w:val="98207154"/>
          <w:placeholder>
            <w:docPart w:val="{a13d01da-0feb-48d2-98ba-9272f36ddf4d}"/>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3" w:edGrp="everyone"/>
          <w:r>
            <w:rPr>
              <w:rFonts w:hint="eastAsia" w:ascii="宋体" w:hAnsi="宋体" w:eastAsia="宋体" w:cs="宋体"/>
              <w:color w:val="auto"/>
              <w:sz w:val="28"/>
              <w:szCs w:val="28"/>
              <w:highlight w:val="none"/>
              <w:shd w:val="clear" w:color="auto" w:fill="auto"/>
            </w:rPr>
            <w:t xml:space="preserve">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 xml:space="preserve"> </w:t>
          </w:r>
          <w:permEnd w:id="3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sz w:val="28"/>
            <w:szCs w:val="28"/>
            <w:highlight w:val="none"/>
            <w:shd w:val="clear" w:color="auto" w:fill="auto"/>
            <w:lang w:val="en-US" w:eastAsia="zh-CN"/>
          </w:rPr>
          <w:alias w:val="税率"/>
          <w:tag w:val="税率"/>
          <w:id w:val="300196382"/>
          <w:placeholder>
            <w:docPart w:val="{1c02e33a-e6c7-4711-bea3-1e0d8f8a1380}"/>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4" w:edGrp="everyone"/>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sz w:val="28"/>
            <w:szCs w:val="28"/>
            <w:highlight w:val="none"/>
            <w:shd w:val="clear" w:color="auto" w:fill="auto"/>
            <w:lang w:val="en-US" w:eastAsia="zh-CN"/>
          </w:rPr>
          <w:alias w:val="不含税价金额"/>
          <w:tag w:val="不含税价金额"/>
          <w:id w:val="754484049"/>
          <w:placeholder>
            <w:docPart w:val="{b79106f5-8fd8-4177-acad-09dbec17c65d}"/>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sdt>
        <w:sdtPr>
          <w:rPr>
            <w:rFonts w:hint="eastAsia" w:ascii="宋体" w:hAnsi="宋体" w:eastAsia="宋体" w:cs="宋体"/>
            <w:color w:val="auto"/>
            <w:sz w:val="28"/>
            <w:szCs w:val="28"/>
            <w:highlight w:val="none"/>
            <w:shd w:val="clear" w:color="auto" w:fill="auto"/>
            <w:lang w:val="en-US" w:eastAsia="zh-CN"/>
          </w:rPr>
          <w:alias w:val="不含税价大写金额"/>
          <w:tag w:val="不含税价大写金额"/>
          <w:id w:val="515454586"/>
          <w:placeholder>
            <w:docPart w:val="{677d7ff0-e8cf-4124-9cd4-35a8d3cac1ed}"/>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小写     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34"/>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包括乙方为完成本合同项下全部工作所需的一切费用。</w:t>
      </w:r>
    </w:p>
    <w:p w14:paraId="73E694B8">
      <w:pPr>
        <w:pageBreakBefore w:val="0"/>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（2）合同价款暂定</w:t>
      </w:r>
      <w:r>
        <w:rPr>
          <w:rFonts w:hint="eastAsia" w:ascii="宋体" w:hAnsi="宋体" w:eastAsia="宋体" w:cs="宋体"/>
          <w:color w:val="auto"/>
          <w:sz w:val="28"/>
          <w:szCs w:val="28"/>
          <w:highlight w:val="none"/>
          <w:shd w:val="clear" w:color="auto" w:fill="auto"/>
          <w:lang w:val="en-US" w:eastAsia="zh-CN"/>
        </w:rPr>
        <w:t>为人民币含税价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sz w:val="28"/>
            <w:szCs w:val="28"/>
            <w:highlight w:val="none"/>
            <w:shd w:val="clear" w:color="auto" w:fill="auto"/>
            <w:lang w:val="en-US" w:eastAsia="zh-CN"/>
          </w:rPr>
          <w:alias w:val="合同金额"/>
          <w:tag w:val="合同金额"/>
          <w:id w:val="588370540"/>
          <w:placeholder>
            <w:docPart w:val="{d459bf60-13b4-479b-9595-7467960c2328}"/>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5" w:edGrp="everyone"/>
          <w:r>
            <w:rPr>
              <w:rFonts w:hint="eastAsia" w:ascii="宋体" w:hAnsi="宋体" w:eastAsia="宋体" w:cs="宋体"/>
              <w:color w:val="auto"/>
              <w:sz w:val="28"/>
              <w:szCs w:val="28"/>
              <w:highlight w:val="none"/>
              <w:shd w:val="clear" w:color="auto" w:fill="auto"/>
            </w:rPr>
            <w:t xml:space="preserve">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 xml:space="preserve"> </w:t>
          </w:r>
          <w:permEnd w:id="35"/>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sz w:val="28"/>
            <w:szCs w:val="28"/>
            <w:highlight w:val="none"/>
            <w:shd w:val="clear" w:color="auto" w:fill="auto"/>
            <w:lang w:val="en-US" w:eastAsia="zh-CN"/>
          </w:rPr>
          <w:alias w:val="合同大写金额"/>
          <w:tag w:val="合同大写金额"/>
          <w:id w:val="374449923"/>
          <w:placeholder>
            <w:docPart w:val="{89e962bc-0e9f-4a2b-8e02-579ca398fbac}"/>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6" w:edGrp="everyone"/>
          <w:r>
            <w:rPr>
              <w:rFonts w:hint="eastAsia" w:ascii="宋体" w:hAnsi="宋体" w:eastAsia="宋体" w:cs="宋体"/>
              <w:color w:val="auto"/>
              <w:sz w:val="28"/>
              <w:szCs w:val="28"/>
              <w:highlight w:val="none"/>
              <w:shd w:val="clear" w:color="auto" w:fill="auto"/>
            </w:rPr>
            <w:t xml:space="preserve">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 xml:space="preserve"> </w:t>
          </w:r>
          <w:permEnd w:id="36"/>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sz w:val="28"/>
            <w:szCs w:val="28"/>
            <w:highlight w:val="none"/>
            <w:shd w:val="clear" w:color="auto" w:fill="auto"/>
            <w:lang w:val="en-US" w:eastAsia="zh-CN"/>
          </w:rPr>
          <w:alias w:val="税率"/>
          <w:tag w:val="税率"/>
          <w:id w:val="252770151"/>
          <w:placeholder>
            <w:docPart w:val="{20c2d5ef-9bb7-4f60-943b-2a47cfe8a1d3}"/>
          </w:placeholder>
          <w:text/>
        </w:sdtPr>
        <w:sdtEndPr>
          <w:rPr>
            <w:rFonts w:hint="eastAsia" w:ascii="宋体" w:hAnsi="宋体" w:eastAsia="宋体" w:cs="宋体"/>
            <w:color w:val="auto"/>
            <w:sz w:val="28"/>
            <w:szCs w:val="28"/>
            <w:highlight w:val="none"/>
            <w:shd w:val="clear" w:color="auto" w:fill="auto"/>
            <w:lang w:val="en-US" w:eastAsia="zh-CN"/>
          </w:rPr>
        </w:sdtEndPr>
        <w:sdtContent>
          <w:permStart w:id="37" w:edGrp="everyone"/>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sz w:val="28"/>
            <w:szCs w:val="28"/>
            <w:highlight w:val="none"/>
            <w:shd w:val="clear" w:color="auto" w:fill="auto"/>
            <w:lang w:val="en-US" w:eastAsia="zh-CN"/>
          </w:rPr>
          <w:alias w:val="不含税价金额"/>
          <w:tag w:val="不含税价金额"/>
          <w:id w:val="378252669"/>
          <w:placeholder>
            <w:docPart w:val="{8f31f33c-b18d-47d9-bc76-bc97208f26ae}"/>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sdt>
        <w:sdtPr>
          <w:rPr>
            <w:rFonts w:hint="eastAsia" w:ascii="宋体" w:hAnsi="宋体" w:eastAsia="宋体" w:cs="宋体"/>
            <w:color w:val="auto"/>
            <w:sz w:val="28"/>
            <w:szCs w:val="28"/>
            <w:highlight w:val="none"/>
            <w:shd w:val="clear" w:color="auto" w:fill="auto"/>
            <w:lang w:val="en-US" w:eastAsia="zh-CN"/>
          </w:rPr>
          <w:alias w:val="不含税价大写金额"/>
          <w:tag w:val="不含税价大写金额"/>
          <w:id w:val="533991341"/>
          <w:placeholder>
            <w:docPart w:val="{435f26d2-37f3-4eff-ae08-998ed609a4a5}"/>
          </w:placeholder>
          <w:text/>
        </w:sdtPr>
        <w:sdtEndPr>
          <w:rPr>
            <w:rFonts w:hint="eastAsia" w:ascii="宋体" w:hAnsi="宋体" w:eastAsia="宋体" w:cs="宋体"/>
            <w:color w:val="auto"/>
            <w:sz w:val="28"/>
            <w:szCs w:val="28"/>
            <w:highlight w:val="none"/>
            <w:shd w:val="clear" w:color="auto" w:fill="auto"/>
            <w:lang w:val="en-US" w:eastAsia="zh-CN"/>
          </w:rPr>
        </w:sdtEndPr>
        <w:sdtContent>
          <w:r>
            <w:rPr>
              <w:rFonts w:hint="eastAsia" w:ascii="宋体" w:hAnsi="宋体" w:eastAsia="宋体" w:cs="宋体"/>
              <w:color w:val="auto"/>
              <w:sz w:val="28"/>
              <w:szCs w:val="28"/>
              <w:highlight w:val="non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小写     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37"/>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中标下浮率</w:t>
      </w:r>
      <w:sdt>
        <w:sdtPr>
          <w:rPr>
            <w:rFonts w:hint="eastAsia" w:ascii="宋体" w:hAnsi="宋体" w:eastAsia="宋体" w:cs="宋体"/>
            <w:color w:val="auto"/>
            <w:kern w:val="2"/>
            <w:sz w:val="28"/>
            <w:szCs w:val="28"/>
            <w:highlight w:val="none"/>
            <w:shd w:val="clear" w:color="auto" w:fill="auto"/>
            <w:lang w:val="en-US" w:eastAsia="zh-CN" w:bidi="ar-SA"/>
          </w:rPr>
          <w:alias w:val="应与中标结果一致。"/>
          <w:tag w:val="中标下浮率"/>
          <w:id w:val="20739632"/>
          <w:placeholder>
            <w:docPart w:val="{381bb37d-ae17-4f50-afc3-22ab391e904f}"/>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38"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38"/>
        </w:sdtContent>
      </w:sdt>
      <w:r>
        <w:rPr>
          <w:rFonts w:hint="eastAsia" w:ascii="宋体" w:hAnsi="宋体" w:eastAsia="宋体" w:cs="宋体"/>
          <w:color w:val="auto"/>
          <w:sz w:val="28"/>
          <w:szCs w:val="28"/>
          <w:highlight w:val="none"/>
          <w:shd w:val="clear" w:color="auto" w:fill="auto"/>
        </w:rPr>
        <w:t>，最终合同价款按以下标准计算：</w:t>
      </w:r>
    </w:p>
    <w:p w14:paraId="76ED02D2">
      <w:pPr>
        <w:pageBreakBefore w:val="0"/>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u w:val="single"/>
          <w:shd w:val="clear" w:color="auto" w:fill="auto"/>
        </w:rPr>
        <w:t>工程造价咨询计价办法见</w:t>
      </w:r>
      <w:permStart w:id="39" w:edGrp="everyone"/>
      <w:r>
        <w:rPr>
          <w:rFonts w:hint="eastAsia" w:ascii="宋体" w:hAnsi="宋体" w:eastAsia="宋体" w:cs="宋体"/>
          <w:color w:val="auto"/>
          <w:kern w:val="0"/>
          <w:sz w:val="28"/>
          <w:szCs w:val="28"/>
          <w:highlight w:val="none"/>
          <w:u w:val="single"/>
          <w:shd w:val="clear" w:color="auto" w:fill="auto"/>
        </w:rPr>
        <w:t>附件一：《   年度     工程造价咨询服务收费计算标准》。</w:t>
      </w:r>
    </w:p>
    <w:permEnd w:id="39"/>
    <w:p w14:paraId="1BE92E72">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第四条 建设工程造价咨询业务范围及专业团队：</w:t>
      </w:r>
    </w:p>
    <w:p w14:paraId="751A1E92">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1."建设工程造价咨询业务"是指以下</w:t>
      </w:r>
      <w:permStart w:id="40" w:edGrp="everyone"/>
      <w:r>
        <w:rPr>
          <w:rFonts w:hint="eastAsia" w:ascii="宋体" w:hAnsi="宋体" w:eastAsia="宋体" w:cs="宋体"/>
          <w:color w:val="auto"/>
          <w:sz w:val="28"/>
          <w:szCs w:val="28"/>
          <w:highlight w:val="none"/>
          <w:u w:val="single"/>
          <w:shd w:val="clear" w:color="auto" w:fill="auto"/>
        </w:rPr>
        <w:t xml:space="preserve">      </w:t>
      </w:r>
      <w:permEnd w:id="40"/>
      <w:r>
        <w:rPr>
          <w:rFonts w:hint="eastAsia" w:ascii="宋体" w:hAnsi="宋体" w:eastAsia="宋体" w:cs="宋体"/>
          <w:color w:val="auto"/>
          <w:kern w:val="0"/>
          <w:sz w:val="28"/>
          <w:szCs w:val="28"/>
          <w:highlight w:val="none"/>
          <w:shd w:val="clear" w:color="auto" w:fill="auto"/>
        </w:rPr>
        <w:t>服务类别的咨询服务：</w:t>
      </w:r>
    </w:p>
    <w:p w14:paraId="245BAA73">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（A类）建设项目可行性研究投资估算的编制、审核及项目经济评价；</w:t>
      </w:r>
    </w:p>
    <w:p w14:paraId="45C52FC7">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（B类）建设工程概算、预算、结算、竣工结（决）算的编制、审核；</w:t>
      </w:r>
    </w:p>
    <w:p w14:paraId="0C0EB0CA">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（C类）建设工程招标标底、投标报价的编制、审核；</w:t>
      </w:r>
    </w:p>
    <w:p w14:paraId="611C5D6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（D类）工程洽商、变更及合同争议的鉴定与索赔；</w:t>
      </w:r>
    </w:p>
    <w:p w14:paraId="6705987D">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（E类）编制工程造价计价依据及对工程造价进行监控和提供有关工程造价信息资料等。</w:t>
      </w:r>
    </w:p>
    <w:p w14:paraId="70BDFDD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2.乙方指派</w:t>
      </w:r>
      <w:permStart w:id="41" w:edGrp="everyone"/>
      <w:r>
        <w:rPr>
          <w:rFonts w:hint="eastAsia" w:ascii="宋体" w:hAnsi="宋体" w:eastAsia="宋体" w:cs="宋体"/>
          <w:color w:val="auto"/>
          <w:kern w:val="0"/>
          <w:sz w:val="28"/>
          <w:szCs w:val="28"/>
          <w:highlight w:val="none"/>
          <w:u w:val="single"/>
          <w:shd w:val="clear" w:color="auto" w:fill="auto"/>
        </w:rPr>
        <w:t xml:space="preserve">      </w:t>
      </w:r>
      <w:permEnd w:id="41"/>
      <w:r>
        <w:rPr>
          <w:rFonts w:hint="eastAsia" w:ascii="宋体" w:hAnsi="宋体" w:eastAsia="宋体" w:cs="宋体"/>
          <w:color w:val="auto"/>
          <w:kern w:val="0"/>
          <w:sz w:val="28"/>
          <w:szCs w:val="28"/>
          <w:highlight w:val="none"/>
          <w:shd w:val="clear" w:color="auto" w:fill="auto"/>
        </w:rPr>
        <w:t>作为本项目的负责人，并指派附件二人员作为本项目服务团队，提供本合同项下造价咨询服务。未经甲方同意，乙方不得随意更换咨询服务人员。如果甲方认为乙方指派的咨询服务人员不能胜任的，乙方应当及时更换。乙方指派的项目负责人和工作人员应实际参与本合同的服务工作。</w:t>
      </w:r>
    </w:p>
    <w:p w14:paraId="03E667EE">
      <w:pPr>
        <w:pStyle w:val="37"/>
        <w:pageBreakBefore w:val="0"/>
        <w:tabs>
          <w:tab w:val="left" w:pos="0"/>
        </w:tabs>
        <w:kinsoku/>
        <w:wordWrap/>
        <w:overflowPunct/>
        <w:topLinePunct w:val="0"/>
        <w:bidi w:val="0"/>
        <w:spacing w:before="0" w:beforeAutospacing="0" w:after="0" w:afterAutospacing="0" w:line="540" w:lineRule="exact"/>
        <w:ind w:firstLine="539"/>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第八条 双方约定的甲方应提供的建设工程造价咨询材料及提供时间：</w:t>
      </w:r>
      <w:permStart w:id="42" w:edGrp="everyone"/>
      <w:r>
        <w:rPr>
          <w:rFonts w:hint="eastAsia" w:ascii="宋体" w:hAnsi="宋体" w:eastAsia="宋体" w:cs="宋体"/>
          <w:color w:val="auto"/>
          <w:sz w:val="28"/>
          <w:szCs w:val="28"/>
          <w:highlight w:val="none"/>
          <w:u w:val="single"/>
          <w:shd w:val="clear" w:color="auto" w:fill="auto"/>
        </w:rPr>
        <w:t>以每项工程委托书为准,提供项目造价咨询所必备的所有工程施工图纸及其相关资料</w:t>
      </w:r>
      <w:permEnd w:id="42"/>
      <w:r>
        <w:rPr>
          <w:rFonts w:hint="eastAsia" w:ascii="宋体" w:hAnsi="宋体" w:eastAsia="宋体" w:cs="宋体"/>
          <w:color w:val="auto"/>
          <w:sz w:val="28"/>
          <w:szCs w:val="28"/>
          <w:highlight w:val="none"/>
          <w:u w:val="single"/>
          <w:shd w:val="clear" w:color="auto" w:fill="auto"/>
        </w:rPr>
        <w:t>。</w:t>
      </w:r>
    </w:p>
    <w:p w14:paraId="7124A17A">
      <w:pPr>
        <w:pStyle w:val="37"/>
        <w:pageBreakBefore w:val="0"/>
        <w:tabs>
          <w:tab w:val="left" w:pos="0"/>
        </w:tabs>
        <w:kinsoku/>
        <w:wordWrap/>
        <w:overflowPunct/>
        <w:topLinePunct w:val="0"/>
        <w:bidi w:val="0"/>
        <w:spacing w:before="0" w:beforeAutospacing="0" w:after="0" w:afterAutospacing="0" w:line="540" w:lineRule="exact"/>
        <w:ind w:firstLine="539"/>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第九条 甲方应在</w:t>
      </w:r>
      <w:permStart w:id="43" w:edGrp="everyone"/>
      <w:r>
        <w:rPr>
          <w:rFonts w:hint="eastAsia" w:ascii="宋体" w:hAnsi="宋体" w:eastAsia="宋体" w:cs="宋体"/>
          <w:color w:val="auto"/>
          <w:sz w:val="28"/>
          <w:szCs w:val="28"/>
          <w:highlight w:val="none"/>
          <w:u w:val="single"/>
          <w:shd w:val="clear" w:color="auto" w:fill="auto"/>
        </w:rPr>
        <w:t xml:space="preserve">     </w:t>
      </w:r>
      <w:permEnd w:id="43"/>
      <w:r>
        <w:rPr>
          <w:rFonts w:hint="eastAsia" w:ascii="宋体" w:hAnsi="宋体" w:eastAsia="宋体" w:cs="宋体"/>
          <w:color w:val="auto"/>
          <w:sz w:val="28"/>
          <w:szCs w:val="28"/>
          <w:highlight w:val="none"/>
          <w:shd w:val="clear" w:color="auto" w:fill="auto"/>
        </w:rPr>
        <w:t>日内对乙方书面提交并要求做出答复的事宜做出书面答复。</w:t>
      </w:r>
    </w:p>
    <w:p w14:paraId="6595C564">
      <w:pPr>
        <w:pStyle w:val="37"/>
        <w:pageBreakBefore w:val="0"/>
        <w:tabs>
          <w:tab w:val="left" w:pos="0"/>
        </w:tabs>
        <w:kinsoku/>
        <w:wordWrap/>
        <w:overflowPunct/>
        <w:topLinePunct w:val="0"/>
        <w:bidi w:val="0"/>
        <w:spacing w:before="0" w:beforeAutospacing="0" w:after="0" w:afterAutospacing="0" w:line="540" w:lineRule="exact"/>
        <w:ind w:firstLine="539"/>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第十四条 乙方在其责任期内如果失职，需配合甲方追回相应损失，并按照政府发布的建设工程造价管理规章制度，承担相应的赔偿及法律责任。</w:t>
      </w:r>
    </w:p>
    <w:p w14:paraId="3146FB16">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第十五条 咨询人对委托人或第三人所提出的问题不能及时核对或答复，导致合同不能全部或部分履行，咨询人应承担责任，并应当赔偿委托人相当于咨询酬金</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147471471"/>
          <w:placeholder>
            <w:docPart w:val="{7feccf20-4481-46cc-b27d-4d99076788a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44"/>
        </w:sdtContent>
      </w:sdt>
      <w:r>
        <w:rPr>
          <w:rFonts w:hint="eastAsia" w:ascii="宋体" w:hAnsi="宋体" w:eastAsia="宋体" w:cs="宋体"/>
          <w:color w:val="auto"/>
          <w:sz w:val="28"/>
          <w:szCs w:val="28"/>
          <w:highlight w:val="none"/>
          <w:shd w:val="clear" w:color="auto" w:fill="auto"/>
        </w:rPr>
        <w:t>%的违约金。</w:t>
      </w:r>
    </w:p>
    <w:p w14:paraId="0FD5C027">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第二十五条 支付酬金方式</w:t>
      </w:r>
    </w:p>
    <w:p w14:paraId="356A0170">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val="en-US" w:eastAsia="zh-CN"/>
        </w:rPr>
        <w:t>1.</w:t>
      </w:r>
      <w:r>
        <w:rPr>
          <w:rFonts w:hint="eastAsia" w:ascii="宋体" w:hAnsi="宋体" w:eastAsia="宋体" w:cs="宋体"/>
          <w:color w:val="auto"/>
          <w:kern w:val="0"/>
          <w:sz w:val="28"/>
          <w:szCs w:val="28"/>
          <w:highlight w:val="none"/>
          <w:shd w:val="clear" w:color="auto" w:fill="auto"/>
        </w:rPr>
        <w:t>委托人同意按以下的计算方法、支付时间与金额，支付咨询人的正常服务酬金：具体金额由乙方在各单项工程造价审核工作完成后，出具《收费通知单》明确。若甲方与施工方签订的施工合同中有约定造价审核费用由施工方支付的，该部分造价审核费用应由甲方代为支付给乙方。</w:t>
      </w:r>
    </w:p>
    <w:p w14:paraId="6DB7934A">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支付时间：委托人于</w:t>
      </w:r>
      <w:permStart w:id="45" w:edGrp="everyone"/>
      <w:r>
        <w:rPr>
          <w:rFonts w:hint="eastAsia" w:ascii="宋体" w:hAnsi="宋体" w:eastAsia="宋体" w:cs="宋体"/>
          <w:color w:val="auto"/>
          <w:sz w:val="28"/>
          <w:szCs w:val="28"/>
          <w:highlight w:val="none"/>
          <w:u w:val="single"/>
          <w:shd w:val="clear" w:color="auto" w:fill="auto"/>
        </w:rPr>
        <w:t xml:space="preserve">     （取得阶段工作成果，可选多个进度节点）</w:t>
      </w:r>
      <w:permEnd w:id="45"/>
      <w:r>
        <w:rPr>
          <w:rFonts w:hint="eastAsia" w:ascii="宋体" w:hAnsi="宋体" w:eastAsia="宋体" w:cs="宋体"/>
          <w:color w:val="auto"/>
          <w:kern w:val="0"/>
          <w:sz w:val="28"/>
          <w:szCs w:val="28"/>
          <w:highlight w:val="none"/>
          <w:shd w:val="clear" w:color="auto" w:fill="auto"/>
        </w:rPr>
        <w:t>并取得咨询人提供的发票等有效付款凭证后</w:t>
      </w:r>
      <w:permStart w:id="46" w:edGrp="everyone"/>
      <w:r>
        <w:rPr>
          <w:rFonts w:hint="eastAsia" w:ascii="宋体" w:hAnsi="宋体" w:eastAsia="宋体" w:cs="宋体"/>
          <w:color w:val="auto"/>
          <w:kern w:val="0"/>
          <w:sz w:val="28"/>
          <w:szCs w:val="28"/>
          <w:highlight w:val="none"/>
          <w:shd w:val="clear" w:color="auto" w:fill="auto"/>
        </w:rPr>
        <w:t>45</w:t>
      </w:r>
      <w:permEnd w:id="46"/>
      <w:r>
        <w:rPr>
          <w:rFonts w:hint="eastAsia" w:ascii="宋体" w:hAnsi="宋体" w:eastAsia="宋体" w:cs="宋体"/>
          <w:color w:val="auto"/>
          <w:kern w:val="0"/>
          <w:sz w:val="28"/>
          <w:szCs w:val="28"/>
          <w:highlight w:val="none"/>
          <w:shd w:val="clear" w:color="auto" w:fill="auto"/>
        </w:rPr>
        <w:t>个工作日内支付。</w:t>
      </w:r>
    </w:p>
    <w:p w14:paraId="467A76BC">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合同付至</w:t>
      </w:r>
      <w:permStart w:id="47" w:edGrp="everyone"/>
      <w:r>
        <w:rPr>
          <w:rFonts w:hint="eastAsia" w:ascii="宋体" w:hAnsi="宋体" w:eastAsia="宋体" w:cs="宋体"/>
          <w:color w:val="auto"/>
          <w:kern w:val="0"/>
          <w:sz w:val="28"/>
          <w:szCs w:val="28"/>
          <w:highlight w:val="none"/>
          <w:u w:val="single"/>
          <w:shd w:val="clear" w:color="auto" w:fill="auto"/>
        </w:rPr>
        <w:t xml:space="preserve">  80％  </w:t>
      </w:r>
      <w:permEnd w:id="47"/>
      <w:r>
        <w:rPr>
          <w:rFonts w:hint="eastAsia" w:ascii="宋体" w:hAnsi="宋体" w:eastAsia="宋体" w:cs="宋体"/>
          <w:color w:val="auto"/>
          <w:kern w:val="0"/>
          <w:sz w:val="28"/>
          <w:szCs w:val="28"/>
          <w:highlight w:val="none"/>
          <w:shd w:val="clear" w:color="auto" w:fill="auto"/>
        </w:rPr>
        <w:t>后停止支付进度款，余款转为尾款。尾款为</w:t>
      </w:r>
      <w:permStart w:id="48" w:edGrp="everyone"/>
      <w:r>
        <w:rPr>
          <w:rFonts w:hint="eastAsia" w:ascii="宋体" w:hAnsi="宋体" w:eastAsia="宋体" w:cs="宋体"/>
          <w:color w:val="auto"/>
          <w:kern w:val="0"/>
          <w:sz w:val="28"/>
          <w:szCs w:val="28"/>
          <w:highlight w:val="none"/>
          <w:u w:val="single"/>
          <w:shd w:val="clear" w:color="auto" w:fill="auto"/>
        </w:rPr>
        <w:t xml:space="preserve"> 20%  </w:t>
      </w:r>
      <w:permEnd w:id="48"/>
      <w:r>
        <w:rPr>
          <w:rFonts w:hint="eastAsia" w:ascii="宋体" w:hAnsi="宋体" w:eastAsia="宋体" w:cs="宋体"/>
          <w:color w:val="auto"/>
          <w:kern w:val="0"/>
          <w:sz w:val="28"/>
          <w:szCs w:val="28"/>
          <w:highlight w:val="none"/>
          <w:shd w:val="clear" w:color="auto" w:fill="auto"/>
        </w:rPr>
        <w:t>，支付时限为收到所有项目最终成果（如总结报告）等和发票后</w:t>
      </w:r>
      <w:permStart w:id="49" w:edGrp="everyone"/>
      <w:r>
        <w:rPr>
          <w:rFonts w:hint="eastAsia" w:ascii="宋体" w:hAnsi="宋体" w:eastAsia="宋体" w:cs="宋体"/>
          <w:color w:val="auto"/>
          <w:kern w:val="0"/>
          <w:sz w:val="28"/>
          <w:szCs w:val="28"/>
          <w:highlight w:val="none"/>
          <w:shd w:val="clear" w:color="auto" w:fill="auto"/>
        </w:rPr>
        <w:t>45</w:t>
      </w:r>
      <w:permEnd w:id="49"/>
      <w:r>
        <w:rPr>
          <w:rFonts w:hint="eastAsia" w:ascii="宋体" w:hAnsi="宋体" w:eastAsia="宋体" w:cs="宋体"/>
          <w:color w:val="auto"/>
          <w:kern w:val="0"/>
          <w:sz w:val="28"/>
          <w:szCs w:val="28"/>
          <w:highlight w:val="none"/>
          <w:shd w:val="clear" w:color="auto" w:fill="auto"/>
        </w:rPr>
        <w:t>个工作日内。</w:t>
      </w:r>
    </w:p>
    <w:p w14:paraId="267ED66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val="en-US" w:eastAsia="zh-CN"/>
        </w:rPr>
        <w:t>2</w:t>
      </w:r>
      <w:r>
        <w:rPr>
          <w:rFonts w:hint="eastAsia" w:ascii="宋体" w:hAnsi="宋体" w:eastAsia="宋体" w:cs="宋体"/>
          <w:color w:val="auto"/>
          <w:kern w:val="0"/>
          <w:sz w:val="28"/>
          <w:szCs w:val="28"/>
          <w:highlight w:val="none"/>
          <w:shd w:val="clear" w:color="auto" w:fill="auto"/>
        </w:rPr>
        <w:t>.委托人同意按以下计算方法、支付时间与金额，支付附加服务酬金：</w:t>
      </w:r>
    </w:p>
    <w:p w14:paraId="41C84885">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附加服务内容：</w:t>
      </w:r>
      <w:permStart w:id="50" w:edGrp="everyone"/>
      <w:r>
        <w:rPr>
          <w:rFonts w:hint="eastAsia" w:ascii="宋体" w:hAnsi="宋体" w:eastAsia="宋体" w:cs="宋体"/>
          <w:color w:val="auto"/>
          <w:kern w:val="0"/>
          <w:sz w:val="28"/>
          <w:szCs w:val="28"/>
          <w:highlight w:val="none"/>
          <w:u w:val="single"/>
          <w:shd w:val="clear" w:color="auto" w:fill="auto"/>
        </w:rPr>
        <w:t>（可选）</w:t>
      </w:r>
      <w:permEnd w:id="50"/>
    </w:p>
    <w:p w14:paraId="153279FD">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支付时间：委托人于收到服务成果并取得咨询人提供的发票等有效付款凭证后45个工作日内支付结算款。</w:t>
      </w:r>
    </w:p>
    <w:p w14:paraId="6AC6EC21">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rPr>
        <w:t>.委托人同意按以下计算方法、支付时间与金额，支付额外服务酬金：</w:t>
      </w:r>
    </w:p>
    <w:p w14:paraId="2A9E9691">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额外服务内容：</w:t>
      </w:r>
      <w:permStart w:id="51" w:edGrp="everyone"/>
      <w:r>
        <w:rPr>
          <w:rFonts w:hint="eastAsia" w:ascii="宋体" w:hAnsi="宋体" w:eastAsia="宋体" w:cs="宋体"/>
          <w:color w:val="auto"/>
          <w:kern w:val="0"/>
          <w:sz w:val="28"/>
          <w:szCs w:val="28"/>
          <w:highlight w:val="none"/>
          <w:u w:val="single"/>
          <w:shd w:val="clear" w:color="auto" w:fill="auto"/>
        </w:rPr>
        <w:t>（可选）</w:t>
      </w:r>
      <w:permEnd w:id="51"/>
    </w:p>
    <w:p w14:paraId="1FC1C9D9">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支付时间：委托人于收到服务成果并取得咨询人提供的发票等有效付款凭证后45个工作日内支付结算款。</w:t>
      </w:r>
    </w:p>
    <w:p w14:paraId="15ED8AC4">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第二十六条 咨询人应在满足付款条件的前提下，提交书面付款申请并递交发票等财务票据</w:t>
      </w: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咨询人</w:t>
      </w:r>
      <w:r>
        <w:rPr>
          <w:rFonts w:hint="eastAsia" w:ascii="宋体" w:hAnsi="宋体" w:eastAsia="宋体" w:cs="宋体"/>
          <w:color w:val="auto"/>
          <w:sz w:val="28"/>
          <w:szCs w:val="28"/>
          <w:highlight w:val="none"/>
          <w:shd w:val="clear" w:color="auto" w:fill="auto"/>
        </w:rPr>
        <w:t>应在</w:t>
      </w:r>
      <w:r>
        <w:rPr>
          <w:rFonts w:hint="eastAsia" w:ascii="宋体" w:hAnsi="宋体" w:eastAsia="宋体" w:cs="宋体"/>
          <w:color w:val="auto"/>
          <w:sz w:val="28"/>
          <w:szCs w:val="28"/>
          <w:highlight w:val="none"/>
          <w:shd w:val="clear" w:color="auto" w:fill="auto"/>
          <w:lang w:val="en-US" w:eastAsia="zh-CN"/>
        </w:rPr>
        <w:t>委托人</w:t>
      </w:r>
      <w:r>
        <w:rPr>
          <w:rFonts w:hint="eastAsia" w:ascii="宋体" w:hAnsi="宋体" w:cs="宋体"/>
          <w:color w:val="auto"/>
          <w:sz w:val="28"/>
          <w:szCs w:val="28"/>
          <w:highlight w:val="none"/>
          <w:shd w:val="clear" w:color="auto" w:fill="auto"/>
          <w:lang w:val="en-US" w:eastAsia="zh-CN"/>
        </w:rPr>
        <w:t>付款</w:t>
      </w:r>
      <w:r>
        <w:rPr>
          <w:rFonts w:hint="eastAsia" w:ascii="宋体" w:hAnsi="宋体" w:eastAsia="宋体" w:cs="宋体"/>
          <w:color w:val="auto"/>
          <w:sz w:val="28"/>
          <w:szCs w:val="28"/>
          <w:highlight w:val="none"/>
          <w:shd w:val="clear" w:color="auto" w:fill="auto"/>
        </w:rPr>
        <w:t>前</w:t>
      </w:r>
      <w:permStart w:id="5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2"/>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w:t>
      </w:r>
      <w:r>
        <w:rPr>
          <w:rFonts w:hint="eastAsia" w:ascii="宋体" w:hAnsi="宋体" w:eastAsia="宋体" w:cs="宋体"/>
          <w:color w:val="auto"/>
          <w:sz w:val="28"/>
          <w:szCs w:val="28"/>
          <w:highlight w:val="none"/>
          <w:shd w:val="clear" w:color="auto" w:fill="auto"/>
          <w:lang w:val="en-US" w:eastAsia="zh-CN"/>
        </w:rPr>
        <w:t>委托人</w:t>
      </w:r>
      <w:r>
        <w:rPr>
          <w:rFonts w:hint="eastAsia" w:ascii="宋体" w:hAnsi="宋体" w:eastAsia="宋体" w:cs="宋体"/>
          <w:color w:val="auto"/>
          <w:sz w:val="28"/>
          <w:szCs w:val="28"/>
          <w:highlight w:val="none"/>
          <w:shd w:val="clear" w:color="auto" w:fill="auto"/>
        </w:rPr>
        <w:t>有权迟延支付相应价款，</w:t>
      </w:r>
      <w:r>
        <w:rPr>
          <w:rFonts w:hint="eastAsia" w:ascii="宋体" w:hAnsi="宋体" w:eastAsia="宋体" w:cs="宋体"/>
          <w:color w:val="auto"/>
          <w:sz w:val="28"/>
          <w:szCs w:val="28"/>
          <w:highlight w:val="none"/>
          <w:shd w:val="clear" w:color="auto" w:fill="auto"/>
          <w:lang w:val="en-US" w:eastAsia="zh-CN"/>
        </w:rPr>
        <w:t>咨询人</w:t>
      </w:r>
      <w:r>
        <w:rPr>
          <w:rFonts w:hint="eastAsia" w:ascii="宋体" w:hAnsi="宋体" w:eastAsia="宋体" w:cs="宋体"/>
          <w:color w:val="auto"/>
          <w:sz w:val="28"/>
          <w:szCs w:val="28"/>
          <w:highlight w:val="none"/>
          <w:shd w:val="clear" w:color="auto" w:fill="auto"/>
        </w:rPr>
        <w:t>因此造成的损失由其自行承担。</w:t>
      </w:r>
    </w:p>
    <w:p w14:paraId="6D6E26A9">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w:t>
      </w:r>
      <w:r>
        <w:rPr>
          <w:rFonts w:hint="eastAsia" w:ascii="宋体" w:hAnsi="宋体" w:eastAsia="宋体" w:cs="宋体"/>
          <w:color w:val="auto"/>
          <w:sz w:val="28"/>
          <w:szCs w:val="28"/>
          <w:highlight w:val="none"/>
          <w:shd w:val="clear" w:color="auto" w:fill="auto"/>
          <w:lang w:val="en-US" w:eastAsia="zh-CN"/>
        </w:rPr>
        <w:t>咨询人</w:t>
      </w:r>
      <w:r>
        <w:rPr>
          <w:rFonts w:hint="eastAsia" w:ascii="宋体" w:hAnsi="宋体" w:eastAsia="宋体" w:cs="宋体"/>
          <w:color w:val="auto"/>
          <w:sz w:val="28"/>
          <w:szCs w:val="28"/>
          <w:highlight w:val="none"/>
          <w:shd w:val="clear" w:color="auto" w:fill="auto"/>
        </w:rPr>
        <w:t>不能开具增值税专用发票的，应向</w:t>
      </w:r>
      <w:r>
        <w:rPr>
          <w:rFonts w:hint="eastAsia" w:ascii="宋体" w:hAnsi="宋体" w:eastAsia="宋体" w:cs="宋体"/>
          <w:color w:val="auto"/>
          <w:sz w:val="28"/>
          <w:szCs w:val="28"/>
          <w:highlight w:val="none"/>
          <w:shd w:val="clear" w:color="auto" w:fill="auto"/>
          <w:lang w:val="en-US" w:eastAsia="zh-CN"/>
        </w:rPr>
        <w:t>委托人</w:t>
      </w:r>
      <w:r>
        <w:rPr>
          <w:rFonts w:hint="eastAsia" w:ascii="宋体" w:hAnsi="宋体" w:eastAsia="宋体" w:cs="宋体"/>
          <w:color w:val="auto"/>
          <w:sz w:val="28"/>
          <w:szCs w:val="28"/>
          <w:highlight w:val="none"/>
          <w:shd w:val="clear" w:color="auto" w:fill="auto"/>
        </w:rPr>
        <w:t>提交相关证明材料并取得</w:t>
      </w:r>
      <w:r>
        <w:rPr>
          <w:rFonts w:hint="eastAsia" w:ascii="宋体" w:hAnsi="宋体" w:eastAsia="宋体" w:cs="宋体"/>
          <w:color w:val="auto"/>
          <w:sz w:val="28"/>
          <w:szCs w:val="28"/>
          <w:highlight w:val="none"/>
          <w:shd w:val="clear" w:color="auto" w:fill="auto"/>
          <w:lang w:val="en-US" w:eastAsia="zh-CN"/>
        </w:rPr>
        <w:t>委托人</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w:t>
      </w:r>
      <w:r>
        <w:rPr>
          <w:rFonts w:hint="eastAsia" w:ascii="宋体" w:hAnsi="宋体" w:eastAsia="宋体" w:cs="宋体"/>
          <w:color w:val="auto"/>
          <w:sz w:val="28"/>
          <w:szCs w:val="28"/>
          <w:highlight w:val="none"/>
          <w:shd w:val="clear" w:color="auto" w:fill="auto"/>
          <w:lang w:val="en-US" w:eastAsia="zh-CN"/>
        </w:rPr>
        <w:t>委托人</w:t>
      </w:r>
      <w:r>
        <w:rPr>
          <w:rFonts w:hint="eastAsia" w:ascii="宋体" w:hAnsi="宋体" w:eastAsia="宋体" w:cs="宋体"/>
          <w:color w:val="auto"/>
          <w:sz w:val="28"/>
          <w:szCs w:val="28"/>
          <w:highlight w:val="none"/>
          <w:shd w:val="clear" w:color="auto" w:fill="auto"/>
        </w:rPr>
        <w:t>要求的其他发票。</w:t>
      </w:r>
    </w:p>
    <w:p w14:paraId="7559E63B">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委托人增值税开票信息如下：</w:t>
      </w:r>
    </w:p>
    <w:p w14:paraId="7B203397">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17117719"/>
          <w:placeholder>
            <w:docPart w:val="{9c364cf0-396f-4456-948a-b366146e5e9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3"/>
        </w:sdtContent>
      </w:sdt>
    </w:p>
    <w:p w14:paraId="324CE4F3">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81f713e9-ad0e-4f0b-b80c-3e3ab50737d4}"/>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54"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54"/>
        </w:sdtContent>
      </w:sdt>
    </w:p>
    <w:p w14:paraId="573E342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302482581"/>
          <w:placeholder>
            <w:docPart w:val="{eb9b483c-dab9-470c-905b-2a22eeda422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sdtContent>
      </w:sdt>
    </w:p>
    <w:p w14:paraId="7E51BDB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523924996"/>
          <w:placeholder>
            <w:docPart w:val="{e5e81165-a60c-4c16-817e-38a32d393d1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6"/>
        </w:sdtContent>
      </w:sdt>
    </w:p>
    <w:p w14:paraId="4875B0C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shd w:val="clear" w:color="auto" w:fill="auto"/>
            <w:lang w:val="en-US" w:eastAsia="zh-CN" w:bidi="ar-SA"/>
          </w:rPr>
          <w:alias w:val="甲方办公通讯地址"/>
          <w:tag w:val="甲方办公通讯地址"/>
          <w:id w:val="147473545"/>
          <w:placeholder>
            <w:docPart w:val="{1af450ef-98f2-44be-9ae9-f5c0a348122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57"/>
        </w:sdtContent>
      </w:sdt>
    </w:p>
    <w:p w14:paraId="56AEFB28">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联系电话：</w:t>
      </w:r>
      <w:permStart w:id="5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58"/>
    </w:p>
    <w:p w14:paraId="1616FC1B">
      <w:pPr>
        <w:pStyle w:val="18"/>
        <w:pageBreakBefore w:val="0"/>
        <w:kinsoku/>
        <w:wordWrap/>
        <w:overflowPunct/>
        <w:topLinePunct w:val="0"/>
        <w:bidi w:val="0"/>
        <w:spacing w:after="0" w:line="540" w:lineRule="exact"/>
        <w:ind w:left="0" w:leftChars="0"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因咨询人未开具发票、提交付款申请或开具的发票不符合规定导致委托方迟延支付上述款项的，委托人可以在咨询人提供发票后付款，损失由咨询人承担，委托人不负违约责任和损害赔偿责任。</w:t>
      </w:r>
    </w:p>
    <w:p w14:paraId="789AC2E8">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若咨询人未能按上述要求开具增值税专用发票，或实际开票税率与上述要求不符，委托人有权根据实际收取的发票类型及税率从合同价款中直接扣除相应金额的合同款进行结算。委托人有权在任一批次的合同付款中直接扣减税款差额。若未支付合同款不足以弥补税款差额，咨询人应将差额退还甲方。税款差额计算方式如下：</w:t>
      </w:r>
    </w:p>
    <w:p w14:paraId="2AE68C62">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5CB2A3E5">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0BF0A26F">
      <w:pPr>
        <w:pageBreakBefore w:val="0"/>
        <w:kinsoku/>
        <w:wordWrap/>
        <w:overflowPunct/>
        <w:topLinePunct w:val="0"/>
        <w:bidi w:val="0"/>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rPr>
        <w:t>第</w:t>
      </w:r>
      <w:r>
        <w:rPr>
          <w:rFonts w:hint="default" w:ascii="宋体" w:hAnsi="宋体" w:eastAsia="宋体" w:cs="宋体"/>
          <w:color w:val="auto"/>
          <w:kern w:val="0"/>
          <w:sz w:val="28"/>
          <w:szCs w:val="28"/>
          <w:highlight w:val="none"/>
          <w:shd w:val="clear" w:color="auto" w:fill="auto"/>
          <w:lang w:val="en-US"/>
        </w:rPr>
        <w:t>二十八</w:t>
      </w:r>
      <w:r>
        <w:rPr>
          <w:rFonts w:hint="eastAsia" w:ascii="宋体" w:hAnsi="宋体" w:eastAsia="宋体" w:cs="宋体"/>
          <w:color w:val="auto"/>
          <w:kern w:val="0"/>
          <w:sz w:val="28"/>
          <w:szCs w:val="28"/>
          <w:highlight w:val="none"/>
          <w:shd w:val="clear" w:color="auto" w:fill="auto"/>
        </w:rPr>
        <w:t>条 双方同意按人民币（币种）支付酬金，按（合同签订当日/酬金支付当日）的汇率计付。付款方式</w:t>
      </w:r>
      <w:r>
        <w:rPr>
          <w:rFonts w:hint="eastAsia" w:ascii="宋体" w:hAnsi="宋体" w:eastAsia="宋体" w:cs="宋体"/>
          <w:color w:val="auto"/>
          <w:kern w:val="0"/>
          <w:sz w:val="28"/>
          <w:szCs w:val="28"/>
          <w:highlight w:val="none"/>
          <w:shd w:val="clear" w:color="auto" w:fill="auto"/>
          <w:lang w:val="en-US" w:eastAsia="zh-CN"/>
        </w:rPr>
        <w:t>包括电汇、转账、汇票、票据、支票和双方认可的其他支付方式。如需使用商业汇票进行支付的，由款项支付方承担资金成本（买方付息贴现）。</w:t>
      </w:r>
    </w:p>
    <w:p w14:paraId="09D96895">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1.乙方汇票开立信息如下：</w:t>
      </w:r>
    </w:p>
    <w:p w14:paraId="1C870207">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汇票类型：</w:t>
      </w:r>
      <w:permStart w:id="59" w:edGrp="everyone"/>
      <w:r>
        <w:rPr>
          <w:rFonts w:hint="eastAsia" w:ascii="宋体" w:hAnsi="宋体" w:cs="宋体"/>
          <w:color w:val="auto"/>
          <w:kern w:val="0"/>
          <w:sz w:val="28"/>
          <w:szCs w:val="28"/>
          <w:highlight w:val="none"/>
          <w:shd w:val="clear" w:color="auto" w:fill="auto"/>
          <w:lang w:val="en-US" w:eastAsia="zh-CN"/>
        </w:rPr>
        <w:sym w:font="Wingdings" w:char="006F"/>
      </w:r>
      <w:r>
        <w:rPr>
          <w:rFonts w:hint="eastAsia" w:ascii="宋体" w:hAnsi="宋体" w:cs="宋体"/>
          <w:color w:val="auto"/>
          <w:kern w:val="0"/>
          <w:sz w:val="28"/>
          <w:szCs w:val="28"/>
          <w:highlight w:val="none"/>
          <w:shd w:val="clear" w:color="auto" w:fill="auto"/>
          <w:lang w:val="en-US" w:eastAsia="zh-CN"/>
        </w:rPr>
        <w:t xml:space="preserve">银行承兑汇票  </w:t>
      </w:r>
      <w:r>
        <w:rPr>
          <w:rFonts w:hint="eastAsia" w:ascii="宋体" w:hAnsi="宋体" w:cs="宋体"/>
          <w:color w:val="auto"/>
          <w:kern w:val="0"/>
          <w:sz w:val="28"/>
          <w:szCs w:val="28"/>
          <w:highlight w:val="none"/>
          <w:shd w:val="clear" w:color="auto" w:fill="auto"/>
          <w:lang w:val="en-US" w:eastAsia="zh-CN"/>
        </w:rPr>
        <w:sym w:font="Wingdings" w:char="006F"/>
      </w:r>
      <w:r>
        <w:rPr>
          <w:rFonts w:hint="eastAsia" w:ascii="宋体" w:hAnsi="宋体" w:cs="宋体"/>
          <w:color w:val="auto"/>
          <w:kern w:val="0"/>
          <w:sz w:val="28"/>
          <w:szCs w:val="28"/>
          <w:highlight w:val="none"/>
          <w:shd w:val="clear" w:color="auto" w:fill="auto"/>
          <w:lang w:val="en-US" w:eastAsia="zh-CN"/>
        </w:rPr>
        <w:t>商业承兑汇票</w:t>
      </w:r>
      <w:permEnd w:id="59"/>
    </w:p>
    <w:p w14:paraId="1333C812">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收款人全称：</w:t>
      </w:r>
      <w:permStart w:id="60" w:edGrp="everyone"/>
      <w:r>
        <w:rPr>
          <w:rFonts w:hint="eastAsia" w:ascii="宋体" w:hAnsi="宋体" w:cs="宋体"/>
          <w:color w:val="auto"/>
          <w:kern w:val="0"/>
          <w:sz w:val="28"/>
          <w:szCs w:val="28"/>
          <w:highlight w:val="none"/>
          <w:shd w:val="clear" w:color="auto" w:fill="auto"/>
          <w:lang w:val="en-US" w:eastAsia="zh-CN"/>
        </w:rPr>
        <w:t xml:space="preserve">              </w:t>
      </w:r>
      <w:permEnd w:id="60"/>
    </w:p>
    <w:p w14:paraId="584B5BC7">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银行账户：</w:t>
      </w:r>
      <w:permStart w:id="61" w:edGrp="everyone"/>
      <w:r>
        <w:rPr>
          <w:rFonts w:hint="eastAsia" w:ascii="宋体" w:hAnsi="宋体" w:cs="宋体"/>
          <w:color w:val="auto"/>
          <w:kern w:val="0"/>
          <w:sz w:val="28"/>
          <w:szCs w:val="28"/>
          <w:highlight w:val="none"/>
          <w:shd w:val="clear" w:color="auto" w:fill="auto"/>
          <w:lang w:val="en-US" w:eastAsia="zh-CN"/>
        </w:rPr>
        <w:t xml:space="preserve">                </w:t>
      </w:r>
      <w:permEnd w:id="61"/>
    </w:p>
    <w:p w14:paraId="4688E64C">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开户银行：</w:t>
      </w:r>
      <w:permStart w:id="62" w:edGrp="everyone"/>
      <w:r>
        <w:rPr>
          <w:rFonts w:hint="eastAsia" w:ascii="宋体" w:hAnsi="宋体" w:cs="宋体"/>
          <w:color w:val="auto"/>
          <w:kern w:val="0"/>
          <w:sz w:val="28"/>
          <w:szCs w:val="28"/>
          <w:highlight w:val="none"/>
          <w:shd w:val="clear" w:color="auto" w:fill="auto"/>
          <w:lang w:val="en-US" w:eastAsia="zh-CN"/>
        </w:rPr>
        <w:t xml:space="preserve">                </w:t>
      </w:r>
      <w:permEnd w:id="62"/>
    </w:p>
    <w:p w14:paraId="5AA81D5E">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开户行行号：</w:t>
      </w:r>
      <w:permStart w:id="63" w:edGrp="everyone"/>
      <w:r>
        <w:rPr>
          <w:rFonts w:hint="eastAsia" w:ascii="宋体" w:hAnsi="宋体" w:cs="宋体"/>
          <w:color w:val="auto"/>
          <w:kern w:val="0"/>
          <w:sz w:val="28"/>
          <w:szCs w:val="28"/>
          <w:highlight w:val="none"/>
          <w:shd w:val="clear" w:color="auto" w:fill="auto"/>
          <w:lang w:val="en-US" w:eastAsia="zh-CN"/>
        </w:rPr>
        <w:t xml:space="preserve">              </w:t>
      </w:r>
      <w:permEnd w:id="63"/>
    </w:p>
    <w:p w14:paraId="452DB290">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联系人：</w:t>
      </w:r>
      <w:permStart w:id="64" w:edGrp="everyone"/>
      <w:r>
        <w:rPr>
          <w:rFonts w:hint="eastAsia" w:ascii="宋体" w:hAnsi="宋体" w:cs="宋体"/>
          <w:color w:val="auto"/>
          <w:kern w:val="0"/>
          <w:sz w:val="28"/>
          <w:szCs w:val="28"/>
          <w:highlight w:val="none"/>
          <w:shd w:val="clear" w:color="auto" w:fill="auto"/>
          <w:lang w:val="en-US" w:eastAsia="zh-CN"/>
        </w:rPr>
        <w:t xml:space="preserve">                  </w:t>
      </w:r>
      <w:permEnd w:id="64"/>
    </w:p>
    <w:p w14:paraId="365E0C67">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联系电话：</w:t>
      </w:r>
      <w:permStart w:id="65" w:edGrp="everyone"/>
      <w:r>
        <w:rPr>
          <w:rFonts w:hint="eastAsia" w:ascii="宋体" w:hAnsi="宋体" w:cs="宋体"/>
          <w:color w:val="auto"/>
          <w:kern w:val="0"/>
          <w:sz w:val="28"/>
          <w:szCs w:val="28"/>
          <w:highlight w:val="none"/>
          <w:shd w:val="clear" w:color="auto" w:fill="auto"/>
          <w:lang w:val="en-US" w:eastAsia="zh-CN"/>
        </w:rPr>
        <w:t xml:space="preserve">                </w:t>
      </w:r>
      <w:permEnd w:id="65"/>
    </w:p>
    <w:p w14:paraId="04F5EE7D">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lang w:val="en-US" w:eastAsia="zh-CN"/>
        </w:rPr>
        <w:t>咨询人收款账户信息如下：</w:t>
      </w:r>
    </w:p>
    <w:p w14:paraId="133BB0BB">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账号：</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乙方银行账号"/>
          <w:tag w:val="乙方银行账号"/>
          <w:id w:val="829826139"/>
          <w:placeholder>
            <w:docPart w:val="{dbd6f57b-592e-4af7-9dc9-2b7236814abf}"/>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66"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66"/>
        </w:sdtContent>
      </w:sdt>
    </w:p>
    <w:p w14:paraId="70E91DD6">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户名：</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乙方当事人全称"/>
          <w:tag w:val="乙方当事人全称"/>
          <w:id w:val="129114555"/>
          <w:placeholder>
            <w:docPart w:val="{5c12f2aa-6d64-4657-ad43-198aae10afd2}"/>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67"/>
        </w:sdtContent>
      </w:sdt>
    </w:p>
    <w:p w14:paraId="36B6C9D3">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开户行：</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乙方开户银行名称"/>
          <w:tag w:val="乙方开户银行名称"/>
          <w:id w:val="862820993"/>
          <w:placeholder>
            <w:docPart w:val="{12e235d9-2a25-4fcf-ba55-5f1c0a353ff9}"/>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68"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68"/>
        </w:sdtContent>
      </w:sdt>
    </w:p>
    <w:p w14:paraId="17256B6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en-US" w:eastAsia="zh-CN"/>
        </w:rPr>
        <w:t>咨询人数字人民币对公钱包信息如下：</w:t>
      </w:r>
    </w:p>
    <w:p w14:paraId="67B1733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72125"/>
          <w:placeholder>
            <w:docPart w:val="{836682ad-9770-49b2-9142-f43c99872521}"/>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9"/>
        </w:sdtContent>
      </w:sdt>
    </w:p>
    <w:p w14:paraId="34D5BCA7">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66343"/>
          <w:placeholder>
            <w:docPart w:val="{84868475-b6c6-48d8-be30-5d1238001c3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0"/>
        </w:sdtContent>
      </w:sdt>
    </w:p>
    <w:p w14:paraId="067B4AA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55321"/>
          <w:placeholder>
            <w:docPart w:val="{f43fb7af-05c2-4aeb-bfc5-41785adf9fb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1"/>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30FF14CB">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cs="宋体"/>
          <w:b/>
          <w:bCs/>
          <w:i w:val="0"/>
          <w:iCs w:val="0"/>
          <w:color w:val="auto"/>
          <w:sz w:val="28"/>
          <w:szCs w:val="28"/>
          <w:highlight w:val="none"/>
          <w:shd w:val="clear" w:color="auto" w:fill="auto"/>
          <w:lang w:val="en-US" w:eastAsia="zh-CN"/>
        </w:rPr>
        <w:t>4.</w:t>
      </w:r>
      <w:r>
        <w:rPr>
          <w:rFonts w:hint="eastAsia" w:ascii="宋体" w:hAnsi="宋体" w:cs="宋体"/>
          <w:b/>
          <w:bCs/>
          <w:i w:val="0"/>
          <w:iCs w:val="0"/>
          <w:color w:val="auto"/>
          <w:kern w:val="0"/>
          <w:sz w:val="28"/>
          <w:szCs w:val="28"/>
          <w:highlight w:val="none"/>
          <w:u w:val="none"/>
          <w:shd w:val="clear" w:color="auto" w:fill="auto"/>
          <w:lang w:val="en-US" w:eastAsia="zh-CN"/>
        </w:rPr>
        <w:t>本</w:t>
      </w:r>
      <w:r>
        <w:rPr>
          <w:rFonts w:hint="eastAsia" w:ascii="宋体" w:hAnsi="宋体" w:cs="宋体"/>
          <w:b/>
          <w:bCs/>
          <w:color w:val="auto"/>
          <w:kern w:val="0"/>
          <w:sz w:val="28"/>
          <w:szCs w:val="28"/>
          <w:highlight w:val="none"/>
          <w:u w:val="none"/>
          <w:shd w:val="clear" w:color="auto" w:fill="auto"/>
          <w:lang w:val="en-US" w:eastAsia="zh-CN"/>
        </w:rPr>
        <w:t>合同项下咨询人收款账户信息、咨询人数字人民币对公钱包信息，以本合同第二十七条、第二十八条约定为准。咨询人在签署本合同时，应对前述信息进行确认，本合同一经双方签署即视为咨询人确认前述信息无误，委托人应按前述信息进行付款。咨询人如需变更收款账户或数字人民币钱包信息的，应提前向委托人提出，并经委托人同</w:t>
      </w:r>
      <w:bookmarkStart w:id="39" w:name="_GoBack"/>
      <w:bookmarkEnd w:id="39"/>
      <w:r>
        <w:rPr>
          <w:rFonts w:hint="eastAsia" w:ascii="宋体" w:hAnsi="宋体" w:cs="宋体"/>
          <w:b/>
          <w:bCs/>
          <w:color w:val="auto"/>
          <w:kern w:val="0"/>
          <w:sz w:val="28"/>
          <w:szCs w:val="28"/>
          <w:highlight w:val="none"/>
          <w:u w:val="none"/>
          <w:shd w:val="clear" w:color="auto" w:fill="auto"/>
          <w:lang w:val="en-US" w:eastAsia="zh-CN"/>
        </w:rPr>
        <w:t>意后方可变更；否则，委托人仍应按本条约定的收款信息进行付款。委托人按本条约定的收款信息付款后，视为已完成付款义务，因收款信息错误造成的全部损失由咨询人自行承担，委托人不承担任何责任。</w:t>
      </w:r>
      <w:r>
        <w:rPr>
          <w:rFonts w:hint="eastAsia" w:ascii="宋体" w:hAnsi="宋体" w:eastAsia="宋体" w:cs="宋体"/>
          <w:color w:val="auto"/>
          <w:kern w:val="0"/>
          <w:sz w:val="28"/>
          <w:szCs w:val="28"/>
          <w:highlight w:val="none"/>
          <w:u w:val="none"/>
          <w:shd w:val="clear" w:color="auto" w:fill="auto"/>
          <w:lang w:val="en-US" w:eastAsia="zh-CN"/>
        </w:rPr>
        <w:t xml:space="preserve">    </w:t>
      </w:r>
    </w:p>
    <w:p w14:paraId="70A875E6">
      <w:pPr>
        <w:pageBreakBefore w:val="0"/>
        <w:kinsoku/>
        <w:wordWrap/>
        <w:overflowPunct/>
        <w:topLinePunct w:val="0"/>
        <w:bidi w:val="0"/>
        <w:adjustRightInd/>
        <w:spacing w:line="540" w:lineRule="exact"/>
        <w:ind w:firstLine="560" w:firstLineChars="20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5.本合同项下不含税价格不因国家税率变化而变化，若在本合同履行期间遇国家税率调整，则价税合计相应调整，以开具发票的时间为准。</w:t>
      </w:r>
    </w:p>
    <w:p w14:paraId="7F7236C8">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w:t>
      </w:r>
      <w:r>
        <w:rPr>
          <w:rFonts w:hint="default" w:ascii="宋体" w:hAnsi="宋体" w:eastAsia="宋体" w:cs="宋体"/>
          <w:color w:val="auto"/>
          <w:sz w:val="28"/>
          <w:szCs w:val="28"/>
          <w:highlight w:val="none"/>
          <w:shd w:val="clear" w:color="auto" w:fill="auto"/>
          <w:lang w:val="en-US"/>
        </w:rPr>
        <w:t>二十九</w:t>
      </w:r>
      <w:r>
        <w:rPr>
          <w:rFonts w:hint="eastAsia" w:ascii="宋体" w:hAnsi="宋体" w:eastAsia="宋体" w:cs="宋体"/>
          <w:color w:val="auto"/>
          <w:sz w:val="28"/>
          <w:szCs w:val="28"/>
          <w:highlight w:val="none"/>
          <w:shd w:val="clear" w:color="auto" w:fill="auto"/>
        </w:rPr>
        <w:t>条 咨询人在完成本合同约定的咨询服务内容后向委托人提交书面咨询报告或咨询成果，委托人按照本条的约定进行验收。</w:t>
      </w:r>
    </w:p>
    <w:p w14:paraId="0A6CFE41">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1.委托人应当在接到咨询人书面咨询报告或咨询成果后</w:t>
      </w:r>
      <w:permStart w:id="72" w:edGrp="everyone"/>
      <w:r>
        <w:rPr>
          <w:rFonts w:hint="eastAsia" w:ascii="宋体" w:hAnsi="宋体" w:eastAsia="宋体" w:cs="宋体"/>
          <w:color w:val="auto"/>
          <w:sz w:val="28"/>
          <w:szCs w:val="28"/>
          <w:highlight w:val="none"/>
          <w:u w:val="single"/>
          <w:shd w:val="clear" w:color="auto" w:fill="auto"/>
        </w:rPr>
        <w:t>28</w:t>
      </w:r>
      <w:permEnd w:id="72"/>
      <w:r>
        <w:rPr>
          <w:rFonts w:hint="eastAsia" w:ascii="宋体" w:hAnsi="宋体" w:eastAsia="宋体" w:cs="宋体"/>
          <w:color w:val="auto"/>
          <w:sz w:val="28"/>
          <w:szCs w:val="28"/>
          <w:highlight w:val="none"/>
          <w:shd w:val="clear" w:color="auto" w:fill="auto"/>
        </w:rPr>
        <w:t>天内组织验收。</w:t>
      </w:r>
    </w:p>
    <w:p w14:paraId="691569C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2.验收标准：</w:t>
      </w:r>
    </w:p>
    <w:p w14:paraId="606F7395">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（1）按照本合同约定的技术咨询要求；</w:t>
      </w:r>
    </w:p>
    <w:p w14:paraId="41DA36C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（2）其它：</w:t>
      </w:r>
      <w:sdt>
        <w:sdtPr>
          <w:rPr>
            <w:rFonts w:hint="eastAsia" w:ascii="宋体" w:hAnsi="宋体" w:eastAsia="宋体" w:cs="宋体"/>
            <w:color w:val="auto"/>
            <w:kern w:val="2"/>
            <w:sz w:val="28"/>
            <w:szCs w:val="28"/>
            <w:highlight w:val="none"/>
            <w:u w:val="none"/>
            <w:lang w:val="en-US" w:eastAsia="zh-CN" w:bidi="ar-SA"/>
          </w:rPr>
          <w:alias w:val="不填其他的，请划“/”"/>
          <w:id w:val="147461755"/>
          <w:placeholder>
            <w:docPart w:val="{746ec15a-83a8-44a5-8de7-12eee0784a68}"/>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73" w:edGrp="everyone"/>
          <w:r>
            <w:rPr>
              <w:rFonts w:hint="eastAsia" w:ascii="宋体" w:hAnsi="宋体" w:eastAsia="宋体" w:cs="宋体"/>
              <w:color w:val="auto"/>
              <w:sz w:val="28"/>
              <w:szCs w:val="28"/>
              <w:highlight w:val="none"/>
              <w:u w:val="single"/>
              <w:lang w:val="en-US" w:eastAsia="zh-CN"/>
            </w:rPr>
            <w:t xml:space="preserve">     </w:t>
          </w:r>
          <w:permEnd w:id="73"/>
        </w:sdtContent>
      </w:sdt>
      <w:r>
        <w:rPr>
          <w:rFonts w:hint="eastAsia" w:ascii="宋体" w:hAnsi="宋体" w:eastAsia="宋体" w:cs="宋体"/>
          <w:color w:val="auto"/>
          <w:sz w:val="28"/>
          <w:szCs w:val="28"/>
          <w:highlight w:val="none"/>
          <w:shd w:val="clear" w:color="auto" w:fill="auto"/>
        </w:rPr>
        <w:t>。</w:t>
      </w:r>
    </w:p>
    <w:p w14:paraId="491D38A2">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3.验收后的处理：</w:t>
      </w:r>
    </w:p>
    <w:p w14:paraId="0F0E1A50">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（1）验收通过，委托人应对咨询报告或咨询成果书面确认并通知咨询人。</w:t>
      </w:r>
    </w:p>
    <w:p w14:paraId="565A55FC">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（2）验收未通过，委托人应出具验收不合格的书面意见给咨询人。咨询人应当在</w:t>
      </w:r>
      <w:permStart w:id="74" w:edGrp="everyone"/>
      <w:r>
        <w:rPr>
          <w:rFonts w:hint="eastAsia" w:ascii="宋体" w:hAnsi="宋体" w:eastAsia="宋体" w:cs="宋体"/>
          <w:color w:val="auto"/>
          <w:sz w:val="28"/>
          <w:szCs w:val="28"/>
          <w:highlight w:val="none"/>
          <w:u w:val="single"/>
          <w:shd w:val="clear" w:color="auto" w:fill="auto"/>
        </w:rPr>
        <w:t xml:space="preserve">     </w:t>
      </w:r>
      <w:permEnd w:id="74"/>
      <w:r>
        <w:rPr>
          <w:rFonts w:hint="eastAsia" w:ascii="宋体" w:hAnsi="宋体" w:eastAsia="宋体" w:cs="宋体"/>
          <w:color w:val="auto"/>
          <w:sz w:val="28"/>
          <w:szCs w:val="28"/>
          <w:highlight w:val="none"/>
          <w:shd w:val="clear" w:color="auto" w:fill="auto"/>
        </w:rPr>
        <w:t>天内根据甲方的验收意见对咨询报告（或意见）进行修改和完善，并再次向委托人申请验收，若第二次验收仍未通过的，委托人有权解除本合同，咨询人应当按照本合同的约定承担违约责任。</w:t>
      </w:r>
    </w:p>
    <w:p w14:paraId="26801102">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4.委托人对书面咨询报告或咨询成果确认，不能视为免除</w:t>
      </w:r>
      <w:r>
        <w:rPr>
          <w:rFonts w:hint="eastAsia" w:ascii="宋体" w:hAnsi="宋体" w:cs="宋体"/>
          <w:color w:val="auto"/>
          <w:sz w:val="28"/>
          <w:szCs w:val="28"/>
          <w:highlight w:val="none"/>
          <w:shd w:val="clear" w:color="auto" w:fill="auto"/>
          <w:lang w:val="en-US" w:eastAsia="zh-CN"/>
        </w:rPr>
        <w:t>或减轻</w:t>
      </w:r>
      <w:r>
        <w:rPr>
          <w:rFonts w:hint="eastAsia" w:ascii="宋体" w:hAnsi="宋体" w:eastAsia="宋体" w:cs="宋体"/>
          <w:color w:val="auto"/>
          <w:sz w:val="28"/>
          <w:szCs w:val="28"/>
          <w:highlight w:val="none"/>
          <w:shd w:val="clear" w:color="auto" w:fill="auto"/>
        </w:rPr>
        <w:t>咨询人对咨询报告或咨询成果存在缺陷所应负的责任，如存在缺陷的，咨询人应免费予以修正和完善。咨询人不予解决的，委托人有权委托第三方解决，</w:t>
      </w:r>
      <w:r>
        <w:rPr>
          <w:rFonts w:hint="eastAsia" w:ascii="宋体" w:hAnsi="宋体" w:cs="宋体"/>
          <w:color w:val="auto"/>
          <w:sz w:val="28"/>
          <w:szCs w:val="28"/>
          <w:highlight w:val="none"/>
          <w:shd w:val="clear" w:color="auto" w:fill="auto"/>
          <w:lang w:val="en-US" w:eastAsia="zh-CN"/>
        </w:rPr>
        <w:t>因此产生的费用全部由咨询人承担且</w:t>
      </w:r>
      <w:r>
        <w:rPr>
          <w:rFonts w:hint="eastAsia" w:ascii="宋体" w:hAnsi="宋体" w:eastAsia="宋体" w:cs="宋体"/>
          <w:color w:val="auto"/>
          <w:sz w:val="28"/>
          <w:szCs w:val="28"/>
          <w:highlight w:val="none"/>
          <w:shd w:val="clear" w:color="auto" w:fill="auto"/>
        </w:rPr>
        <w:t>咨询人</w:t>
      </w:r>
      <w:r>
        <w:rPr>
          <w:rFonts w:hint="eastAsia" w:ascii="宋体" w:hAnsi="宋体" w:cs="宋体"/>
          <w:color w:val="auto"/>
          <w:sz w:val="28"/>
          <w:szCs w:val="28"/>
          <w:highlight w:val="none"/>
          <w:shd w:val="clear" w:color="auto" w:fill="auto"/>
          <w:lang w:val="en-US" w:eastAsia="zh-CN"/>
        </w:rPr>
        <w:t>还</w:t>
      </w:r>
      <w:r>
        <w:rPr>
          <w:rFonts w:hint="eastAsia" w:ascii="宋体" w:hAnsi="宋体" w:eastAsia="宋体" w:cs="宋体"/>
          <w:color w:val="auto"/>
          <w:sz w:val="28"/>
          <w:szCs w:val="28"/>
          <w:highlight w:val="none"/>
          <w:shd w:val="clear" w:color="auto" w:fill="auto"/>
        </w:rPr>
        <w:t>应赔偿由此给委托人造成的一切损失。</w:t>
      </w:r>
    </w:p>
    <w:p w14:paraId="25323647">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第三十条 违约责任</w:t>
      </w:r>
    </w:p>
    <w:p w14:paraId="54BB143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1.乙方向甲方提供造价咨询业务，未执行相关文件要求的；乙方应继续履行合同义务，甲方有权根据乙方违约情况扣减报酬总额的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320400993"/>
          <w:placeholder>
            <w:docPart w:val="{f5716a7f-f6d3-450d-8dc8-fac572812c5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5"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75"/>
        </w:sdtContent>
      </w:sdt>
      <w:r>
        <w:rPr>
          <w:rFonts w:hint="eastAsia" w:ascii="宋体" w:hAnsi="宋体" w:eastAsia="宋体" w:cs="宋体"/>
          <w:color w:val="auto"/>
          <w:sz w:val="28"/>
          <w:szCs w:val="28"/>
          <w:highlight w:val="none"/>
          <w:shd w:val="clear" w:color="auto" w:fill="auto"/>
        </w:rPr>
        <w:t>%。</w:t>
      </w:r>
    </w:p>
    <w:p w14:paraId="370497E0">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2.乙方接受了与本合同工程建设项目有关的投标咨询业务的，应承担报酬总额</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237986322"/>
          <w:placeholder>
            <w:docPart w:val="{cb228b4c-f4e6-4870-8169-7bd4d1053a7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6"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76"/>
        </w:sdtContent>
      </w:sdt>
      <w:r>
        <w:rPr>
          <w:rFonts w:hint="eastAsia" w:ascii="宋体" w:hAnsi="宋体" w:eastAsia="宋体" w:cs="宋体"/>
          <w:color w:val="auto"/>
          <w:sz w:val="28"/>
          <w:szCs w:val="28"/>
          <w:highlight w:val="none"/>
          <w:shd w:val="clear" w:color="auto" w:fill="auto"/>
        </w:rPr>
        <w:t>%的违约责任。</w:t>
      </w:r>
    </w:p>
    <w:p w14:paraId="4DE2077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3．乙方泄露与本合同规定业务活动有关的保密资料，应承担报酬总额</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14541718"/>
          <w:placeholder>
            <w:docPart w:val="{1f57fbca-5646-4ee0-ace7-5cb6a28df60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77"/>
        </w:sdtContent>
      </w:sdt>
      <w:r>
        <w:rPr>
          <w:rFonts w:hint="eastAsia" w:ascii="宋体" w:hAnsi="宋体" w:eastAsia="宋体" w:cs="宋体"/>
          <w:color w:val="auto"/>
          <w:sz w:val="28"/>
          <w:szCs w:val="28"/>
          <w:highlight w:val="none"/>
          <w:shd w:val="clear" w:color="auto" w:fill="auto"/>
        </w:rPr>
        <w:t>%的违约责任。</w:t>
      </w:r>
    </w:p>
    <w:p w14:paraId="625B8AFF">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 乙方未</w:t>
      </w:r>
      <w:r>
        <w:rPr>
          <w:rFonts w:hint="eastAsia" w:ascii="宋体" w:hAnsi="宋体" w:cs="宋体"/>
          <w:color w:val="auto"/>
          <w:sz w:val="28"/>
          <w:szCs w:val="28"/>
          <w:highlight w:val="none"/>
          <w:shd w:val="clear" w:color="auto" w:fill="auto"/>
          <w:lang w:val="en-US" w:eastAsia="zh-CN"/>
        </w:rPr>
        <w:t>在</w:t>
      </w:r>
      <w:r>
        <w:rPr>
          <w:rFonts w:hint="eastAsia" w:ascii="宋体" w:hAnsi="宋体" w:eastAsia="宋体" w:cs="宋体"/>
          <w:color w:val="auto"/>
          <w:sz w:val="28"/>
          <w:szCs w:val="28"/>
          <w:highlight w:val="none"/>
          <w:shd w:val="clear" w:color="auto" w:fill="auto"/>
        </w:rPr>
        <w:t>约定时间内完</w:t>
      </w:r>
      <w:r>
        <w:rPr>
          <w:rFonts w:hint="eastAsia" w:ascii="宋体" w:hAnsi="宋体" w:cs="宋体"/>
          <w:color w:val="auto"/>
          <w:sz w:val="28"/>
          <w:szCs w:val="28"/>
          <w:highlight w:val="none"/>
          <w:shd w:val="clear" w:color="auto" w:fill="auto"/>
          <w:lang w:val="en-US" w:eastAsia="zh-CN"/>
        </w:rPr>
        <w:t>成</w:t>
      </w:r>
      <w:r>
        <w:rPr>
          <w:rFonts w:hint="eastAsia" w:ascii="宋体" w:hAnsi="宋体" w:eastAsia="宋体" w:cs="宋体"/>
          <w:color w:val="auto"/>
          <w:sz w:val="28"/>
          <w:szCs w:val="28"/>
          <w:highlight w:val="none"/>
          <w:shd w:val="clear" w:color="auto" w:fill="auto"/>
        </w:rPr>
        <w:t>总结算报告编制工作，甲方可直接扣减结算审核报酬总额</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175475824"/>
          <w:placeholder>
            <w:docPart w:val="{15f6addd-a8ea-4322-b34d-68d70e31f86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8"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78"/>
        </w:sdtContent>
      </w:sdt>
      <w:r>
        <w:rPr>
          <w:rFonts w:hint="eastAsia" w:ascii="宋体" w:hAnsi="宋体" w:eastAsia="宋体" w:cs="宋体"/>
          <w:color w:val="auto"/>
          <w:sz w:val="28"/>
          <w:szCs w:val="28"/>
          <w:highlight w:val="none"/>
          <w:shd w:val="clear" w:color="auto" w:fill="auto"/>
        </w:rPr>
        <w:t>%，并委托其他单位编制。</w:t>
      </w:r>
    </w:p>
    <w:p w14:paraId="3FBBBEA2">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 如在国家、甲方上级单位或甲方组织的审计中，发现本合同项下工程结算审核报告存在审计问题，由乙方负责向问题提出部门或单位解释。如因甲方事后检查、审查或审计等，发现乙方的工程造价成果文件质量偏差率超过</w:t>
      </w:r>
      <w:permStart w:id="79" w:edGrp="everyone"/>
      <w:r>
        <w:rPr>
          <w:rFonts w:hint="eastAsia" w:ascii="宋体" w:hAnsi="宋体" w:eastAsia="宋体" w:cs="宋体"/>
          <w:color w:val="auto"/>
          <w:sz w:val="28"/>
          <w:szCs w:val="28"/>
          <w:highlight w:val="none"/>
          <w:u w:val="single"/>
          <w:shd w:val="clear" w:color="auto" w:fill="auto"/>
        </w:rPr>
        <w:t xml:space="preserve">    </w:t>
      </w:r>
      <w:permEnd w:id="79"/>
      <w:r>
        <w:rPr>
          <w:rFonts w:hint="eastAsia" w:ascii="宋体" w:hAnsi="宋体" w:eastAsia="宋体" w:cs="宋体"/>
          <w:color w:val="auto"/>
          <w:sz w:val="28"/>
          <w:szCs w:val="28"/>
          <w:highlight w:val="none"/>
          <w:shd w:val="clear" w:color="auto" w:fill="auto"/>
        </w:rPr>
        <w:t>%，乙方不得收取超过部分的造价审核费用，如已收取，乙方应按甲方规定予以退还，还应按该单项工程造价审核费用的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520105215"/>
          <w:placeholder>
            <w:docPart w:val="{2a228ee6-a963-4be8-9c72-cb2a0922120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0"/>
        </w:sdtContent>
      </w:sdt>
      <w:r>
        <w:rPr>
          <w:rFonts w:hint="eastAsia" w:ascii="宋体" w:hAnsi="宋体" w:eastAsia="宋体" w:cs="宋体"/>
          <w:color w:val="auto"/>
          <w:sz w:val="28"/>
          <w:szCs w:val="28"/>
          <w:highlight w:val="none"/>
          <w:shd w:val="clear" w:color="auto" w:fill="auto"/>
        </w:rPr>
        <w:t>%向甲方支付违约金，并协助甲方向施工单位追回因乙方成果文件质量偏差导致多支付的工程款。</w:t>
      </w:r>
    </w:p>
    <w:p w14:paraId="1EEB9F29">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 如双方对前款偏差率有异议的，可共同委托具有相应资质的第三方审价机构进行复核，复核结果与乙方成果文件一致的，以乙方成果文件为准，第三方审价机构的聘请费用由甲方承担；复核结果与乙方成果文件不一致的，以复核结果为准，符合前款约定比例的，按前款约定执行退款，第三方审价机构的聘请费用由乙方承担。</w:t>
      </w:r>
    </w:p>
    <w:p w14:paraId="5B6E7510">
      <w:pPr>
        <w:pStyle w:val="18"/>
        <w:pageBreakBefore w:val="0"/>
        <w:kinsoku/>
        <w:wordWrap/>
        <w:overflowPunct/>
        <w:topLinePunct w:val="0"/>
        <w:bidi w:val="0"/>
        <w:spacing w:after="0"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 其他：</w:t>
      </w:r>
      <w:sdt>
        <w:sdtPr>
          <w:rPr>
            <w:rFonts w:hint="eastAsia" w:ascii="宋体" w:hAnsi="宋体" w:eastAsia="宋体" w:cs="宋体"/>
            <w:color w:val="auto"/>
            <w:kern w:val="2"/>
            <w:sz w:val="28"/>
            <w:szCs w:val="28"/>
            <w:highlight w:val="none"/>
            <w:u w:val="none"/>
            <w:lang w:val="en-US" w:eastAsia="zh-CN" w:bidi="ar-SA"/>
          </w:rPr>
          <w:alias w:val="不填其他的，请划“/”"/>
          <w:id w:val="118735961"/>
          <w:placeholder>
            <w:docPart w:val="{0a754ea8-0acc-44eb-bd44-6f1765ff7d7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81" w:edGrp="everyone"/>
          <w:r>
            <w:rPr>
              <w:rFonts w:hint="eastAsia" w:ascii="宋体" w:hAnsi="宋体" w:eastAsia="宋体" w:cs="宋体"/>
              <w:color w:val="auto"/>
              <w:sz w:val="28"/>
              <w:szCs w:val="28"/>
              <w:highlight w:val="none"/>
              <w:u w:val="single"/>
              <w:lang w:val="en-US" w:eastAsia="zh-CN"/>
            </w:rPr>
            <w:t xml:space="preserve">     </w:t>
          </w:r>
          <w:permEnd w:id="81"/>
        </w:sdtContent>
      </w:sdt>
    </w:p>
    <w:p w14:paraId="42FF27CC">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w:t>
      </w:r>
      <w:r>
        <w:rPr>
          <w:rFonts w:hint="default" w:ascii="宋体" w:hAnsi="宋体" w:eastAsia="宋体" w:cs="宋体"/>
          <w:color w:val="auto"/>
          <w:sz w:val="28"/>
          <w:szCs w:val="28"/>
          <w:highlight w:val="none"/>
          <w:shd w:val="clear" w:color="auto" w:fill="auto"/>
          <w:lang w:val="en-US"/>
        </w:rPr>
        <w:t>一</w:t>
      </w:r>
      <w:r>
        <w:rPr>
          <w:rFonts w:hint="eastAsia" w:ascii="宋体" w:hAnsi="宋体" w:eastAsia="宋体" w:cs="宋体"/>
          <w:color w:val="auto"/>
          <w:sz w:val="28"/>
          <w:szCs w:val="28"/>
          <w:highlight w:val="none"/>
          <w:shd w:val="clear" w:color="auto" w:fill="auto"/>
        </w:rPr>
        <w:t>条 因咨询人原因导致委托人解除合同的，未支付的不再支付，已支付的报酬咨询人应予以退还，并按照</w:t>
      </w:r>
      <w:r>
        <w:rPr>
          <w:rFonts w:hint="eastAsia" w:ascii="宋体" w:hAnsi="宋体" w:cs="宋体"/>
          <w:color w:val="auto"/>
          <w:sz w:val="28"/>
          <w:szCs w:val="28"/>
          <w:highlight w:val="none"/>
          <w:shd w:val="clear" w:color="auto" w:fill="auto"/>
          <w:lang w:val="en-US" w:eastAsia="zh-CN"/>
        </w:rPr>
        <w:t>同期贷款市场报价利率（LPR）</w:t>
      </w:r>
      <w:r>
        <w:rPr>
          <w:rFonts w:hint="eastAsia" w:ascii="宋体" w:hAnsi="宋体" w:eastAsia="宋体" w:cs="宋体"/>
          <w:color w:val="auto"/>
          <w:sz w:val="28"/>
          <w:szCs w:val="28"/>
          <w:highlight w:val="none"/>
          <w:shd w:val="clear" w:color="auto" w:fill="auto"/>
        </w:rPr>
        <w:t>向委托人支付利息，还应按照酬金的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942883793"/>
          <w:placeholder>
            <w:docPart w:val="{1ec9dc03-324c-4ecc-940f-94fe465a442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2"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2"/>
        </w:sdtContent>
      </w:sdt>
      <w:r>
        <w:rPr>
          <w:rFonts w:hint="eastAsia" w:ascii="宋体" w:hAnsi="宋体" w:eastAsia="宋体" w:cs="宋体"/>
          <w:color w:val="auto"/>
          <w:sz w:val="28"/>
          <w:szCs w:val="28"/>
          <w:highlight w:val="none"/>
          <w:shd w:val="clear" w:color="auto" w:fill="auto"/>
        </w:rPr>
        <w:t>%向委托人支付违约金，违约金不足以弥补甲方损失的，应承担赔偿责任。</w:t>
      </w:r>
    </w:p>
    <w:p w14:paraId="03A8E094">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w:t>
      </w:r>
      <w:r>
        <w:rPr>
          <w:rFonts w:hint="default" w:ascii="宋体" w:hAnsi="宋体" w:eastAsia="宋体" w:cs="宋体"/>
          <w:color w:val="auto"/>
          <w:sz w:val="28"/>
          <w:szCs w:val="28"/>
          <w:highlight w:val="none"/>
          <w:shd w:val="clear" w:color="auto" w:fill="auto"/>
          <w:lang w:val="en-US"/>
        </w:rPr>
        <w:t>二</w:t>
      </w:r>
      <w:r>
        <w:rPr>
          <w:rFonts w:hint="eastAsia" w:ascii="宋体" w:hAnsi="宋体" w:eastAsia="宋体" w:cs="宋体"/>
          <w:color w:val="auto"/>
          <w:sz w:val="28"/>
          <w:szCs w:val="28"/>
          <w:highlight w:val="none"/>
          <w:shd w:val="clear" w:color="auto" w:fill="auto"/>
        </w:rPr>
        <w:t>条 咨询人不能按照本合同约定时间提交咨询报告或咨询成果的，每迟延一天按酬金的</w:t>
      </w:r>
      <w:sdt>
        <w:sdtPr>
          <w:rPr>
            <w:rFonts w:hint="eastAsia" w:ascii="宋体" w:hAnsi="宋体" w:eastAsia="宋体" w:cs="宋体"/>
            <w:color w:val="auto"/>
            <w:kern w:val="2"/>
            <w:sz w:val="28"/>
            <w:szCs w:val="28"/>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559056316"/>
          <w:placeholder>
            <w:docPart w:val="{f773b469-8316-4a81-9064-fe8c720510c5}"/>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3"/>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向委托人支付违约金。咨询人迟延提交咨询报告或咨询成果超过</w:t>
      </w:r>
      <w:permStart w:id="84" w:edGrp="everyone"/>
      <w:r>
        <w:rPr>
          <w:rFonts w:hint="eastAsia" w:ascii="宋体" w:hAnsi="宋体" w:eastAsia="宋体" w:cs="宋体"/>
          <w:color w:val="auto"/>
          <w:sz w:val="28"/>
          <w:szCs w:val="28"/>
          <w:highlight w:val="none"/>
          <w:u w:val="single"/>
          <w:shd w:val="clear" w:color="auto" w:fill="auto"/>
        </w:rPr>
        <w:t xml:space="preserve">     </w:t>
      </w:r>
      <w:permEnd w:id="84"/>
      <w:r>
        <w:rPr>
          <w:rFonts w:hint="eastAsia" w:ascii="宋体" w:hAnsi="宋体" w:eastAsia="宋体" w:cs="宋体"/>
          <w:color w:val="auto"/>
          <w:sz w:val="28"/>
          <w:szCs w:val="28"/>
          <w:highlight w:val="none"/>
          <w:shd w:val="clear" w:color="auto" w:fill="auto"/>
        </w:rPr>
        <w:t>天的，委托人可以解除合同。</w:t>
      </w:r>
    </w:p>
    <w:p w14:paraId="1393AD71">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第三十</w:t>
      </w:r>
      <w:r>
        <w:rPr>
          <w:rFonts w:hint="default" w:ascii="宋体" w:hAnsi="宋体" w:eastAsia="宋体" w:cs="宋体"/>
          <w:color w:val="auto"/>
          <w:sz w:val="28"/>
          <w:szCs w:val="28"/>
          <w:highlight w:val="none"/>
          <w:shd w:val="clear" w:color="auto" w:fill="auto"/>
          <w:lang w:val="en-US"/>
        </w:rPr>
        <w:t>三</w:t>
      </w:r>
      <w:r>
        <w:rPr>
          <w:rFonts w:hint="eastAsia" w:ascii="宋体" w:hAnsi="宋体" w:eastAsia="宋体" w:cs="宋体"/>
          <w:color w:val="auto"/>
          <w:sz w:val="28"/>
          <w:szCs w:val="28"/>
          <w:highlight w:val="none"/>
          <w:shd w:val="clear" w:color="auto" w:fill="auto"/>
        </w:rPr>
        <w:t>条 本合同在履行过程中发生争议的，应友好协商解决；不能协商解决的，向甲方所在地人民法院起诉。</w:t>
      </w:r>
    </w:p>
    <w:p w14:paraId="003224FB">
      <w:pPr>
        <w:pageBreakBefore w:val="0"/>
        <w:tabs>
          <w:tab w:val="center" w:pos="4560"/>
          <w:tab w:val="right" w:pos="9120"/>
        </w:tabs>
        <w:kinsoku/>
        <w:wordWrap/>
        <w:overflowPunct/>
        <w:topLinePunct w:val="0"/>
        <w:bidi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14:paraId="4743E428">
      <w:pPr>
        <w:pStyle w:val="18"/>
        <w:pageBreakBefore w:val="0"/>
        <w:kinsoku/>
        <w:wordWrap/>
        <w:overflowPunct/>
        <w:topLinePunct w:val="0"/>
        <w:bidi w:val="0"/>
        <w:spacing w:after="0"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第三十九条 其他特别约定</w:t>
      </w:r>
    </w:p>
    <w:p w14:paraId="161A2227">
      <w:pPr>
        <w:pStyle w:val="18"/>
        <w:pageBreakBefore w:val="0"/>
        <w:kinsoku/>
        <w:wordWrap/>
        <w:overflowPunct/>
        <w:topLinePunct w:val="0"/>
        <w:bidi w:val="0"/>
        <w:spacing w:after="0" w:line="540" w:lineRule="exact"/>
        <w:rPr>
          <w:rFonts w:hint="eastAsia" w:ascii="宋体" w:hAnsi="宋体" w:eastAsia="宋体" w:cs="宋体"/>
          <w:color w:val="auto"/>
          <w:kern w:val="2"/>
          <w:sz w:val="28"/>
          <w:szCs w:val="28"/>
          <w:highlight w:val="none"/>
          <w:u w:val="single"/>
          <w:lang w:val="en-US" w:eastAsia="zh-CN" w:bidi="ar-SA"/>
        </w:rPr>
      </w:pPr>
      <w:sdt>
        <w:sdtPr>
          <w:rPr>
            <w:rFonts w:hint="eastAsia" w:ascii="宋体" w:hAnsi="宋体" w:eastAsia="宋体" w:cs="宋体"/>
            <w:color w:val="auto"/>
            <w:kern w:val="2"/>
            <w:sz w:val="28"/>
            <w:szCs w:val="28"/>
            <w:highlight w:val="none"/>
            <w:u w:val="none"/>
            <w:lang w:val="en-US" w:eastAsia="zh-CN" w:bidi="ar-SA"/>
          </w:rPr>
          <w:alias w:val="不填其他的，请划“/”"/>
          <w:id w:val="145045125"/>
          <w:placeholder>
            <w:docPart w:val="{6d1552d3-253e-42f9-9308-7a6489af68d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permEnd w:id="85"/>
        </w:sdtContent>
      </w:sdt>
    </w:p>
    <w:p w14:paraId="554E01D6">
      <w:pPr>
        <w:rPr>
          <w:rFonts w:hint="eastAsia" w:ascii="宋体" w:hAnsi="宋体" w:eastAsia="宋体" w:cs="宋体"/>
          <w:color w:val="auto"/>
          <w:kern w:val="2"/>
          <w:sz w:val="28"/>
          <w:szCs w:val="28"/>
          <w:highlight w:val="none"/>
          <w:u w:val="single"/>
          <w:lang w:val="en-US" w:eastAsia="zh-CN" w:bidi="ar-SA"/>
        </w:rPr>
      </w:pPr>
      <w:r>
        <w:rPr>
          <w:rFonts w:hint="eastAsia" w:ascii="宋体" w:hAnsi="宋体" w:eastAsia="宋体" w:cs="宋体"/>
          <w:color w:val="auto"/>
          <w:kern w:val="2"/>
          <w:sz w:val="28"/>
          <w:szCs w:val="28"/>
          <w:highlight w:val="none"/>
          <w:u w:val="single"/>
          <w:lang w:val="en-US" w:eastAsia="zh-CN" w:bidi="ar-SA"/>
        </w:rPr>
        <w:br w:type="page"/>
      </w:r>
    </w:p>
    <w:p w14:paraId="772966E1">
      <w:pPr>
        <w:pStyle w:val="18"/>
        <w:pageBreakBefore w:val="0"/>
        <w:kinsoku/>
        <w:wordWrap/>
        <w:overflowPunct/>
        <w:topLinePunct w:val="0"/>
        <w:bidi w:val="0"/>
        <w:spacing w:after="0" w:line="540" w:lineRule="exact"/>
        <w:ind w:left="0" w:leftChars="0"/>
        <w:rPr>
          <w:rFonts w:hint="eastAsia" w:ascii="宋体" w:hAnsi="宋体" w:eastAsia="宋体" w:cs="宋体"/>
          <w:color w:val="auto"/>
          <w:sz w:val="28"/>
          <w:szCs w:val="28"/>
          <w:highlight w:val="none"/>
          <w:shd w:val="clear" w:color="auto" w:fill="auto"/>
        </w:rPr>
      </w:pPr>
      <w:permStart w:id="86" w:edGrp="everyone"/>
      <w:r>
        <w:rPr>
          <w:rFonts w:hint="eastAsia" w:ascii="宋体" w:hAnsi="宋体" w:eastAsia="宋体" w:cs="宋体"/>
          <w:color w:val="auto"/>
          <w:kern w:val="0"/>
          <w:sz w:val="28"/>
          <w:szCs w:val="28"/>
          <w:highlight w:val="none"/>
          <w:u w:val="single"/>
          <w:shd w:val="clear" w:color="auto" w:fill="auto"/>
        </w:rPr>
        <w:t xml:space="preserve"> </w:t>
      </w:r>
      <w:bookmarkStart w:id="21" w:name="_Toc30872"/>
      <w:bookmarkStart w:id="22" w:name="_Toc2959"/>
      <w:r>
        <w:rPr>
          <w:rFonts w:hint="eastAsia" w:ascii="宋体" w:hAnsi="宋体" w:eastAsia="宋体" w:cs="宋体"/>
          <w:color w:val="auto"/>
          <w:sz w:val="28"/>
          <w:szCs w:val="28"/>
          <w:highlight w:val="none"/>
          <w:shd w:val="clear" w:color="auto" w:fill="auto"/>
        </w:rPr>
        <w:t>附件一：</w:t>
      </w:r>
      <w:bookmarkEnd w:id="21"/>
    </w:p>
    <w:p w14:paraId="1B59945B">
      <w:pPr>
        <w:pageBreakBefore w:val="0"/>
        <w:kinsoku/>
        <w:wordWrap/>
        <w:overflowPunct/>
        <w:topLinePunct w:val="0"/>
        <w:autoSpaceDE w:val="0"/>
        <w:autoSpaceDN w:val="0"/>
        <w:bidi w:val="0"/>
        <w:snapToGrid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工程造价咨询服务收费计算标准</w:t>
      </w:r>
    </w:p>
    <w:p w14:paraId="3F7AF962">
      <w:pPr>
        <w:pageBreakBefore w:val="0"/>
        <w:kinsoku/>
        <w:wordWrap/>
        <w:overflowPunct/>
        <w:topLinePunct w:val="0"/>
        <w:autoSpaceDE w:val="0"/>
        <w:autoSpaceDN w:val="0"/>
        <w:bidi w:val="0"/>
        <w:snapToGrid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（仅做参考，各分子公司可根据地方发布的造价咨询收费标准执行）</w:t>
      </w:r>
    </w:p>
    <w:tbl>
      <w:tblPr>
        <w:tblStyle w:val="42"/>
        <w:tblpPr w:leftFromText="180" w:rightFromText="180" w:vertAnchor="text" w:horzAnchor="page" w:tblpX="1816" w:tblpY="480"/>
        <w:tblOverlap w:val="never"/>
        <w:tblW w:w="0" w:type="auto"/>
        <w:tblInd w:w="-10" w:type="dxa"/>
        <w:tblLayout w:type="fixed"/>
        <w:tblCellMar>
          <w:top w:w="0" w:type="dxa"/>
          <w:left w:w="0" w:type="dxa"/>
          <w:bottom w:w="0" w:type="dxa"/>
          <w:right w:w="0" w:type="dxa"/>
        </w:tblCellMar>
      </w:tblPr>
      <w:tblGrid>
        <w:gridCol w:w="1480"/>
        <w:gridCol w:w="1060"/>
        <w:gridCol w:w="1060"/>
        <w:gridCol w:w="1200"/>
        <w:gridCol w:w="920"/>
        <w:gridCol w:w="1100"/>
        <w:gridCol w:w="20"/>
        <w:gridCol w:w="2920"/>
      </w:tblGrid>
      <w:tr w14:paraId="646962D1">
        <w:tblPrEx>
          <w:tblCellMar>
            <w:top w:w="0" w:type="dxa"/>
            <w:left w:w="0" w:type="dxa"/>
            <w:bottom w:w="0" w:type="dxa"/>
            <w:right w:w="0" w:type="dxa"/>
          </w:tblCellMar>
        </w:tblPrEx>
        <w:trPr>
          <w:trHeight w:val="386" w:hRule="atLeast"/>
        </w:trPr>
        <w:tc>
          <w:tcPr>
            <w:tcW w:w="1480" w:type="dxa"/>
            <w:tcBorders>
              <w:top w:val="single" w:color="auto" w:sz="8" w:space="0"/>
              <w:left w:val="single" w:color="auto" w:sz="8" w:space="0"/>
              <w:right w:val="single" w:color="auto" w:sz="8" w:space="0"/>
            </w:tcBorders>
            <w:noWrap w:val="0"/>
            <w:vAlign w:val="bottom"/>
          </w:tcPr>
          <w:p w14:paraId="726E63A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120" w:type="dxa"/>
            <w:gridSpan w:val="2"/>
            <w:tcBorders>
              <w:top w:val="single" w:color="auto" w:sz="8" w:space="0"/>
              <w:right w:val="single" w:color="auto" w:sz="8" w:space="0"/>
            </w:tcBorders>
            <w:noWrap w:val="0"/>
            <w:vAlign w:val="bottom"/>
          </w:tcPr>
          <w:p w14:paraId="44DD55AA">
            <w:pPr>
              <w:pageBreakBefore w:val="0"/>
              <w:kinsoku/>
              <w:wordWrap/>
              <w:overflowPunct/>
              <w:topLinePunct w:val="0"/>
              <w:bidi w:val="0"/>
              <w:spacing w:line="540" w:lineRule="exact"/>
              <w:ind w:left="1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工程结算审核（‰）</w:t>
            </w:r>
          </w:p>
        </w:tc>
        <w:tc>
          <w:tcPr>
            <w:tcW w:w="3240" w:type="dxa"/>
            <w:gridSpan w:val="4"/>
            <w:tcBorders>
              <w:top w:val="single" w:color="auto" w:sz="8" w:space="0"/>
              <w:right w:val="single" w:color="auto" w:sz="8" w:space="0"/>
            </w:tcBorders>
            <w:noWrap w:val="0"/>
            <w:vAlign w:val="bottom"/>
          </w:tcPr>
          <w:p w14:paraId="124035AF">
            <w:pPr>
              <w:pageBreakBefore w:val="0"/>
              <w:kinsoku/>
              <w:wordWrap/>
              <w:overflowPunct/>
              <w:topLinePunct w:val="0"/>
              <w:bidi w:val="0"/>
              <w:spacing w:line="540" w:lineRule="exact"/>
              <w:ind w:left="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招标控制价编制或审核（‰）</w:t>
            </w:r>
          </w:p>
        </w:tc>
        <w:tc>
          <w:tcPr>
            <w:tcW w:w="2920" w:type="dxa"/>
            <w:tcBorders>
              <w:top w:val="single" w:color="auto" w:sz="8" w:space="0"/>
              <w:right w:val="single" w:color="auto" w:sz="8" w:space="0"/>
            </w:tcBorders>
            <w:noWrap w:val="0"/>
            <w:vAlign w:val="bottom"/>
          </w:tcPr>
          <w:p w14:paraId="5DF7CA0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4DEDE682">
        <w:tblPrEx>
          <w:tblCellMar>
            <w:top w:w="0" w:type="dxa"/>
            <w:left w:w="0" w:type="dxa"/>
            <w:bottom w:w="0" w:type="dxa"/>
            <w:right w:w="0" w:type="dxa"/>
          </w:tblCellMar>
        </w:tblPrEx>
        <w:trPr>
          <w:trHeight w:val="159" w:hRule="atLeast"/>
        </w:trPr>
        <w:tc>
          <w:tcPr>
            <w:tcW w:w="1480" w:type="dxa"/>
            <w:tcBorders>
              <w:left w:val="single" w:color="auto" w:sz="8" w:space="0"/>
              <w:right w:val="single" w:color="auto" w:sz="8" w:space="0"/>
            </w:tcBorders>
            <w:noWrap w:val="0"/>
            <w:vAlign w:val="bottom"/>
          </w:tcPr>
          <w:p w14:paraId="699457B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tcBorders>
            <w:noWrap w:val="0"/>
            <w:vAlign w:val="bottom"/>
          </w:tcPr>
          <w:p w14:paraId="40C1648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2CC044D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tcBorders>
            <w:noWrap w:val="0"/>
            <w:vAlign w:val="bottom"/>
          </w:tcPr>
          <w:p w14:paraId="63A5AF0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tcBorders>
            <w:noWrap w:val="0"/>
            <w:vAlign w:val="bottom"/>
          </w:tcPr>
          <w:p w14:paraId="54FEBA5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bottom w:val="single" w:color="auto" w:sz="8" w:space="0"/>
              <w:right w:val="single" w:color="auto" w:sz="8" w:space="0"/>
            </w:tcBorders>
            <w:noWrap w:val="0"/>
            <w:vAlign w:val="bottom"/>
          </w:tcPr>
          <w:p w14:paraId="38D2644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right w:val="single" w:color="auto" w:sz="8" w:space="0"/>
            </w:tcBorders>
            <w:noWrap w:val="0"/>
            <w:vAlign w:val="bottom"/>
          </w:tcPr>
          <w:p w14:paraId="110D2B3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71447615">
        <w:tblPrEx>
          <w:tblCellMar>
            <w:top w:w="0" w:type="dxa"/>
            <w:left w:w="0" w:type="dxa"/>
            <w:bottom w:w="0" w:type="dxa"/>
            <w:right w:w="0" w:type="dxa"/>
          </w:tblCellMar>
        </w:tblPrEx>
        <w:trPr>
          <w:trHeight w:val="299" w:hRule="atLeast"/>
        </w:trPr>
        <w:tc>
          <w:tcPr>
            <w:tcW w:w="1480" w:type="dxa"/>
            <w:tcBorders>
              <w:left w:val="single" w:color="auto" w:sz="8" w:space="0"/>
              <w:right w:val="single" w:color="auto" w:sz="8" w:space="0"/>
            </w:tcBorders>
            <w:noWrap w:val="0"/>
            <w:vAlign w:val="bottom"/>
          </w:tcPr>
          <w:p w14:paraId="211802D3">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项目</w:t>
            </w:r>
          </w:p>
        </w:tc>
        <w:tc>
          <w:tcPr>
            <w:tcW w:w="1060" w:type="dxa"/>
            <w:tcBorders>
              <w:right w:val="single" w:color="auto" w:sz="8" w:space="0"/>
            </w:tcBorders>
            <w:noWrap w:val="0"/>
            <w:vAlign w:val="bottom"/>
          </w:tcPr>
          <w:p w14:paraId="7D5F902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615A270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restart"/>
            <w:tcBorders>
              <w:right w:val="single" w:color="auto" w:sz="8" w:space="0"/>
            </w:tcBorders>
            <w:noWrap w:val="0"/>
            <w:vAlign w:val="bottom"/>
          </w:tcPr>
          <w:p w14:paraId="7BFB764D">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编制工程</w:t>
            </w:r>
          </w:p>
        </w:tc>
        <w:tc>
          <w:tcPr>
            <w:tcW w:w="920" w:type="dxa"/>
            <w:tcBorders>
              <w:right w:val="single" w:color="auto" w:sz="8" w:space="0"/>
            </w:tcBorders>
            <w:noWrap w:val="0"/>
            <w:vAlign w:val="bottom"/>
          </w:tcPr>
          <w:p w14:paraId="225F65C3">
            <w:pPr>
              <w:pageBreakBefore w:val="0"/>
              <w:kinsoku/>
              <w:wordWrap/>
              <w:overflowPunct/>
              <w:topLinePunct w:val="0"/>
              <w:bidi w:val="0"/>
              <w:spacing w:line="540" w:lineRule="exact"/>
              <w:jc w:val="center"/>
              <w:rPr>
                <w:rFonts w:hint="eastAsia" w:ascii="宋体" w:hAnsi="宋体" w:eastAsia="宋体" w:cs="宋体"/>
                <w:color w:val="auto"/>
                <w:w w:val="98"/>
                <w:sz w:val="24"/>
                <w:szCs w:val="24"/>
                <w:highlight w:val="none"/>
                <w:shd w:val="clear" w:color="auto" w:fill="auto"/>
              </w:rPr>
            </w:pPr>
            <w:r>
              <w:rPr>
                <w:rFonts w:hint="eastAsia" w:ascii="宋体" w:hAnsi="宋体" w:eastAsia="宋体" w:cs="宋体"/>
                <w:color w:val="auto"/>
                <w:w w:val="98"/>
                <w:sz w:val="24"/>
                <w:szCs w:val="24"/>
                <w:highlight w:val="none"/>
                <w:shd w:val="clear" w:color="auto" w:fill="auto"/>
              </w:rPr>
              <w:t>清单计</w:t>
            </w:r>
          </w:p>
        </w:tc>
        <w:tc>
          <w:tcPr>
            <w:tcW w:w="1120" w:type="dxa"/>
            <w:gridSpan w:val="2"/>
            <w:tcBorders>
              <w:right w:val="single" w:color="auto" w:sz="8" w:space="0"/>
            </w:tcBorders>
            <w:noWrap w:val="0"/>
            <w:vAlign w:val="bottom"/>
          </w:tcPr>
          <w:p w14:paraId="665D1485">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定额计价</w:t>
            </w:r>
          </w:p>
        </w:tc>
        <w:tc>
          <w:tcPr>
            <w:tcW w:w="2920" w:type="dxa"/>
            <w:tcBorders>
              <w:right w:val="single" w:color="auto" w:sz="8" w:space="0"/>
            </w:tcBorders>
            <w:noWrap w:val="0"/>
            <w:vAlign w:val="bottom"/>
          </w:tcPr>
          <w:p w14:paraId="50D32F14">
            <w:pPr>
              <w:pageBreakBefore w:val="0"/>
              <w:kinsoku/>
              <w:wordWrap/>
              <w:overflowPunct/>
              <w:topLinePunct w:val="0"/>
              <w:bidi w:val="0"/>
              <w:spacing w:line="540" w:lineRule="exact"/>
              <w:ind w:left="12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w:t>
            </w:r>
          </w:p>
        </w:tc>
      </w:tr>
      <w:tr w14:paraId="3AC7949C">
        <w:tblPrEx>
          <w:tblCellMar>
            <w:top w:w="0" w:type="dxa"/>
            <w:left w:w="0" w:type="dxa"/>
            <w:bottom w:w="0" w:type="dxa"/>
            <w:right w:w="0" w:type="dxa"/>
          </w:tblCellMar>
        </w:tblPrEx>
        <w:trPr>
          <w:trHeight w:val="118" w:hRule="atLeast"/>
        </w:trPr>
        <w:tc>
          <w:tcPr>
            <w:tcW w:w="1480" w:type="dxa"/>
            <w:tcBorders>
              <w:left w:val="single" w:color="auto" w:sz="8" w:space="0"/>
              <w:right w:val="single" w:color="auto" w:sz="8" w:space="0"/>
            </w:tcBorders>
            <w:noWrap w:val="0"/>
            <w:vAlign w:val="bottom"/>
          </w:tcPr>
          <w:p w14:paraId="3205BB7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restart"/>
            <w:tcBorders>
              <w:right w:val="single" w:color="auto" w:sz="8" w:space="0"/>
            </w:tcBorders>
            <w:noWrap w:val="0"/>
            <w:vAlign w:val="bottom"/>
          </w:tcPr>
          <w:p w14:paraId="67910F8C">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基本收费</w:t>
            </w:r>
          </w:p>
        </w:tc>
        <w:tc>
          <w:tcPr>
            <w:tcW w:w="1060" w:type="dxa"/>
            <w:vMerge w:val="restart"/>
            <w:tcBorders>
              <w:right w:val="single" w:color="auto" w:sz="8" w:space="0"/>
            </w:tcBorders>
            <w:noWrap w:val="0"/>
            <w:vAlign w:val="bottom"/>
          </w:tcPr>
          <w:p w14:paraId="1927BE36">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效益收费</w:t>
            </w:r>
          </w:p>
        </w:tc>
        <w:tc>
          <w:tcPr>
            <w:tcW w:w="1200" w:type="dxa"/>
            <w:vMerge w:val="continue"/>
            <w:tcBorders>
              <w:right w:val="single" w:color="auto" w:sz="8" w:space="0"/>
            </w:tcBorders>
            <w:noWrap w:val="0"/>
            <w:vAlign w:val="bottom"/>
          </w:tcPr>
          <w:p w14:paraId="0147DF7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restart"/>
            <w:tcBorders>
              <w:right w:val="single" w:color="auto" w:sz="8" w:space="0"/>
            </w:tcBorders>
            <w:noWrap w:val="0"/>
            <w:vAlign w:val="bottom"/>
          </w:tcPr>
          <w:p w14:paraId="17757145">
            <w:pPr>
              <w:pageBreakBefore w:val="0"/>
              <w:kinsoku/>
              <w:wordWrap/>
              <w:overflowPunct/>
              <w:topLinePunct w:val="0"/>
              <w:bidi w:val="0"/>
              <w:spacing w:line="540" w:lineRule="exact"/>
              <w:jc w:val="center"/>
              <w:rPr>
                <w:rFonts w:hint="eastAsia" w:ascii="宋体" w:hAnsi="宋体" w:eastAsia="宋体" w:cs="宋体"/>
                <w:color w:val="auto"/>
                <w:w w:val="98"/>
                <w:sz w:val="24"/>
                <w:szCs w:val="24"/>
                <w:highlight w:val="none"/>
                <w:shd w:val="clear" w:color="auto" w:fill="auto"/>
              </w:rPr>
            </w:pPr>
            <w:r>
              <w:rPr>
                <w:rFonts w:hint="eastAsia" w:ascii="宋体" w:hAnsi="宋体" w:eastAsia="宋体" w:cs="宋体"/>
                <w:color w:val="auto"/>
                <w:w w:val="98"/>
                <w:sz w:val="24"/>
                <w:szCs w:val="24"/>
                <w:highlight w:val="none"/>
                <w:shd w:val="clear" w:color="auto" w:fill="auto"/>
              </w:rPr>
              <w:t>价法编</w:t>
            </w:r>
          </w:p>
        </w:tc>
        <w:tc>
          <w:tcPr>
            <w:tcW w:w="1120" w:type="dxa"/>
            <w:gridSpan w:val="2"/>
            <w:vMerge w:val="restart"/>
            <w:tcBorders>
              <w:right w:val="single" w:color="auto" w:sz="8" w:space="0"/>
            </w:tcBorders>
            <w:noWrap w:val="0"/>
            <w:vAlign w:val="bottom"/>
          </w:tcPr>
          <w:p w14:paraId="77080392">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法编制限</w:t>
            </w:r>
          </w:p>
        </w:tc>
        <w:tc>
          <w:tcPr>
            <w:tcW w:w="2920" w:type="dxa"/>
            <w:tcBorders>
              <w:right w:val="single" w:color="auto" w:sz="8" w:space="0"/>
            </w:tcBorders>
            <w:noWrap w:val="0"/>
            <w:vAlign w:val="bottom"/>
          </w:tcPr>
          <w:p w14:paraId="5EDF5F3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5B3C25E6">
        <w:tblPrEx>
          <w:tblCellMar>
            <w:top w:w="0" w:type="dxa"/>
            <w:left w:w="0" w:type="dxa"/>
            <w:bottom w:w="0" w:type="dxa"/>
            <w:right w:w="0" w:type="dxa"/>
          </w:tblCellMar>
        </w:tblPrEx>
        <w:trPr>
          <w:trHeight w:val="156" w:hRule="atLeast"/>
        </w:trPr>
        <w:tc>
          <w:tcPr>
            <w:tcW w:w="1480" w:type="dxa"/>
            <w:tcBorders>
              <w:left w:val="single" w:color="auto" w:sz="8" w:space="0"/>
              <w:right w:val="single" w:color="auto" w:sz="8" w:space="0"/>
            </w:tcBorders>
            <w:noWrap w:val="0"/>
            <w:vAlign w:val="bottom"/>
          </w:tcPr>
          <w:p w14:paraId="110ED66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continue"/>
            <w:tcBorders>
              <w:right w:val="single" w:color="auto" w:sz="8" w:space="0"/>
            </w:tcBorders>
            <w:noWrap w:val="0"/>
            <w:vAlign w:val="bottom"/>
          </w:tcPr>
          <w:p w14:paraId="610DA31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continue"/>
            <w:tcBorders>
              <w:right w:val="single" w:color="auto" w:sz="8" w:space="0"/>
            </w:tcBorders>
            <w:noWrap w:val="0"/>
            <w:vAlign w:val="bottom"/>
          </w:tcPr>
          <w:p w14:paraId="067CDED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restart"/>
            <w:tcBorders>
              <w:right w:val="single" w:color="auto" w:sz="8" w:space="0"/>
            </w:tcBorders>
            <w:noWrap w:val="0"/>
            <w:vAlign w:val="bottom"/>
          </w:tcPr>
          <w:p w14:paraId="4FE16B6F">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量清单</w:t>
            </w:r>
          </w:p>
        </w:tc>
        <w:tc>
          <w:tcPr>
            <w:tcW w:w="920" w:type="dxa"/>
            <w:vMerge w:val="continue"/>
            <w:tcBorders>
              <w:right w:val="single" w:color="auto" w:sz="8" w:space="0"/>
            </w:tcBorders>
            <w:noWrap w:val="0"/>
            <w:vAlign w:val="bottom"/>
          </w:tcPr>
          <w:p w14:paraId="5A31C28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vMerge w:val="continue"/>
            <w:tcBorders>
              <w:right w:val="single" w:color="auto" w:sz="8" w:space="0"/>
            </w:tcBorders>
            <w:noWrap w:val="0"/>
            <w:vAlign w:val="bottom"/>
          </w:tcPr>
          <w:p w14:paraId="5689235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right w:val="single" w:color="auto" w:sz="8" w:space="0"/>
            </w:tcBorders>
            <w:noWrap w:val="0"/>
            <w:vAlign w:val="bottom"/>
          </w:tcPr>
          <w:p w14:paraId="511615C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016D7C9A">
        <w:tblPrEx>
          <w:tblCellMar>
            <w:top w:w="0" w:type="dxa"/>
            <w:left w:w="0" w:type="dxa"/>
            <w:bottom w:w="0" w:type="dxa"/>
            <w:right w:w="0" w:type="dxa"/>
          </w:tblCellMar>
        </w:tblPrEx>
        <w:trPr>
          <w:trHeight w:val="156" w:hRule="atLeast"/>
        </w:trPr>
        <w:tc>
          <w:tcPr>
            <w:tcW w:w="1480" w:type="dxa"/>
            <w:tcBorders>
              <w:left w:val="single" w:color="auto" w:sz="8" w:space="0"/>
              <w:right w:val="single" w:color="auto" w:sz="8" w:space="0"/>
            </w:tcBorders>
            <w:noWrap w:val="0"/>
            <w:vAlign w:val="bottom"/>
          </w:tcPr>
          <w:p w14:paraId="3669EA1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384CF75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4F1D377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continue"/>
            <w:tcBorders>
              <w:right w:val="single" w:color="auto" w:sz="8" w:space="0"/>
            </w:tcBorders>
            <w:noWrap w:val="0"/>
            <w:vAlign w:val="bottom"/>
          </w:tcPr>
          <w:p w14:paraId="217921A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restart"/>
            <w:tcBorders>
              <w:right w:val="single" w:color="auto" w:sz="8" w:space="0"/>
            </w:tcBorders>
            <w:noWrap w:val="0"/>
            <w:vAlign w:val="bottom"/>
          </w:tcPr>
          <w:p w14:paraId="2214F953">
            <w:pPr>
              <w:pageBreakBefore w:val="0"/>
              <w:kinsoku/>
              <w:wordWrap/>
              <w:overflowPunct/>
              <w:topLinePunct w:val="0"/>
              <w:bidi w:val="0"/>
              <w:spacing w:line="540" w:lineRule="exact"/>
              <w:jc w:val="center"/>
              <w:rPr>
                <w:rFonts w:hint="eastAsia" w:ascii="宋体" w:hAnsi="宋体" w:eastAsia="宋体" w:cs="宋体"/>
                <w:color w:val="auto"/>
                <w:w w:val="98"/>
                <w:sz w:val="24"/>
                <w:szCs w:val="24"/>
                <w:highlight w:val="none"/>
                <w:shd w:val="clear" w:color="auto" w:fill="auto"/>
              </w:rPr>
            </w:pPr>
            <w:r>
              <w:rPr>
                <w:rFonts w:hint="eastAsia" w:ascii="宋体" w:hAnsi="宋体" w:eastAsia="宋体" w:cs="宋体"/>
                <w:color w:val="auto"/>
                <w:w w:val="98"/>
                <w:sz w:val="24"/>
                <w:szCs w:val="24"/>
                <w:highlight w:val="none"/>
                <w:shd w:val="clear" w:color="auto" w:fill="auto"/>
              </w:rPr>
              <w:t>制限价</w:t>
            </w:r>
          </w:p>
        </w:tc>
        <w:tc>
          <w:tcPr>
            <w:tcW w:w="1120" w:type="dxa"/>
            <w:gridSpan w:val="2"/>
            <w:vMerge w:val="restart"/>
            <w:tcBorders>
              <w:right w:val="single" w:color="auto" w:sz="8" w:space="0"/>
            </w:tcBorders>
            <w:noWrap w:val="0"/>
            <w:vAlign w:val="bottom"/>
          </w:tcPr>
          <w:p w14:paraId="503457D3">
            <w:pPr>
              <w:pageBreakBefore w:val="0"/>
              <w:kinsoku/>
              <w:wordWrap/>
              <w:overflowPunct/>
              <w:topLinePunct w:val="0"/>
              <w:bidi w:val="0"/>
              <w:spacing w:line="540" w:lineRule="exact"/>
              <w:jc w:val="center"/>
              <w:rPr>
                <w:rFonts w:hint="eastAsia" w:ascii="宋体" w:hAnsi="宋体" w:eastAsia="宋体" w:cs="宋体"/>
                <w:color w:val="auto"/>
                <w:w w:val="95"/>
                <w:sz w:val="24"/>
                <w:szCs w:val="24"/>
                <w:highlight w:val="none"/>
                <w:shd w:val="clear" w:color="auto" w:fill="auto"/>
              </w:rPr>
            </w:pPr>
            <w:r>
              <w:rPr>
                <w:rFonts w:hint="eastAsia" w:ascii="宋体" w:hAnsi="宋体" w:eastAsia="宋体" w:cs="宋体"/>
                <w:color w:val="auto"/>
                <w:w w:val="95"/>
                <w:sz w:val="24"/>
                <w:szCs w:val="24"/>
                <w:highlight w:val="none"/>
                <w:shd w:val="clear" w:color="auto" w:fill="auto"/>
              </w:rPr>
              <w:t>价</w:t>
            </w:r>
          </w:p>
        </w:tc>
        <w:tc>
          <w:tcPr>
            <w:tcW w:w="2920" w:type="dxa"/>
            <w:tcBorders>
              <w:right w:val="single" w:color="auto" w:sz="8" w:space="0"/>
            </w:tcBorders>
            <w:noWrap w:val="0"/>
            <w:vAlign w:val="bottom"/>
          </w:tcPr>
          <w:p w14:paraId="6B36460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30FCC647">
        <w:tblPrEx>
          <w:tblCellMar>
            <w:top w:w="0" w:type="dxa"/>
            <w:left w:w="0" w:type="dxa"/>
            <w:bottom w:w="0" w:type="dxa"/>
            <w:right w:w="0" w:type="dxa"/>
          </w:tblCellMar>
        </w:tblPrEx>
        <w:trPr>
          <w:trHeight w:val="156" w:hRule="atLeast"/>
        </w:trPr>
        <w:tc>
          <w:tcPr>
            <w:tcW w:w="1480" w:type="dxa"/>
            <w:tcBorders>
              <w:left w:val="single" w:color="auto" w:sz="8" w:space="0"/>
              <w:right w:val="single" w:color="auto" w:sz="8" w:space="0"/>
            </w:tcBorders>
            <w:noWrap w:val="0"/>
            <w:vAlign w:val="bottom"/>
          </w:tcPr>
          <w:p w14:paraId="7DC1CDE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1B9FD5C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259AB08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6FE633A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continue"/>
            <w:tcBorders>
              <w:right w:val="single" w:color="auto" w:sz="8" w:space="0"/>
            </w:tcBorders>
            <w:noWrap w:val="0"/>
            <w:vAlign w:val="bottom"/>
          </w:tcPr>
          <w:p w14:paraId="314C9EB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vMerge w:val="continue"/>
            <w:tcBorders>
              <w:right w:val="single" w:color="auto" w:sz="8" w:space="0"/>
            </w:tcBorders>
            <w:noWrap w:val="0"/>
            <w:vAlign w:val="bottom"/>
          </w:tcPr>
          <w:p w14:paraId="75A3968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right w:val="single" w:color="auto" w:sz="8" w:space="0"/>
            </w:tcBorders>
            <w:noWrap w:val="0"/>
            <w:vAlign w:val="bottom"/>
          </w:tcPr>
          <w:p w14:paraId="79E1656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159405EC">
        <w:tblPrEx>
          <w:tblCellMar>
            <w:top w:w="0" w:type="dxa"/>
            <w:left w:w="0" w:type="dxa"/>
            <w:bottom w:w="0" w:type="dxa"/>
            <w:right w:w="0" w:type="dxa"/>
          </w:tblCellMar>
        </w:tblPrEx>
        <w:trPr>
          <w:trHeight w:val="90" w:hRule="atLeast"/>
        </w:trPr>
        <w:tc>
          <w:tcPr>
            <w:tcW w:w="1480" w:type="dxa"/>
            <w:tcBorders>
              <w:left w:val="single" w:color="auto" w:sz="8" w:space="0"/>
              <w:bottom w:val="single" w:color="auto" w:sz="8" w:space="0"/>
              <w:right w:val="single" w:color="auto" w:sz="8" w:space="0"/>
            </w:tcBorders>
            <w:noWrap w:val="0"/>
            <w:vAlign w:val="bottom"/>
          </w:tcPr>
          <w:p w14:paraId="64D9292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4367490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210A6C91">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right w:val="single" w:color="auto" w:sz="8" w:space="0"/>
            </w:tcBorders>
            <w:noWrap w:val="0"/>
            <w:vAlign w:val="bottom"/>
          </w:tcPr>
          <w:p w14:paraId="3DE632A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right w:val="single" w:color="auto" w:sz="8" w:space="0"/>
            </w:tcBorders>
            <w:noWrap w:val="0"/>
            <w:vAlign w:val="bottom"/>
          </w:tcPr>
          <w:p w14:paraId="1B62F74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bottom w:val="single" w:color="auto" w:sz="8" w:space="0"/>
              <w:right w:val="single" w:color="auto" w:sz="8" w:space="0"/>
            </w:tcBorders>
            <w:noWrap w:val="0"/>
            <w:vAlign w:val="bottom"/>
          </w:tcPr>
          <w:p w14:paraId="6DFA4DD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bottom w:val="single" w:color="auto" w:sz="8" w:space="0"/>
              <w:right w:val="single" w:color="auto" w:sz="8" w:space="0"/>
            </w:tcBorders>
            <w:noWrap w:val="0"/>
            <w:vAlign w:val="bottom"/>
          </w:tcPr>
          <w:p w14:paraId="55DAED4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1548B837">
        <w:tblPrEx>
          <w:tblCellMar>
            <w:top w:w="0" w:type="dxa"/>
            <w:left w:w="0" w:type="dxa"/>
            <w:bottom w:w="0" w:type="dxa"/>
            <w:right w:w="0" w:type="dxa"/>
          </w:tblCellMar>
        </w:tblPrEx>
        <w:trPr>
          <w:trHeight w:val="260" w:hRule="atLeast"/>
        </w:trPr>
        <w:tc>
          <w:tcPr>
            <w:tcW w:w="1480" w:type="dxa"/>
            <w:tcBorders>
              <w:left w:val="single" w:color="auto" w:sz="8" w:space="0"/>
              <w:right w:val="single" w:color="auto" w:sz="8" w:space="0"/>
            </w:tcBorders>
            <w:noWrap w:val="0"/>
            <w:vAlign w:val="bottom"/>
          </w:tcPr>
          <w:p w14:paraId="4067B40D">
            <w:pPr>
              <w:pageBreakBefore w:val="0"/>
              <w:kinsoku/>
              <w:wordWrap/>
              <w:overflowPunct/>
              <w:topLinePunct w:val="0"/>
              <w:bidi w:val="0"/>
              <w:spacing w:line="540" w:lineRule="exact"/>
              <w:ind w:left="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ragraph">
                        <wp:posOffset>-4445</wp:posOffset>
                      </wp:positionV>
                      <wp:extent cx="936625" cy="603250"/>
                      <wp:effectExtent l="2540" t="3810" r="5715" b="17780"/>
                      <wp:wrapNone/>
                      <wp:docPr id="3" name="直线 7"/>
                      <wp:cNvGraphicFramePr/>
                      <a:graphic xmlns:a="http://schemas.openxmlformats.org/drawingml/2006/main">
                        <a:graphicData uri="http://schemas.microsoft.com/office/word/2010/wordprocessingShape">
                          <wps:wsp>
                            <wps:cNvCnPr/>
                            <wps:spPr>
                              <a:xfrm>
                                <a:off x="0" y="0"/>
                                <a:ext cx="936625" cy="60325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7" o:spid="_x0000_s1026" o:spt="20" style="position:absolute;left:0pt;margin-left:0.4pt;margin-top:-0.35pt;height:47.5pt;width:73.75pt;z-index:251660288;mso-width-relative:page;mso-height-relative:page;" filled="f" stroked="t" coordsize="21600,21600" o:gfxdata="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PU0vWzU&#10;AAAABQEAAA8AAAAAAAAAAQAgAAAAIgAAAGRycy9kb3ducmV2LnhtbFBLAQIUABQAAAAIAIdO4kDa&#10;h0bK6wEAAN8DAAAOAAAAAAAAAAEAIAAAACMBAABkcnMvZTJvRG9jLnhtbFBLBQYAAAAABgAGAFkB&#10;AACABQAAAAA=&#10;">
                      <v:fill on="f"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shd w:val="clear" w:color="auto" w:fill="auto"/>
              </w:rPr>
              <w:t>收费基数</w:t>
            </w:r>
          </w:p>
        </w:tc>
        <w:tc>
          <w:tcPr>
            <w:tcW w:w="1060" w:type="dxa"/>
            <w:vMerge w:val="restart"/>
            <w:tcBorders>
              <w:right w:val="single" w:color="auto" w:sz="8" w:space="0"/>
            </w:tcBorders>
            <w:noWrap w:val="0"/>
            <w:vAlign w:val="bottom"/>
          </w:tcPr>
          <w:p w14:paraId="744E1E84">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送审结算</w:t>
            </w:r>
          </w:p>
        </w:tc>
        <w:tc>
          <w:tcPr>
            <w:tcW w:w="1060" w:type="dxa"/>
            <w:tcBorders>
              <w:right w:val="single" w:color="auto" w:sz="8" w:space="0"/>
            </w:tcBorders>
            <w:noWrap w:val="0"/>
            <w:vAlign w:val="bottom"/>
          </w:tcPr>
          <w:p w14:paraId="4E7383E6">
            <w:pPr>
              <w:pageBreakBefore w:val="0"/>
              <w:kinsoku/>
              <w:wordWrap/>
              <w:overflowPunct/>
              <w:topLinePunct w:val="0"/>
              <w:bidi w:val="0"/>
              <w:spacing w:line="540" w:lineRule="exact"/>
              <w:jc w:val="center"/>
              <w:rPr>
                <w:rFonts w:hint="eastAsia" w:ascii="宋体" w:hAnsi="宋体" w:eastAsia="宋体" w:cs="宋体"/>
                <w:color w:val="auto"/>
                <w:w w:val="98"/>
                <w:sz w:val="24"/>
                <w:szCs w:val="24"/>
                <w:highlight w:val="none"/>
                <w:shd w:val="clear" w:color="auto" w:fill="auto"/>
              </w:rPr>
            </w:pPr>
            <w:r>
              <w:rPr>
                <w:rFonts w:hint="eastAsia" w:ascii="宋体" w:hAnsi="宋体" w:eastAsia="宋体" w:cs="宋体"/>
                <w:color w:val="auto"/>
                <w:w w:val="98"/>
                <w:sz w:val="24"/>
                <w:szCs w:val="24"/>
                <w:highlight w:val="none"/>
                <w:shd w:val="clear" w:color="auto" w:fill="auto"/>
              </w:rPr>
              <w:t>︱核减额</w:t>
            </w:r>
          </w:p>
        </w:tc>
        <w:tc>
          <w:tcPr>
            <w:tcW w:w="1200" w:type="dxa"/>
            <w:vMerge w:val="restart"/>
            <w:tcBorders>
              <w:right w:val="single" w:color="auto" w:sz="8" w:space="0"/>
            </w:tcBorders>
            <w:noWrap w:val="0"/>
            <w:vAlign w:val="bottom"/>
          </w:tcPr>
          <w:p w14:paraId="5F7B6FEC">
            <w:pPr>
              <w:pageBreakBefore w:val="0"/>
              <w:kinsoku/>
              <w:wordWrap/>
              <w:overflowPunct/>
              <w:topLinePunct w:val="0"/>
              <w:bidi w:val="0"/>
              <w:spacing w:line="540" w:lineRule="exact"/>
              <w:jc w:val="center"/>
              <w:rPr>
                <w:rFonts w:hint="eastAsia" w:ascii="宋体" w:hAnsi="宋体" w:eastAsia="宋体" w:cs="宋体"/>
                <w:color w:val="auto"/>
                <w:w w:val="93"/>
                <w:sz w:val="24"/>
                <w:szCs w:val="24"/>
                <w:highlight w:val="none"/>
                <w:shd w:val="clear" w:color="auto" w:fill="auto"/>
              </w:rPr>
            </w:pPr>
            <w:r>
              <w:rPr>
                <w:rFonts w:hint="eastAsia" w:ascii="宋体" w:hAnsi="宋体" w:eastAsia="宋体" w:cs="宋体"/>
                <w:color w:val="auto"/>
                <w:w w:val="93"/>
                <w:sz w:val="24"/>
                <w:szCs w:val="24"/>
                <w:highlight w:val="none"/>
                <w:shd w:val="clear" w:color="auto" w:fill="auto"/>
              </w:rPr>
              <w:t>预算价、招</w:t>
            </w:r>
          </w:p>
        </w:tc>
        <w:tc>
          <w:tcPr>
            <w:tcW w:w="920" w:type="dxa"/>
            <w:vMerge w:val="restart"/>
            <w:tcBorders>
              <w:right w:val="single" w:color="auto" w:sz="8" w:space="0"/>
            </w:tcBorders>
            <w:noWrap w:val="0"/>
            <w:vAlign w:val="bottom"/>
          </w:tcPr>
          <w:p w14:paraId="2D6391AD">
            <w:pPr>
              <w:pageBreakBefore w:val="0"/>
              <w:kinsoku/>
              <w:wordWrap/>
              <w:overflowPunct/>
              <w:topLinePunct w:val="0"/>
              <w:bidi w:val="0"/>
              <w:spacing w:line="540" w:lineRule="exact"/>
              <w:jc w:val="center"/>
              <w:rPr>
                <w:rFonts w:hint="eastAsia" w:ascii="宋体" w:hAnsi="宋体" w:eastAsia="宋体" w:cs="宋体"/>
                <w:color w:val="auto"/>
                <w:w w:val="98"/>
                <w:sz w:val="24"/>
                <w:szCs w:val="24"/>
                <w:highlight w:val="none"/>
                <w:shd w:val="clear" w:color="auto" w:fill="auto"/>
              </w:rPr>
            </w:pPr>
            <w:r>
              <w:rPr>
                <w:rFonts w:hint="eastAsia" w:ascii="宋体" w:hAnsi="宋体" w:eastAsia="宋体" w:cs="宋体"/>
                <w:color w:val="auto"/>
                <w:w w:val="98"/>
                <w:sz w:val="24"/>
                <w:szCs w:val="24"/>
                <w:highlight w:val="none"/>
                <w:shd w:val="clear" w:color="auto" w:fill="auto"/>
              </w:rPr>
              <w:t>招标控</w:t>
            </w:r>
          </w:p>
        </w:tc>
        <w:tc>
          <w:tcPr>
            <w:tcW w:w="1120" w:type="dxa"/>
            <w:gridSpan w:val="2"/>
            <w:vMerge w:val="restart"/>
            <w:tcBorders>
              <w:right w:val="single" w:color="auto" w:sz="8" w:space="0"/>
            </w:tcBorders>
            <w:noWrap w:val="0"/>
            <w:vAlign w:val="bottom"/>
          </w:tcPr>
          <w:p w14:paraId="2C59C7A8">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招标控制</w:t>
            </w:r>
          </w:p>
        </w:tc>
        <w:tc>
          <w:tcPr>
            <w:tcW w:w="2920" w:type="dxa"/>
            <w:tcBorders>
              <w:right w:val="single" w:color="auto" w:sz="8" w:space="0"/>
            </w:tcBorders>
            <w:noWrap w:val="0"/>
            <w:vAlign w:val="bottom"/>
          </w:tcPr>
          <w:p w14:paraId="7625A9E5">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4D0B4FE4">
        <w:tblPrEx>
          <w:tblCellMar>
            <w:top w:w="0" w:type="dxa"/>
            <w:left w:w="0" w:type="dxa"/>
            <w:bottom w:w="0" w:type="dxa"/>
            <w:right w:w="0" w:type="dxa"/>
          </w:tblCellMar>
        </w:tblPrEx>
        <w:trPr>
          <w:trHeight w:val="175" w:hRule="atLeast"/>
        </w:trPr>
        <w:tc>
          <w:tcPr>
            <w:tcW w:w="1480" w:type="dxa"/>
            <w:tcBorders>
              <w:left w:val="single" w:color="auto" w:sz="8" w:space="0"/>
              <w:right w:val="single" w:color="auto" w:sz="8" w:space="0"/>
            </w:tcBorders>
            <w:noWrap w:val="0"/>
            <w:vAlign w:val="bottom"/>
          </w:tcPr>
          <w:p w14:paraId="12494D9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continue"/>
            <w:tcBorders>
              <w:right w:val="single" w:color="auto" w:sz="8" w:space="0"/>
            </w:tcBorders>
            <w:noWrap w:val="0"/>
            <w:vAlign w:val="bottom"/>
          </w:tcPr>
          <w:p w14:paraId="6856741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restart"/>
            <w:tcBorders>
              <w:right w:val="single" w:color="auto" w:sz="8" w:space="0"/>
            </w:tcBorders>
            <w:noWrap w:val="0"/>
            <w:vAlign w:val="bottom"/>
          </w:tcPr>
          <w:p w14:paraId="47F38021">
            <w:pPr>
              <w:pageBreakBefore w:val="0"/>
              <w:kinsoku/>
              <w:wordWrap/>
              <w:overflowPunct/>
              <w:topLinePunct w:val="0"/>
              <w:bidi w:val="0"/>
              <w:spacing w:line="540" w:lineRule="exact"/>
              <w:jc w:val="center"/>
              <w:rPr>
                <w:rFonts w:hint="eastAsia" w:ascii="宋体" w:hAnsi="宋体" w:eastAsia="宋体" w:cs="宋体"/>
                <w:color w:val="auto"/>
                <w:w w:val="98"/>
                <w:sz w:val="24"/>
                <w:szCs w:val="24"/>
                <w:highlight w:val="none"/>
                <w:shd w:val="clear" w:color="auto" w:fill="auto"/>
              </w:rPr>
            </w:pPr>
            <w:r>
              <w:rPr>
                <w:rFonts w:hint="eastAsia" w:ascii="宋体" w:hAnsi="宋体" w:eastAsia="宋体" w:cs="宋体"/>
                <w:color w:val="auto"/>
                <w:w w:val="98"/>
                <w:sz w:val="24"/>
                <w:szCs w:val="24"/>
                <w:highlight w:val="none"/>
                <w:shd w:val="clear" w:color="auto" w:fill="auto"/>
              </w:rPr>
              <w:t>︱+︱核</w:t>
            </w:r>
          </w:p>
        </w:tc>
        <w:tc>
          <w:tcPr>
            <w:tcW w:w="1200" w:type="dxa"/>
            <w:vMerge w:val="continue"/>
            <w:tcBorders>
              <w:right w:val="single" w:color="auto" w:sz="8" w:space="0"/>
            </w:tcBorders>
            <w:noWrap w:val="0"/>
            <w:vAlign w:val="bottom"/>
          </w:tcPr>
          <w:p w14:paraId="6001A0E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continue"/>
            <w:tcBorders>
              <w:right w:val="single" w:color="auto" w:sz="8" w:space="0"/>
            </w:tcBorders>
            <w:noWrap w:val="0"/>
            <w:vAlign w:val="bottom"/>
          </w:tcPr>
          <w:p w14:paraId="2F9E370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vMerge w:val="continue"/>
            <w:tcBorders>
              <w:right w:val="single" w:color="auto" w:sz="8" w:space="0"/>
            </w:tcBorders>
            <w:noWrap w:val="0"/>
            <w:vAlign w:val="bottom"/>
          </w:tcPr>
          <w:p w14:paraId="65CF67B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vMerge w:val="restart"/>
            <w:tcBorders>
              <w:right w:val="single" w:color="auto" w:sz="8" w:space="0"/>
            </w:tcBorders>
            <w:noWrap w:val="0"/>
            <w:vAlign w:val="bottom"/>
          </w:tcPr>
          <w:p w14:paraId="3DB743A9">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4B428E68">
        <w:tblPrEx>
          <w:tblCellMar>
            <w:top w:w="0" w:type="dxa"/>
            <w:left w:w="0" w:type="dxa"/>
            <w:bottom w:w="0" w:type="dxa"/>
            <w:right w:w="0" w:type="dxa"/>
          </w:tblCellMar>
        </w:tblPrEx>
        <w:trPr>
          <w:trHeight w:val="137" w:hRule="atLeast"/>
        </w:trPr>
        <w:tc>
          <w:tcPr>
            <w:tcW w:w="1480" w:type="dxa"/>
            <w:tcBorders>
              <w:left w:val="single" w:color="auto" w:sz="8" w:space="0"/>
              <w:right w:val="single" w:color="auto" w:sz="8" w:space="0"/>
            </w:tcBorders>
            <w:noWrap w:val="0"/>
            <w:vAlign w:val="bottom"/>
          </w:tcPr>
          <w:p w14:paraId="07D4DF1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restart"/>
            <w:tcBorders>
              <w:right w:val="single" w:color="auto" w:sz="8" w:space="0"/>
            </w:tcBorders>
            <w:noWrap w:val="0"/>
            <w:vAlign w:val="bottom"/>
          </w:tcPr>
          <w:p w14:paraId="0FCF8A2E">
            <w:pPr>
              <w:pageBreakBefore w:val="0"/>
              <w:kinsoku/>
              <w:wordWrap/>
              <w:overflowPunct/>
              <w:topLinePunct w:val="0"/>
              <w:bidi w:val="0"/>
              <w:spacing w:line="540" w:lineRule="exact"/>
              <w:jc w:val="center"/>
              <w:rPr>
                <w:rFonts w:hint="eastAsia" w:ascii="宋体" w:hAnsi="宋体" w:eastAsia="宋体" w:cs="宋体"/>
                <w:color w:val="auto"/>
                <w:w w:val="95"/>
                <w:sz w:val="24"/>
                <w:szCs w:val="24"/>
                <w:highlight w:val="none"/>
                <w:shd w:val="clear" w:color="auto" w:fill="auto"/>
              </w:rPr>
            </w:pPr>
            <w:r>
              <w:rPr>
                <w:rFonts w:hint="eastAsia" w:ascii="宋体" w:hAnsi="宋体" w:eastAsia="宋体" w:cs="宋体"/>
                <w:color w:val="auto"/>
                <w:w w:val="95"/>
                <w:sz w:val="24"/>
                <w:szCs w:val="24"/>
                <w:highlight w:val="none"/>
                <w:shd w:val="clear" w:color="auto" w:fill="auto"/>
              </w:rPr>
              <w:t>价</w:t>
            </w:r>
          </w:p>
        </w:tc>
        <w:tc>
          <w:tcPr>
            <w:tcW w:w="1060" w:type="dxa"/>
            <w:vMerge w:val="continue"/>
            <w:tcBorders>
              <w:right w:val="single" w:color="auto" w:sz="8" w:space="0"/>
            </w:tcBorders>
            <w:noWrap w:val="0"/>
            <w:vAlign w:val="bottom"/>
          </w:tcPr>
          <w:p w14:paraId="74B17C2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restart"/>
            <w:tcBorders>
              <w:right w:val="single" w:color="auto" w:sz="8" w:space="0"/>
            </w:tcBorders>
            <w:noWrap w:val="0"/>
            <w:vAlign w:val="bottom"/>
          </w:tcPr>
          <w:p w14:paraId="567A7748">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标控制价</w:t>
            </w:r>
          </w:p>
        </w:tc>
        <w:tc>
          <w:tcPr>
            <w:tcW w:w="920" w:type="dxa"/>
            <w:vMerge w:val="restart"/>
            <w:tcBorders>
              <w:right w:val="single" w:color="auto" w:sz="8" w:space="0"/>
            </w:tcBorders>
            <w:noWrap w:val="0"/>
            <w:vAlign w:val="bottom"/>
          </w:tcPr>
          <w:p w14:paraId="679F65EB">
            <w:pPr>
              <w:pageBreakBefore w:val="0"/>
              <w:kinsoku/>
              <w:wordWrap/>
              <w:overflowPunct/>
              <w:topLinePunct w:val="0"/>
              <w:bidi w:val="0"/>
              <w:spacing w:line="540" w:lineRule="exact"/>
              <w:jc w:val="center"/>
              <w:rPr>
                <w:rFonts w:hint="eastAsia" w:ascii="宋体" w:hAnsi="宋体" w:eastAsia="宋体" w:cs="宋体"/>
                <w:color w:val="auto"/>
                <w:w w:val="99"/>
                <w:sz w:val="24"/>
                <w:szCs w:val="24"/>
                <w:highlight w:val="none"/>
                <w:shd w:val="clear" w:color="auto" w:fill="auto"/>
              </w:rPr>
            </w:pPr>
            <w:r>
              <w:rPr>
                <w:rFonts w:hint="eastAsia" w:ascii="宋体" w:hAnsi="宋体" w:eastAsia="宋体" w:cs="宋体"/>
                <w:color w:val="auto"/>
                <w:w w:val="99"/>
                <w:sz w:val="24"/>
                <w:szCs w:val="24"/>
                <w:highlight w:val="none"/>
                <w:shd w:val="clear" w:color="auto" w:fill="auto"/>
              </w:rPr>
              <w:t>制价</w:t>
            </w:r>
          </w:p>
        </w:tc>
        <w:tc>
          <w:tcPr>
            <w:tcW w:w="1120" w:type="dxa"/>
            <w:gridSpan w:val="2"/>
            <w:vMerge w:val="restart"/>
            <w:tcBorders>
              <w:right w:val="single" w:color="auto" w:sz="8" w:space="0"/>
            </w:tcBorders>
            <w:noWrap w:val="0"/>
            <w:vAlign w:val="bottom"/>
          </w:tcPr>
          <w:p w14:paraId="0E945D0E">
            <w:pPr>
              <w:pageBreakBefore w:val="0"/>
              <w:kinsoku/>
              <w:wordWrap/>
              <w:overflowPunct/>
              <w:topLinePunct w:val="0"/>
              <w:bidi w:val="0"/>
              <w:spacing w:line="540" w:lineRule="exact"/>
              <w:jc w:val="center"/>
              <w:rPr>
                <w:rFonts w:hint="eastAsia" w:ascii="宋体" w:hAnsi="宋体" w:eastAsia="宋体" w:cs="宋体"/>
                <w:color w:val="auto"/>
                <w:w w:val="95"/>
                <w:sz w:val="24"/>
                <w:szCs w:val="24"/>
                <w:highlight w:val="none"/>
                <w:shd w:val="clear" w:color="auto" w:fill="auto"/>
              </w:rPr>
            </w:pPr>
            <w:r>
              <w:rPr>
                <w:rFonts w:hint="eastAsia" w:ascii="宋体" w:hAnsi="宋体" w:eastAsia="宋体" w:cs="宋体"/>
                <w:color w:val="auto"/>
                <w:w w:val="95"/>
                <w:sz w:val="24"/>
                <w:szCs w:val="24"/>
                <w:highlight w:val="none"/>
                <w:shd w:val="clear" w:color="auto" w:fill="auto"/>
              </w:rPr>
              <w:t>价</w:t>
            </w:r>
          </w:p>
        </w:tc>
        <w:tc>
          <w:tcPr>
            <w:tcW w:w="2920" w:type="dxa"/>
            <w:vMerge w:val="continue"/>
            <w:tcBorders>
              <w:right w:val="single" w:color="auto" w:sz="8" w:space="0"/>
            </w:tcBorders>
            <w:noWrap w:val="0"/>
            <w:vAlign w:val="bottom"/>
          </w:tcPr>
          <w:p w14:paraId="69279A7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29D3C804">
        <w:tblPrEx>
          <w:tblCellMar>
            <w:top w:w="0" w:type="dxa"/>
            <w:left w:w="0" w:type="dxa"/>
            <w:bottom w:w="0" w:type="dxa"/>
            <w:right w:w="0" w:type="dxa"/>
          </w:tblCellMar>
        </w:tblPrEx>
        <w:trPr>
          <w:trHeight w:val="239" w:hRule="atLeast"/>
        </w:trPr>
        <w:tc>
          <w:tcPr>
            <w:tcW w:w="1480" w:type="dxa"/>
            <w:vMerge w:val="restart"/>
            <w:tcBorders>
              <w:left w:val="single" w:color="auto" w:sz="8" w:space="0"/>
              <w:right w:val="single" w:color="auto" w:sz="8" w:space="0"/>
            </w:tcBorders>
            <w:noWrap w:val="0"/>
            <w:vAlign w:val="bottom"/>
          </w:tcPr>
          <w:p w14:paraId="606A9376">
            <w:pPr>
              <w:pageBreakBefore w:val="0"/>
              <w:kinsoku/>
              <w:wordWrap/>
              <w:overflowPunct/>
              <w:topLinePunct w:val="0"/>
              <w:bidi w:val="0"/>
              <w:spacing w:line="540" w:lineRule="exact"/>
              <w:ind w:left="1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金额</w:t>
            </w:r>
          </w:p>
        </w:tc>
        <w:tc>
          <w:tcPr>
            <w:tcW w:w="1060" w:type="dxa"/>
            <w:vMerge w:val="continue"/>
            <w:tcBorders>
              <w:right w:val="single" w:color="auto" w:sz="8" w:space="0"/>
            </w:tcBorders>
            <w:noWrap w:val="0"/>
            <w:vAlign w:val="bottom"/>
          </w:tcPr>
          <w:p w14:paraId="1A48CB2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restart"/>
            <w:tcBorders>
              <w:right w:val="single" w:color="auto" w:sz="8" w:space="0"/>
            </w:tcBorders>
            <w:noWrap w:val="0"/>
            <w:vAlign w:val="bottom"/>
          </w:tcPr>
          <w:p w14:paraId="56315099">
            <w:pPr>
              <w:pageBreakBefore w:val="0"/>
              <w:kinsoku/>
              <w:wordWrap/>
              <w:overflowPunct/>
              <w:topLinePunct w:val="0"/>
              <w:bidi w:val="0"/>
              <w:spacing w:line="540" w:lineRule="exact"/>
              <w:jc w:val="center"/>
              <w:rPr>
                <w:rFonts w:hint="eastAsia" w:ascii="宋体" w:hAnsi="宋体" w:eastAsia="宋体" w:cs="宋体"/>
                <w:color w:val="auto"/>
                <w:w w:val="98"/>
                <w:sz w:val="24"/>
                <w:szCs w:val="24"/>
                <w:highlight w:val="none"/>
                <w:shd w:val="clear" w:color="auto" w:fill="auto"/>
              </w:rPr>
            </w:pPr>
            <w:r>
              <w:rPr>
                <w:rFonts w:hint="eastAsia" w:ascii="宋体" w:hAnsi="宋体" w:eastAsia="宋体" w:cs="宋体"/>
                <w:color w:val="auto"/>
                <w:w w:val="98"/>
                <w:sz w:val="24"/>
                <w:szCs w:val="24"/>
                <w:highlight w:val="none"/>
                <w:shd w:val="clear" w:color="auto" w:fill="auto"/>
              </w:rPr>
              <w:t>增额︱</w:t>
            </w:r>
          </w:p>
        </w:tc>
        <w:tc>
          <w:tcPr>
            <w:tcW w:w="1200" w:type="dxa"/>
            <w:vMerge w:val="continue"/>
            <w:tcBorders>
              <w:right w:val="single" w:color="auto" w:sz="8" w:space="0"/>
            </w:tcBorders>
            <w:noWrap w:val="0"/>
            <w:vAlign w:val="bottom"/>
          </w:tcPr>
          <w:p w14:paraId="5AA6B3A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continue"/>
            <w:tcBorders>
              <w:right w:val="single" w:color="auto" w:sz="8" w:space="0"/>
            </w:tcBorders>
            <w:noWrap w:val="0"/>
            <w:vAlign w:val="bottom"/>
          </w:tcPr>
          <w:p w14:paraId="0DE13E5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vMerge w:val="continue"/>
            <w:tcBorders>
              <w:right w:val="single" w:color="auto" w:sz="8" w:space="0"/>
            </w:tcBorders>
            <w:noWrap w:val="0"/>
            <w:vAlign w:val="bottom"/>
          </w:tcPr>
          <w:p w14:paraId="0A103AA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vMerge w:val="restart"/>
            <w:tcBorders>
              <w:right w:val="single" w:color="auto" w:sz="8" w:space="0"/>
            </w:tcBorders>
            <w:noWrap w:val="0"/>
            <w:vAlign w:val="bottom"/>
          </w:tcPr>
          <w:p w14:paraId="466A0B94">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1B7B2E56">
        <w:tblPrEx>
          <w:tblCellMar>
            <w:top w:w="0" w:type="dxa"/>
            <w:left w:w="0" w:type="dxa"/>
            <w:bottom w:w="0" w:type="dxa"/>
            <w:right w:w="0" w:type="dxa"/>
          </w:tblCellMar>
        </w:tblPrEx>
        <w:trPr>
          <w:trHeight w:val="156" w:hRule="atLeast"/>
        </w:trPr>
        <w:tc>
          <w:tcPr>
            <w:tcW w:w="1480" w:type="dxa"/>
            <w:vMerge w:val="continue"/>
            <w:tcBorders>
              <w:left w:val="single" w:color="auto" w:sz="8" w:space="0"/>
              <w:right w:val="single" w:color="auto" w:sz="8" w:space="0"/>
            </w:tcBorders>
            <w:noWrap w:val="0"/>
            <w:vAlign w:val="bottom"/>
          </w:tcPr>
          <w:p w14:paraId="7A8E12C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1441D66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continue"/>
            <w:tcBorders>
              <w:right w:val="single" w:color="auto" w:sz="8" w:space="0"/>
            </w:tcBorders>
            <w:noWrap w:val="0"/>
            <w:vAlign w:val="bottom"/>
          </w:tcPr>
          <w:p w14:paraId="3A9C2CA4">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13F0116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right w:val="single" w:color="auto" w:sz="8" w:space="0"/>
            </w:tcBorders>
            <w:noWrap w:val="0"/>
            <w:vAlign w:val="bottom"/>
          </w:tcPr>
          <w:p w14:paraId="4AC108F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right w:val="single" w:color="auto" w:sz="8" w:space="0"/>
            </w:tcBorders>
            <w:noWrap w:val="0"/>
            <w:vAlign w:val="bottom"/>
          </w:tcPr>
          <w:p w14:paraId="4E69E89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vMerge w:val="continue"/>
            <w:tcBorders>
              <w:right w:val="single" w:color="auto" w:sz="8" w:space="0"/>
            </w:tcBorders>
            <w:noWrap w:val="0"/>
            <w:vAlign w:val="bottom"/>
          </w:tcPr>
          <w:p w14:paraId="7C70BED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725D408B">
        <w:tblPrEx>
          <w:tblCellMar>
            <w:top w:w="0" w:type="dxa"/>
            <w:left w:w="0" w:type="dxa"/>
            <w:bottom w:w="0" w:type="dxa"/>
            <w:right w:w="0" w:type="dxa"/>
          </w:tblCellMar>
        </w:tblPrEx>
        <w:trPr>
          <w:trHeight w:val="72" w:hRule="atLeast"/>
        </w:trPr>
        <w:tc>
          <w:tcPr>
            <w:tcW w:w="1480" w:type="dxa"/>
            <w:tcBorders>
              <w:left w:val="single" w:color="auto" w:sz="8" w:space="0"/>
              <w:bottom w:val="single" w:color="auto" w:sz="8" w:space="0"/>
              <w:right w:val="single" w:color="auto" w:sz="8" w:space="0"/>
            </w:tcBorders>
            <w:noWrap w:val="0"/>
            <w:vAlign w:val="bottom"/>
          </w:tcPr>
          <w:p w14:paraId="1828EA6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5E4D2D9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7520BE6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right w:val="single" w:color="auto" w:sz="8" w:space="0"/>
            </w:tcBorders>
            <w:noWrap w:val="0"/>
            <w:vAlign w:val="bottom"/>
          </w:tcPr>
          <w:p w14:paraId="36A2E3B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right w:val="single" w:color="auto" w:sz="8" w:space="0"/>
            </w:tcBorders>
            <w:noWrap w:val="0"/>
            <w:vAlign w:val="bottom"/>
          </w:tcPr>
          <w:p w14:paraId="0439429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bottom w:val="single" w:color="auto" w:sz="8" w:space="0"/>
              <w:right w:val="single" w:color="auto" w:sz="8" w:space="0"/>
            </w:tcBorders>
            <w:noWrap w:val="0"/>
            <w:vAlign w:val="bottom"/>
          </w:tcPr>
          <w:p w14:paraId="4BE64AB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bottom w:val="single" w:color="auto" w:sz="8" w:space="0"/>
              <w:right w:val="single" w:color="auto" w:sz="8" w:space="0"/>
            </w:tcBorders>
            <w:noWrap w:val="0"/>
            <w:vAlign w:val="bottom"/>
          </w:tcPr>
          <w:p w14:paraId="49492BB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01C7B884">
        <w:tblPrEx>
          <w:tblCellMar>
            <w:top w:w="0" w:type="dxa"/>
            <w:left w:w="0" w:type="dxa"/>
            <w:bottom w:w="0" w:type="dxa"/>
            <w:right w:w="0" w:type="dxa"/>
          </w:tblCellMar>
        </w:tblPrEx>
        <w:trPr>
          <w:trHeight w:val="312" w:hRule="atLeast"/>
        </w:trPr>
        <w:tc>
          <w:tcPr>
            <w:tcW w:w="1480" w:type="dxa"/>
            <w:vMerge w:val="restart"/>
            <w:tcBorders>
              <w:left w:val="single" w:color="auto" w:sz="8" w:space="0"/>
              <w:right w:val="single" w:color="auto" w:sz="8" w:space="0"/>
            </w:tcBorders>
            <w:noWrap w:val="0"/>
            <w:vAlign w:val="bottom"/>
          </w:tcPr>
          <w:p w14:paraId="78E26F56">
            <w:pPr>
              <w:pageBreakBefore w:val="0"/>
              <w:kinsoku/>
              <w:wordWrap/>
              <w:overflowPunct/>
              <w:topLinePunct w:val="0"/>
              <w:bidi w:val="0"/>
              <w:spacing w:line="540" w:lineRule="exact"/>
              <w:jc w:val="center"/>
              <w:rPr>
                <w:rFonts w:hint="eastAsia" w:ascii="宋体" w:hAnsi="宋体" w:eastAsia="宋体" w:cs="宋体"/>
                <w:color w:val="auto"/>
                <w:w w:val="95"/>
                <w:sz w:val="24"/>
                <w:szCs w:val="24"/>
                <w:highlight w:val="none"/>
                <w:shd w:val="clear" w:color="auto" w:fill="auto"/>
              </w:rPr>
            </w:pPr>
            <w:r>
              <w:rPr>
                <w:rFonts w:hint="eastAsia" w:ascii="宋体" w:hAnsi="宋体" w:eastAsia="宋体" w:cs="宋体"/>
                <w:color w:val="auto"/>
                <w:w w:val="95"/>
                <w:sz w:val="24"/>
                <w:szCs w:val="24"/>
                <w:highlight w:val="none"/>
                <w:shd w:val="clear" w:color="auto" w:fill="auto"/>
              </w:rPr>
              <w:t>100 万元以下</w:t>
            </w:r>
          </w:p>
        </w:tc>
        <w:tc>
          <w:tcPr>
            <w:tcW w:w="1060" w:type="dxa"/>
            <w:vMerge w:val="restart"/>
            <w:tcBorders>
              <w:right w:val="single" w:color="auto" w:sz="8" w:space="0"/>
            </w:tcBorders>
            <w:noWrap w:val="0"/>
            <w:vAlign w:val="bottom"/>
          </w:tcPr>
          <w:p w14:paraId="4EC15D30">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w:t>
            </w:r>
          </w:p>
        </w:tc>
        <w:tc>
          <w:tcPr>
            <w:tcW w:w="1060" w:type="dxa"/>
            <w:tcBorders>
              <w:right w:val="single" w:color="auto" w:sz="8" w:space="0"/>
            </w:tcBorders>
            <w:noWrap w:val="0"/>
            <w:vAlign w:val="bottom"/>
          </w:tcPr>
          <w:p w14:paraId="4E5C9C7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restart"/>
            <w:tcBorders>
              <w:right w:val="single" w:color="auto" w:sz="8" w:space="0"/>
            </w:tcBorders>
            <w:noWrap w:val="0"/>
            <w:vAlign w:val="bottom"/>
          </w:tcPr>
          <w:p w14:paraId="79788A33">
            <w:pPr>
              <w:pageBreakBefore w:val="0"/>
              <w:kinsoku/>
              <w:wordWrap/>
              <w:overflowPunct/>
              <w:topLinePunct w:val="0"/>
              <w:bidi w:val="0"/>
              <w:spacing w:line="540" w:lineRule="exact"/>
              <w:jc w:val="center"/>
              <w:rPr>
                <w:rFonts w:hint="eastAsia" w:ascii="宋体" w:hAnsi="宋体" w:eastAsia="宋体" w:cs="宋体"/>
                <w:color w:val="auto"/>
                <w:w w:val="94"/>
                <w:sz w:val="24"/>
                <w:szCs w:val="24"/>
                <w:highlight w:val="none"/>
                <w:shd w:val="clear" w:color="auto" w:fill="auto"/>
              </w:rPr>
            </w:pPr>
            <w:r>
              <w:rPr>
                <w:rFonts w:hint="eastAsia" w:ascii="宋体" w:hAnsi="宋体" w:eastAsia="宋体" w:cs="宋体"/>
                <w:color w:val="auto"/>
                <w:w w:val="94"/>
                <w:sz w:val="24"/>
                <w:szCs w:val="24"/>
                <w:highlight w:val="none"/>
                <w:shd w:val="clear" w:color="auto" w:fill="auto"/>
              </w:rPr>
              <w:t>3</w:t>
            </w:r>
          </w:p>
        </w:tc>
        <w:tc>
          <w:tcPr>
            <w:tcW w:w="920" w:type="dxa"/>
            <w:vMerge w:val="restart"/>
            <w:tcBorders>
              <w:right w:val="single" w:color="auto" w:sz="8" w:space="0"/>
            </w:tcBorders>
            <w:noWrap w:val="0"/>
            <w:vAlign w:val="bottom"/>
          </w:tcPr>
          <w:p w14:paraId="3CB59F4B">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w:t>
            </w:r>
          </w:p>
        </w:tc>
        <w:tc>
          <w:tcPr>
            <w:tcW w:w="1120" w:type="dxa"/>
            <w:gridSpan w:val="2"/>
            <w:vMerge w:val="restart"/>
            <w:tcBorders>
              <w:right w:val="single" w:color="auto" w:sz="8" w:space="0"/>
            </w:tcBorders>
            <w:noWrap w:val="0"/>
            <w:vAlign w:val="bottom"/>
          </w:tcPr>
          <w:p w14:paraId="18C00DF6">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w:t>
            </w:r>
          </w:p>
        </w:tc>
        <w:tc>
          <w:tcPr>
            <w:tcW w:w="2920" w:type="dxa"/>
            <w:tcBorders>
              <w:right w:val="single" w:color="auto" w:sz="8" w:space="0"/>
            </w:tcBorders>
            <w:noWrap w:val="0"/>
            <w:vAlign w:val="bottom"/>
          </w:tcPr>
          <w:p w14:paraId="615679BC">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7BBE8EE1">
        <w:tblPrEx>
          <w:tblCellMar>
            <w:top w:w="0" w:type="dxa"/>
            <w:left w:w="0" w:type="dxa"/>
            <w:bottom w:w="0" w:type="dxa"/>
            <w:right w:w="0" w:type="dxa"/>
          </w:tblCellMar>
        </w:tblPrEx>
        <w:trPr>
          <w:trHeight w:val="156" w:hRule="atLeast"/>
        </w:trPr>
        <w:tc>
          <w:tcPr>
            <w:tcW w:w="1480" w:type="dxa"/>
            <w:vMerge w:val="continue"/>
            <w:tcBorders>
              <w:left w:val="single" w:color="auto" w:sz="8" w:space="0"/>
              <w:right w:val="single" w:color="auto" w:sz="8" w:space="0"/>
            </w:tcBorders>
            <w:noWrap w:val="0"/>
            <w:vAlign w:val="bottom"/>
          </w:tcPr>
          <w:p w14:paraId="17E93ED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continue"/>
            <w:tcBorders>
              <w:right w:val="single" w:color="auto" w:sz="8" w:space="0"/>
            </w:tcBorders>
            <w:noWrap w:val="0"/>
            <w:vAlign w:val="bottom"/>
          </w:tcPr>
          <w:p w14:paraId="0045150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418C11A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continue"/>
            <w:tcBorders>
              <w:right w:val="single" w:color="auto" w:sz="8" w:space="0"/>
            </w:tcBorders>
            <w:noWrap w:val="0"/>
            <w:vAlign w:val="bottom"/>
          </w:tcPr>
          <w:p w14:paraId="72F2CDD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continue"/>
            <w:tcBorders>
              <w:right w:val="single" w:color="auto" w:sz="8" w:space="0"/>
            </w:tcBorders>
            <w:noWrap w:val="0"/>
            <w:vAlign w:val="bottom"/>
          </w:tcPr>
          <w:p w14:paraId="4AD9295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vMerge w:val="continue"/>
            <w:tcBorders>
              <w:right w:val="single" w:color="auto" w:sz="8" w:space="0"/>
            </w:tcBorders>
            <w:noWrap w:val="0"/>
            <w:vAlign w:val="bottom"/>
          </w:tcPr>
          <w:p w14:paraId="6F5D255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right w:val="single" w:color="auto" w:sz="8" w:space="0"/>
            </w:tcBorders>
            <w:noWrap w:val="0"/>
            <w:vAlign w:val="bottom"/>
          </w:tcPr>
          <w:p w14:paraId="26B7F4E4">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30EB0549">
        <w:tblPrEx>
          <w:tblCellMar>
            <w:top w:w="0" w:type="dxa"/>
            <w:left w:w="0" w:type="dxa"/>
            <w:bottom w:w="0" w:type="dxa"/>
            <w:right w:w="0" w:type="dxa"/>
          </w:tblCellMar>
        </w:tblPrEx>
        <w:trPr>
          <w:trHeight w:val="90" w:hRule="atLeast"/>
        </w:trPr>
        <w:tc>
          <w:tcPr>
            <w:tcW w:w="1480" w:type="dxa"/>
            <w:tcBorders>
              <w:left w:val="single" w:color="auto" w:sz="8" w:space="0"/>
              <w:bottom w:val="single" w:color="auto" w:sz="8" w:space="0"/>
              <w:right w:val="single" w:color="auto" w:sz="8" w:space="0"/>
            </w:tcBorders>
            <w:noWrap w:val="0"/>
            <w:vAlign w:val="bottom"/>
          </w:tcPr>
          <w:p w14:paraId="0161D03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3E53C58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790F51A1">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right w:val="single" w:color="auto" w:sz="8" w:space="0"/>
            </w:tcBorders>
            <w:noWrap w:val="0"/>
            <w:vAlign w:val="bottom"/>
          </w:tcPr>
          <w:p w14:paraId="142126D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right w:val="single" w:color="auto" w:sz="8" w:space="0"/>
            </w:tcBorders>
            <w:noWrap w:val="0"/>
            <w:vAlign w:val="bottom"/>
          </w:tcPr>
          <w:p w14:paraId="749D160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bottom w:val="single" w:color="auto" w:sz="8" w:space="0"/>
              <w:right w:val="single" w:color="auto" w:sz="8" w:space="0"/>
            </w:tcBorders>
            <w:noWrap w:val="0"/>
            <w:vAlign w:val="bottom"/>
          </w:tcPr>
          <w:p w14:paraId="1D90BEE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bottom w:val="single" w:color="auto" w:sz="8" w:space="0"/>
              <w:right w:val="single" w:color="auto" w:sz="8" w:space="0"/>
            </w:tcBorders>
            <w:noWrap w:val="0"/>
            <w:vAlign w:val="bottom"/>
          </w:tcPr>
          <w:p w14:paraId="1DC9BB04">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17BEA53B">
        <w:tblPrEx>
          <w:tblCellMar>
            <w:top w:w="0" w:type="dxa"/>
            <w:left w:w="0" w:type="dxa"/>
            <w:bottom w:w="0" w:type="dxa"/>
            <w:right w:w="0" w:type="dxa"/>
          </w:tblCellMar>
        </w:tblPrEx>
        <w:trPr>
          <w:trHeight w:val="260" w:hRule="atLeast"/>
        </w:trPr>
        <w:tc>
          <w:tcPr>
            <w:tcW w:w="1480" w:type="dxa"/>
            <w:tcBorders>
              <w:left w:val="single" w:color="auto" w:sz="8" w:space="0"/>
              <w:right w:val="single" w:color="auto" w:sz="8" w:space="0"/>
            </w:tcBorders>
            <w:noWrap w:val="0"/>
            <w:vAlign w:val="bottom"/>
          </w:tcPr>
          <w:p w14:paraId="77A43F2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3369DEC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1C366BB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27458AD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right w:val="single" w:color="auto" w:sz="8" w:space="0"/>
            </w:tcBorders>
            <w:noWrap w:val="0"/>
            <w:vAlign w:val="bottom"/>
          </w:tcPr>
          <w:p w14:paraId="2F25149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right w:val="single" w:color="auto" w:sz="8" w:space="0"/>
            </w:tcBorders>
            <w:noWrap w:val="0"/>
            <w:vAlign w:val="bottom"/>
          </w:tcPr>
          <w:p w14:paraId="5CA587E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right w:val="single" w:color="auto" w:sz="8" w:space="0"/>
            </w:tcBorders>
            <w:noWrap w:val="0"/>
            <w:vAlign w:val="bottom"/>
          </w:tcPr>
          <w:p w14:paraId="24B67E8D">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5EB0F21E">
        <w:tblPrEx>
          <w:tblCellMar>
            <w:top w:w="0" w:type="dxa"/>
            <w:left w:w="0" w:type="dxa"/>
            <w:bottom w:w="0" w:type="dxa"/>
            <w:right w:w="0" w:type="dxa"/>
          </w:tblCellMar>
        </w:tblPrEx>
        <w:trPr>
          <w:trHeight w:val="312" w:hRule="atLeast"/>
        </w:trPr>
        <w:tc>
          <w:tcPr>
            <w:tcW w:w="1480" w:type="dxa"/>
            <w:vMerge w:val="restart"/>
            <w:tcBorders>
              <w:left w:val="single" w:color="auto" w:sz="8" w:space="0"/>
              <w:right w:val="single" w:color="auto" w:sz="8" w:space="0"/>
            </w:tcBorders>
            <w:noWrap w:val="0"/>
            <w:vAlign w:val="bottom"/>
          </w:tcPr>
          <w:p w14:paraId="5274AB8A">
            <w:pPr>
              <w:pageBreakBefore w:val="0"/>
              <w:kinsoku/>
              <w:wordWrap/>
              <w:overflowPunct/>
              <w:topLinePunct w:val="0"/>
              <w:bidi w:val="0"/>
              <w:spacing w:line="540" w:lineRule="exact"/>
              <w:jc w:val="center"/>
              <w:rPr>
                <w:rFonts w:hint="eastAsia" w:ascii="宋体" w:hAnsi="宋体" w:eastAsia="宋体" w:cs="宋体"/>
                <w:color w:val="auto"/>
                <w:w w:val="95"/>
                <w:sz w:val="24"/>
                <w:szCs w:val="24"/>
                <w:highlight w:val="none"/>
                <w:shd w:val="clear" w:color="auto" w:fill="auto"/>
              </w:rPr>
            </w:pPr>
            <w:r>
              <w:rPr>
                <w:rFonts w:hint="eastAsia" w:ascii="宋体" w:hAnsi="宋体" w:eastAsia="宋体" w:cs="宋体"/>
                <w:color w:val="auto"/>
                <w:w w:val="95"/>
                <w:sz w:val="24"/>
                <w:szCs w:val="24"/>
                <w:highlight w:val="none"/>
                <w:shd w:val="clear" w:color="auto" w:fill="auto"/>
              </w:rPr>
              <w:t>100-500 万元</w:t>
            </w:r>
          </w:p>
        </w:tc>
        <w:tc>
          <w:tcPr>
            <w:tcW w:w="1060" w:type="dxa"/>
            <w:vMerge w:val="restart"/>
            <w:tcBorders>
              <w:right w:val="single" w:color="auto" w:sz="8" w:space="0"/>
            </w:tcBorders>
            <w:noWrap w:val="0"/>
            <w:vAlign w:val="bottom"/>
          </w:tcPr>
          <w:p w14:paraId="7946E79B">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p>
        </w:tc>
        <w:tc>
          <w:tcPr>
            <w:tcW w:w="1060" w:type="dxa"/>
            <w:vMerge w:val="restart"/>
            <w:tcBorders>
              <w:right w:val="single" w:color="auto" w:sz="8" w:space="0"/>
            </w:tcBorders>
            <w:noWrap w:val="0"/>
            <w:vAlign w:val="bottom"/>
          </w:tcPr>
          <w:p w14:paraId="1358BE27">
            <w:pPr>
              <w:pageBreakBefore w:val="0"/>
              <w:kinsoku/>
              <w:wordWrap/>
              <w:overflowPunct/>
              <w:topLinePunct w:val="0"/>
              <w:bidi w:val="0"/>
              <w:spacing w:line="540" w:lineRule="exact"/>
              <w:jc w:val="center"/>
              <w:rPr>
                <w:rFonts w:hint="eastAsia" w:ascii="宋体" w:hAnsi="宋体" w:eastAsia="宋体" w:cs="宋体"/>
                <w:color w:val="auto"/>
                <w:w w:val="95"/>
                <w:sz w:val="24"/>
                <w:szCs w:val="24"/>
                <w:highlight w:val="none"/>
                <w:shd w:val="clear" w:color="auto" w:fill="auto"/>
              </w:rPr>
            </w:pPr>
            <w:r>
              <w:rPr>
                <w:rFonts w:hint="eastAsia" w:ascii="宋体" w:hAnsi="宋体" w:eastAsia="宋体" w:cs="宋体"/>
                <w:color w:val="auto"/>
                <w:w w:val="95"/>
                <w:sz w:val="24"/>
                <w:szCs w:val="24"/>
                <w:highlight w:val="none"/>
                <w:shd w:val="clear" w:color="auto" w:fill="auto"/>
              </w:rPr>
              <w:t>50</w:t>
            </w:r>
          </w:p>
        </w:tc>
        <w:tc>
          <w:tcPr>
            <w:tcW w:w="1200" w:type="dxa"/>
            <w:vMerge w:val="restart"/>
            <w:tcBorders>
              <w:right w:val="single" w:color="auto" w:sz="8" w:space="0"/>
            </w:tcBorders>
            <w:noWrap w:val="0"/>
            <w:vAlign w:val="bottom"/>
          </w:tcPr>
          <w:p w14:paraId="5F92EF01">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p>
        </w:tc>
        <w:tc>
          <w:tcPr>
            <w:tcW w:w="920" w:type="dxa"/>
            <w:vMerge w:val="restart"/>
            <w:tcBorders>
              <w:right w:val="single" w:color="auto" w:sz="8" w:space="0"/>
            </w:tcBorders>
            <w:noWrap w:val="0"/>
            <w:vAlign w:val="bottom"/>
          </w:tcPr>
          <w:p w14:paraId="3B43C929">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w:t>
            </w:r>
          </w:p>
        </w:tc>
        <w:tc>
          <w:tcPr>
            <w:tcW w:w="1120" w:type="dxa"/>
            <w:gridSpan w:val="2"/>
            <w:vMerge w:val="restart"/>
            <w:tcBorders>
              <w:right w:val="single" w:color="auto" w:sz="8" w:space="0"/>
            </w:tcBorders>
            <w:noWrap w:val="0"/>
            <w:vAlign w:val="bottom"/>
          </w:tcPr>
          <w:p w14:paraId="25AECFFE">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p>
        </w:tc>
        <w:tc>
          <w:tcPr>
            <w:tcW w:w="2920" w:type="dxa"/>
            <w:tcBorders>
              <w:right w:val="single" w:color="auto" w:sz="8" w:space="0"/>
            </w:tcBorders>
            <w:noWrap w:val="0"/>
            <w:vAlign w:val="bottom"/>
          </w:tcPr>
          <w:p w14:paraId="07E9AF78">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01E46997">
        <w:tblPrEx>
          <w:tblCellMar>
            <w:top w:w="0" w:type="dxa"/>
            <w:left w:w="0" w:type="dxa"/>
            <w:bottom w:w="0" w:type="dxa"/>
            <w:right w:w="0" w:type="dxa"/>
          </w:tblCellMar>
        </w:tblPrEx>
        <w:trPr>
          <w:trHeight w:val="173" w:hRule="atLeast"/>
        </w:trPr>
        <w:tc>
          <w:tcPr>
            <w:tcW w:w="1480" w:type="dxa"/>
            <w:vMerge w:val="continue"/>
            <w:tcBorders>
              <w:left w:val="single" w:color="auto" w:sz="8" w:space="0"/>
              <w:right w:val="single" w:color="auto" w:sz="8" w:space="0"/>
            </w:tcBorders>
            <w:noWrap w:val="0"/>
            <w:vAlign w:val="bottom"/>
          </w:tcPr>
          <w:p w14:paraId="14DE19F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continue"/>
            <w:tcBorders>
              <w:right w:val="single" w:color="auto" w:sz="8" w:space="0"/>
            </w:tcBorders>
            <w:noWrap w:val="0"/>
            <w:vAlign w:val="bottom"/>
          </w:tcPr>
          <w:p w14:paraId="67F89D0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continue"/>
            <w:tcBorders>
              <w:right w:val="single" w:color="auto" w:sz="8" w:space="0"/>
            </w:tcBorders>
            <w:noWrap w:val="0"/>
            <w:vAlign w:val="bottom"/>
          </w:tcPr>
          <w:p w14:paraId="773CAF8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continue"/>
            <w:tcBorders>
              <w:right w:val="single" w:color="auto" w:sz="8" w:space="0"/>
            </w:tcBorders>
            <w:noWrap w:val="0"/>
            <w:vAlign w:val="bottom"/>
          </w:tcPr>
          <w:p w14:paraId="168273E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continue"/>
            <w:tcBorders>
              <w:right w:val="single" w:color="auto" w:sz="8" w:space="0"/>
            </w:tcBorders>
            <w:noWrap w:val="0"/>
            <w:vAlign w:val="bottom"/>
          </w:tcPr>
          <w:p w14:paraId="3DCEEFF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vMerge w:val="continue"/>
            <w:tcBorders>
              <w:right w:val="single" w:color="auto" w:sz="8" w:space="0"/>
            </w:tcBorders>
            <w:noWrap w:val="0"/>
            <w:vAlign w:val="bottom"/>
          </w:tcPr>
          <w:p w14:paraId="3C09A64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vMerge w:val="restart"/>
            <w:tcBorders>
              <w:right w:val="single" w:color="auto" w:sz="8" w:space="0"/>
            </w:tcBorders>
            <w:noWrap w:val="0"/>
            <w:vAlign w:val="bottom"/>
          </w:tcPr>
          <w:p w14:paraId="7143C86F">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74F5C8CC">
        <w:tblPrEx>
          <w:tblCellMar>
            <w:top w:w="0" w:type="dxa"/>
            <w:left w:w="0" w:type="dxa"/>
            <w:bottom w:w="0" w:type="dxa"/>
            <w:right w:w="0" w:type="dxa"/>
          </w:tblCellMar>
        </w:tblPrEx>
        <w:trPr>
          <w:trHeight w:val="139" w:hRule="atLeast"/>
        </w:trPr>
        <w:tc>
          <w:tcPr>
            <w:tcW w:w="1480" w:type="dxa"/>
            <w:tcBorders>
              <w:left w:val="single" w:color="auto" w:sz="8" w:space="0"/>
              <w:right w:val="single" w:color="auto" w:sz="8" w:space="0"/>
            </w:tcBorders>
            <w:noWrap w:val="0"/>
            <w:vAlign w:val="bottom"/>
          </w:tcPr>
          <w:p w14:paraId="7E6FB824">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4232A60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0559E9A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457ED82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right w:val="single" w:color="auto" w:sz="8" w:space="0"/>
            </w:tcBorders>
            <w:noWrap w:val="0"/>
            <w:vAlign w:val="bottom"/>
          </w:tcPr>
          <w:p w14:paraId="11B50EF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right w:val="single" w:color="auto" w:sz="8" w:space="0"/>
            </w:tcBorders>
            <w:noWrap w:val="0"/>
            <w:vAlign w:val="bottom"/>
          </w:tcPr>
          <w:p w14:paraId="3DE622B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vMerge w:val="continue"/>
            <w:tcBorders>
              <w:right w:val="single" w:color="auto" w:sz="8" w:space="0"/>
            </w:tcBorders>
            <w:noWrap w:val="0"/>
            <w:vAlign w:val="bottom"/>
          </w:tcPr>
          <w:p w14:paraId="705B676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0539BC5D">
        <w:tblPrEx>
          <w:tblCellMar>
            <w:top w:w="0" w:type="dxa"/>
            <w:left w:w="0" w:type="dxa"/>
            <w:bottom w:w="0" w:type="dxa"/>
            <w:right w:w="0" w:type="dxa"/>
          </w:tblCellMar>
        </w:tblPrEx>
        <w:trPr>
          <w:trHeight w:val="94" w:hRule="atLeast"/>
        </w:trPr>
        <w:tc>
          <w:tcPr>
            <w:tcW w:w="1480" w:type="dxa"/>
            <w:tcBorders>
              <w:left w:val="single" w:color="auto" w:sz="8" w:space="0"/>
              <w:bottom w:val="single" w:color="auto" w:sz="8" w:space="0"/>
              <w:right w:val="single" w:color="auto" w:sz="8" w:space="0"/>
            </w:tcBorders>
            <w:noWrap w:val="0"/>
            <w:vAlign w:val="bottom"/>
          </w:tcPr>
          <w:p w14:paraId="41BE577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7DB1CE9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0A5BDC6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right w:val="single" w:color="auto" w:sz="8" w:space="0"/>
            </w:tcBorders>
            <w:noWrap w:val="0"/>
            <w:vAlign w:val="bottom"/>
          </w:tcPr>
          <w:p w14:paraId="514194F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right w:val="single" w:color="auto" w:sz="8" w:space="0"/>
            </w:tcBorders>
            <w:noWrap w:val="0"/>
            <w:vAlign w:val="bottom"/>
          </w:tcPr>
          <w:p w14:paraId="3111D48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bottom w:val="single" w:color="auto" w:sz="8" w:space="0"/>
              <w:right w:val="single" w:color="auto" w:sz="8" w:space="0"/>
            </w:tcBorders>
            <w:noWrap w:val="0"/>
            <w:vAlign w:val="bottom"/>
          </w:tcPr>
          <w:p w14:paraId="10860A6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bottom w:val="single" w:color="auto" w:sz="8" w:space="0"/>
              <w:right w:val="single" w:color="auto" w:sz="8" w:space="0"/>
            </w:tcBorders>
            <w:noWrap w:val="0"/>
            <w:vAlign w:val="bottom"/>
          </w:tcPr>
          <w:p w14:paraId="26AEDF8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57B7700A">
        <w:tblPrEx>
          <w:tblCellMar>
            <w:top w:w="0" w:type="dxa"/>
            <w:left w:w="0" w:type="dxa"/>
            <w:bottom w:w="0" w:type="dxa"/>
            <w:right w:w="0" w:type="dxa"/>
          </w:tblCellMar>
        </w:tblPrEx>
        <w:trPr>
          <w:trHeight w:val="239" w:hRule="atLeast"/>
        </w:trPr>
        <w:tc>
          <w:tcPr>
            <w:tcW w:w="1480" w:type="dxa"/>
            <w:vMerge w:val="restart"/>
            <w:tcBorders>
              <w:left w:val="single" w:color="auto" w:sz="8" w:space="0"/>
              <w:right w:val="single" w:color="auto" w:sz="8" w:space="0"/>
            </w:tcBorders>
            <w:noWrap w:val="0"/>
            <w:vAlign w:val="bottom"/>
          </w:tcPr>
          <w:p w14:paraId="64E857EA">
            <w:pPr>
              <w:pageBreakBefore w:val="0"/>
              <w:kinsoku/>
              <w:wordWrap/>
              <w:overflowPunct/>
              <w:topLinePunct w:val="0"/>
              <w:bidi w:val="0"/>
              <w:spacing w:line="540" w:lineRule="exact"/>
              <w:jc w:val="center"/>
              <w:rPr>
                <w:rFonts w:hint="eastAsia" w:ascii="宋体" w:hAnsi="宋体" w:eastAsia="宋体" w:cs="宋体"/>
                <w:color w:val="auto"/>
                <w:w w:val="95"/>
                <w:sz w:val="24"/>
                <w:szCs w:val="24"/>
                <w:highlight w:val="none"/>
                <w:shd w:val="clear" w:color="auto" w:fill="auto"/>
              </w:rPr>
            </w:pPr>
            <w:r>
              <w:rPr>
                <w:rFonts w:hint="eastAsia" w:ascii="宋体" w:hAnsi="宋体" w:eastAsia="宋体" w:cs="宋体"/>
                <w:color w:val="auto"/>
                <w:w w:val="95"/>
                <w:sz w:val="24"/>
                <w:szCs w:val="24"/>
                <w:highlight w:val="none"/>
                <w:shd w:val="clear" w:color="auto" w:fill="auto"/>
              </w:rPr>
              <w:t>500-1000 万</w:t>
            </w:r>
          </w:p>
        </w:tc>
        <w:tc>
          <w:tcPr>
            <w:tcW w:w="1060" w:type="dxa"/>
            <w:tcBorders>
              <w:right w:val="single" w:color="auto" w:sz="8" w:space="0"/>
            </w:tcBorders>
            <w:noWrap w:val="0"/>
            <w:vAlign w:val="bottom"/>
          </w:tcPr>
          <w:p w14:paraId="2D2C757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1120D47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2FEB852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right w:val="single" w:color="auto" w:sz="8" w:space="0"/>
            </w:tcBorders>
            <w:noWrap w:val="0"/>
            <w:vAlign w:val="bottom"/>
          </w:tcPr>
          <w:p w14:paraId="5F42CB2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right w:val="single" w:color="auto" w:sz="8" w:space="0"/>
            </w:tcBorders>
            <w:noWrap w:val="0"/>
            <w:vAlign w:val="bottom"/>
          </w:tcPr>
          <w:p w14:paraId="3C89DC14">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right w:val="single" w:color="auto" w:sz="8" w:space="0"/>
            </w:tcBorders>
            <w:noWrap w:val="0"/>
            <w:vAlign w:val="bottom"/>
          </w:tcPr>
          <w:p w14:paraId="05389A15">
            <w:pPr>
              <w:pageBreakBefore w:val="0"/>
              <w:kinsoku/>
              <w:wordWrap/>
              <w:overflowPunct/>
              <w:topLinePunct w:val="0"/>
              <w:bidi w:val="0"/>
              <w:spacing w:line="540" w:lineRule="exact"/>
              <w:ind w:left="80"/>
              <w:rPr>
                <w:rFonts w:hint="eastAsia" w:ascii="宋体" w:hAnsi="宋体" w:eastAsia="宋体" w:cs="宋体"/>
                <w:color w:val="auto"/>
                <w:w w:val="98"/>
                <w:sz w:val="24"/>
                <w:szCs w:val="24"/>
                <w:highlight w:val="none"/>
                <w:shd w:val="clear" w:color="auto" w:fill="auto"/>
              </w:rPr>
            </w:pPr>
          </w:p>
        </w:tc>
      </w:tr>
      <w:tr w14:paraId="57855AF1">
        <w:tblPrEx>
          <w:tblCellMar>
            <w:top w:w="0" w:type="dxa"/>
            <w:left w:w="0" w:type="dxa"/>
            <w:bottom w:w="0" w:type="dxa"/>
            <w:right w:w="0" w:type="dxa"/>
          </w:tblCellMar>
        </w:tblPrEx>
        <w:trPr>
          <w:trHeight w:val="156" w:hRule="atLeast"/>
        </w:trPr>
        <w:tc>
          <w:tcPr>
            <w:tcW w:w="1480" w:type="dxa"/>
            <w:vMerge w:val="continue"/>
            <w:tcBorders>
              <w:left w:val="single" w:color="auto" w:sz="8" w:space="0"/>
              <w:right w:val="single" w:color="auto" w:sz="8" w:space="0"/>
            </w:tcBorders>
            <w:noWrap w:val="0"/>
            <w:vAlign w:val="bottom"/>
          </w:tcPr>
          <w:p w14:paraId="45E1A19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restart"/>
            <w:tcBorders>
              <w:right w:val="single" w:color="auto" w:sz="8" w:space="0"/>
            </w:tcBorders>
            <w:noWrap w:val="0"/>
            <w:vAlign w:val="bottom"/>
          </w:tcPr>
          <w:p w14:paraId="7126B03B">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p>
        </w:tc>
        <w:tc>
          <w:tcPr>
            <w:tcW w:w="1060" w:type="dxa"/>
            <w:tcBorders>
              <w:right w:val="single" w:color="auto" w:sz="8" w:space="0"/>
            </w:tcBorders>
            <w:noWrap w:val="0"/>
            <w:vAlign w:val="bottom"/>
          </w:tcPr>
          <w:p w14:paraId="2B72D37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restart"/>
            <w:tcBorders>
              <w:right w:val="single" w:color="auto" w:sz="8" w:space="0"/>
            </w:tcBorders>
            <w:noWrap w:val="0"/>
            <w:vAlign w:val="bottom"/>
          </w:tcPr>
          <w:p w14:paraId="2CA9D047">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w:t>
            </w:r>
          </w:p>
        </w:tc>
        <w:tc>
          <w:tcPr>
            <w:tcW w:w="920" w:type="dxa"/>
            <w:vMerge w:val="restart"/>
            <w:tcBorders>
              <w:right w:val="single" w:color="auto" w:sz="8" w:space="0"/>
            </w:tcBorders>
            <w:noWrap w:val="0"/>
            <w:vAlign w:val="bottom"/>
          </w:tcPr>
          <w:p w14:paraId="09F7C949">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w:t>
            </w:r>
          </w:p>
        </w:tc>
        <w:tc>
          <w:tcPr>
            <w:tcW w:w="1120" w:type="dxa"/>
            <w:gridSpan w:val="2"/>
            <w:vMerge w:val="restart"/>
            <w:tcBorders>
              <w:right w:val="single" w:color="auto" w:sz="8" w:space="0"/>
            </w:tcBorders>
            <w:noWrap w:val="0"/>
            <w:vAlign w:val="bottom"/>
          </w:tcPr>
          <w:p w14:paraId="583639D6">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w:t>
            </w:r>
          </w:p>
        </w:tc>
        <w:tc>
          <w:tcPr>
            <w:tcW w:w="2920" w:type="dxa"/>
            <w:vMerge w:val="restart"/>
            <w:tcBorders>
              <w:right w:val="single" w:color="auto" w:sz="8" w:space="0"/>
            </w:tcBorders>
            <w:noWrap w:val="0"/>
            <w:vAlign w:val="bottom"/>
          </w:tcPr>
          <w:p w14:paraId="092BAD8D">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3A28F9A3">
        <w:tblPrEx>
          <w:tblCellMar>
            <w:top w:w="0" w:type="dxa"/>
            <w:left w:w="0" w:type="dxa"/>
            <w:bottom w:w="0" w:type="dxa"/>
            <w:right w:w="0" w:type="dxa"/>
          </w:tblCellMar>
        </w:tblPrEx>
        <w:trPr>
          <w:trHeight w:val="156" w:hRule="atLeast"/>
        </w:trPr>
        <w:tc>
          <w:tcPr>
            <w:tcW w:w="1480" w:type="dxa"/>
            <w:vMerge w:val="restart"/>
            <w:tcBorders>
              <w:left w:val="single" w:color="auto" w:sz="8" w:space="0"/>
              <w:right w:val="single" w:color="auto" w:sz="8" w:space="0"/>
            </w:tcBorders>
            <w:noWrap w:val="0"/>
            <w:vAlign w:val="bottom"/>
          </w:tcPr>
          <w:p w14:paraId="56185077">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元</w:t>
            </w:r>
          </w:p>
        </w:tc>
        <w:tc>
          <w:tcPr>
            <w:tcW w:w="1060" w:type="dxa"/>
            <w:vMerge w:val="continue"/>
            <w:tcBorders>
              <w:right w:val="single" w:color="auto" w:sz="8" w:space="0"/>
            </w:tcBorders>
            <w:noWrap w:val="0"/>
            <w:vAlign w:val="bottom"/>
          </w:tcPr>
          <w:p w14:paraId="7EE6E80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4935135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continue"/>
            <w:tcBorders>
              <w:right w:val="single" w:color="auto" w:sz="8" w:space="0"/>
            </w:tcBorders>
            <w:noWrap w:val="0"/>
            <w:vAlign w:val="bottom"/>
          </w:tcPr>
          <w:p w14:paraId="56DDEDD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continue"/>
            <w:tcBorders>
              <w:right w:val="single" w:color="auto" w:sz="8" w:space="0"/>
            </w:tcBorders>
            <w:noWrap w:val="0"/>
            <w:vAlign w:val="bottom"/>
          </w:tcPr>
          <w:p w14:paraId="4977FA7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vMerge w:val="continue"/>
            <w:tcBorders>
              <w:right w:val="single" w:color="auto" w:sz="8" w:space="0"/>
            </w:tcBorders>
            <w:noWrap w:val="0"/>
            <w:vAlign w:val="bottom"/>
          </w:tcPr>
          <w:p w14:paraId="3735E7E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vMerge w:val="continue"/>
            <w:tcBorders>
              <w:right w:val="single" w:color="auto" w:sz="8" w:space="0"/>
            </w:tcBorders>
            <w:noWrap w:val="0"/>
            <w:vAlign w:val="bottom"/>
          </w:tcPr>
          <w:p w14:paraId="7DDEECC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65768307">
        <w:tblPrEx>
          <w:tblCellMar>
            <w:top w:w="0" w:type="dxa"/>
            <w:left w:w="0" w:type="dxa"/>
            <w:bottom w:w="0" w:type="dxa"/>
            <w:right w:w="0" w:type="dxa"/>
          </w:tblCellMar>
        </w:tblPrEx>
        <w:trPr>
          <w:trHeight w:val="156" w:hRule="atLeast"/>
        </w:trPr>
        <w:tc>
          <w:tcPr>
            <w:tcW w:w="1480" w:type="dxa"/>
            <w:vMerge w:val="continue"/>
            <w:tcBorders>
              <w:left w:val="single" w:color="auto" w:sz="8" w:space="0"/>
              <w:right w:val="single" w:color="auto" w:sz="8" w:space="0"/>
            </w:tcBorders>
            <w:noWrap w:val="0"/>
            <w:vAlign w:val="bottom"/>
          </w:tcPr>
          <w:p w14:paraId="51E0898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74D015D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2D4FA61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395A8D5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right w:val="single" w:color="auto" w:sz="8" w:space="0"/>
            </w:tcBorders>
            <w:noWrap w:val="0"/>
            <w:vAlign w:val="bottom"/>
          </w:tcPr>
          <w:p w14:paraId="1E34511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right w:val="single" w:color="auto" w:sz="8" w:space="0"/>
            </w:tcBorders>
            <w:noWrap w:val="0"/>
            <w:vAlign w:val="bottom"/>
          </w:tcPr>
          <w:p w14:paraId="5E842F7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right w:val="single" w:color="auto" w:sz="8" w:space="0"/>
            </w:tcBorders>
            <w:noWrap w:val="0"/>
            <w:vAlign w:val="bottom"/>
          </w:tcPr>
          <w:p w14:paraId="6937A90F">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6211376F">
        <w:tblPrEx>
          <w:tblCellMar>
            <w:top w:w="0" w:type="dxa"/>
            <w:left w:w="0" w:type="dxa"/>
            <w:bottom w:w="0" w:type="dxa"/>
            <w:right w:w="0" w:type="dxa"/>
          </w:tblCellMar>
        </w:tblPrEx>
        <w:trPr>
          <w:trHeight w:val="53" w:hRule="atLeast"/>
        </w:trPr>
        <w:tc>
          <w:tcPr>
            <w:tcW w:w="1480" w:type="dxa"/>
            <w:tcBorders>
              <w:left w:val="single" w:color="auto" w:sz="8" w:space="0"/>
              <w:bottom w:val="single" w:color="auto" w:sz="8" w:space="0"/>
              <w:right w:val="single" w:color="auto" w:sz="8" w:space="0"/>
            </w:tcBorders>
            <w:noWrap w:val="0"/>
            <w:vAlign w:val="bottom"/>
          </w:tcPr>
          <w:p w14:paraId="7B71B2E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0F1C2BE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5768A72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right w:val="single" w:color="auto" w:sz="8" w:space="0"/>
            </w:tcBorders>
            <w:noWrap w:val="0"/>
            <w:vAlign w:val="bottom"/>
          </w:tcPr>
          <w:p w14:paraId="1015AF0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right w:val="single" w:color="auto" w:sz="8" w:space="0"/>
            </w:tcBorders>
            <w:noWrap w:val="0"/>
            <w:vAlign w:val="bottom"/>
          </w:tcPr>
          <w:p w14:paraId="6E7419E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bottom w:val="single" w:color="auto" w:sz="8" w:space="0"/>
              <w:right w:val="single" w:color="auto" w:sz="8" w:space="0"/>
            </w:tcBorders>
            <w:noWrap w:val="0"/>
            <w:vAlign w:val="bottom"/>
          </w:tcPr>
          <w:p w14:paraId="229A5BB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bottom w:val="single" w:color="auto" w:sz="8" w:space="0"/>
              <w:right w:val="single" w:color="auto" w:sz="8" w:space="0"/>
            </w:tcBorders>
            <w:noWrap w:val="0"/>
            <w:vAlign w:val="bottom"/>
          </w:tcPr>
          <w:p w14:paraId="5F5FF00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1688B279">
        <w:tblPrEx>
          <w:tblCellMar>
            <w:top w:w="0" w:type="dxa"/>
            <w:left w:w="0" w:type="dxa"/>
            <w:bottom w:w="0" w:type="dxa"/>
            <w:right w:w="0" w:type="dxa"/>
          </w:tblCellMar>
        </w:tblPrEx>
        <w:trPr>
          <w:trHeight w:val="261" w:hRule="atLeast"/>
        </w:trPr>
        <w:tc>
          <w:tcPr>
            <w:tcW w:w="1480" w:type="dxa"/>
            <w:tcBorders>
              <w:left w:val="single" w:color="auto" w:sz="8" w:space="0"/>
              <w:right w:val="single" w:color="auto" w:sz="8" w:space="0"/>
            </w:tcBorders>
            <w:noWrap w:val="0"/>
            <w:vAlign w:val="bottom"/>
          </w:tcPr>
          <w:p w14:paraId="75BA6756">
            <w:pPr>
              <w:pageBreakBefore w:val="0"/>
              <w:kinsoku/>
              <w:wordWrap/>
              <w:overflowPunct/>
              <w:topLinePunct w:val="0"/>
              <w:bidi w:val="0"/>
              <w:spacing w:line="540" w:lineRule="exact"/>
              <w:jc w:val="center"/>
              <w:rPr>
                <w:rFonts w:hint="eastAsia" w:ascii="宋体" w:hAnsi="宋体" w:eastAsia="宋体" w:cs="宋体"/>
                <w:color w:val="auto"/>
                <w:w w:val="95"/>
                <w:sz w:val="24"/>
                <w:szCs w:val="24"/>
                <w:highlight w:val="none"/>
                <w:shd w:val="clear" w:color="auto" w:fill="auto"/>
              </w:rPr>
            </w:pPr>
            <w:r>
              <w:rPr>
                <w:rFonts w:hint="eastAsia" w:ascii="宋体" w:hAnsi="宋体" w:eastAsia="宋体" w:cs="宋体"/>
                <w:color w:val="auto"/>
                <w:w w:val="95"/>
                <w:sz w:val="24"/>
                <w:szCs w:val="24"/>
                <w:highlight w:val="none"/>
                <w:shd w:val="clear" w:color="auto" w:fill="auto"/>
              </w:rPr>
              <w:t>1000-5000 万</w:t>
            </w:r>
          </w:p>
        </w:tc>
        <w:tc>
          <w:tcPr>
            <w:tcW w:w="1060" w:type="dxa"/>
            <w:vMerge w:val="restart"/>
            <w:tcBorders>
              <w:right w:val="single" w:color="auto" w:sz="8" w:space="0"/>
            </w:tcBorders>
            <w:noWrap w:val="0"/>
            <w:vAlign w:val="bottom"/>
          </w:tcPr>
          <w:p w14:paraId="4B274777">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w:t>
            </w:r>
          </w:p>
        </w:tc>
        <w:tc>
          <w:tcPr>
            <w:tcW w:w="1060" w:type="dxa"/>
            <w:tcBorders>
              <w:right w:val="single" w:color="auto" w:sz="8" w:space="0"/>
            </w:tcBorders>
            <w:noWrap w:val="0"/>
            <w:vAlign w:val="bottom"/>
          </w:tcPr>
          <w:p w14:paraId="4A2CE4D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restart"/>
            <w:tcBorders>
              <w:right w:val="single" w:color="auto" w:sz="8" w:space="0"/>
            </w:tcBorders>
            <w:noWrap w:val="0"/>
            <w:vAlign w:val="bottom"/>
          </w:tcPr>
          <w:p w14:paraId="613A2978">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p>
        </w:tc>
        <w:tc>
          <w:tcPr>
            <w:tcW w:w="920" w:type="dxa"/>
            <w:vMerge w:val="restart"/>
            <w:tcBorders>
              <w:right w:val="single" w:color="auto" w:sz="8" w:space="0"/>
            </w:tcBorders>
            <w:noWrap w:val="0"/>
            <w:vAlign w:val="bottom"/>
          </w:tcPr>
          <w:p w14:paraId="16C3061E">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w:t>
            </w:r>
          </w:p>
        </w:tc>
        <w:tc>
          <w:tcPr>
            <w:tcW w:w="1120" w:type="dxa"/>
            <w:gridSpan w:val="2"/>
            <w:vMerge w:val="restart"/>
            <w:tcBorders>
              <w:right w:val="single" w:color="auto" w:sz="8" w:space="0"/>
            </w:tcBorders>
            <w:noWrap w:val="0"/>
            <w:vAlign w:val="bottom"/>
          </w:tcPr>
          <w:p w14:paraId="274B8242">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p>
        </w:tc>
        <w:tc>
          <w:tcPr>
            <w:tcW w:w="2920" w:type="dxa"/>
            <w:tcBorders>
              <w:right w:val="single" w:color="auto" w:sz="8" w:space="0"/>
            </w:tcBorders>
            <w:noWrap w:val="0"/>
            <w:vAlign w:val="bottom"/>
          </w:tcPr>
          <w:p w14:paraId="4723EDC9">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55931659">
        <w:tblPrEx>
          <w:tblCellMar>
            <w:top w:w="0" w:type="dxa"/>
            <w:left w:w="0" w:type="dxa"/>
            <w:bottom w:w="0" w:type="dxa"/>
            <w:right w:w="0" w:type="dxa"/>
          </w:tblCellMar>
        </w:tblPrEx>
        <w:trPr>
          <w:trHeight w:val="156" w:hRule="atLeast"/>
        </w:trPr>
        <w:tc>
          <w:tcPr>
            <w:tcW w:w="1480" w:type="dxa"/>
            <w:vMerge w:val="restart"/>
            <w:tcBorders>
              <w:left w:val="single" w:color="auto" w:sz="8" w:space="0"/>
              <w:right w:val="single" w:color="auto" w:sz="8" w:space="0"/>
            </w:tcBorders>
            <w:noWrap w:val="0"/>
            <w:vAlign w:val="bottom"/>
          </w:tcPr>
          <w:p w14:paraId="5836654C">
            <w:pPr>
              <w:pageBreakBefore w:val="0"/>
              <w:kinsoku/>
              <w:wordWrap/>
              <w:overflowPunct/>
              <w:topLinePunct w:val="0"/>
              <w:bidi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元</w:t>
            </w:r>
          </w:p>
        </w:tc>
        <w:tc>
          <w:tcPr>
            <w:tcW w:w="1060" w:type="dxa"/>
            <w:vMerge w:val="continue"/>
            <w:tcBorders>
              <w:right w:val="single" w:color="auto" w:sz="8" w:space="0"/>
            </w:tcBorders>
            <w:noWrap w:val="0"/>
            <w:vAlign w:val="bottom"/>
          </w:tcPr>
          <w:p w14:paraId="1EBF4B2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2932478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continue"/>
            <w:tcBorders>
              <w:right w:val="single" w:color="auto" w:sz="8" w:space="0"/>
            </w:tcBorders>
            <w:noWrap w:val="0"/>
            <w:vAlign w:val="bottom"/>
          </w:tcPr>
          <w:p w14:paraId="4B33A7F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continue"/>
            <w:tcBorders>
              <w:right w:val="single" w:color="auto" w:sz="8" w:space="0"/>
            </w:tcBorders>
            <w:noWrap w:val="0"/>
            <w:vAlign w:val="bottom"/>
          </w:tcPr>
          <w:p w14:paraId="2AD95C84">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vMerge w:val="continue"/>
            <w:tcBorders>
              <w:right w:val="single" w:color="auto" w:sz="8" w:space="0"/>
            </w:tcBorders>
            <w:noWrap w:val="0"/>
            <w:vAlign w:val="bottom"/>
          </w:tcPr>
          <w:p w14:paraId="7FCDD361">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vMerge w:val="restart"/>
            <w:tcBorders>
              <w:right w:val="single" w:color="auto" w:sz="8" w:space="0"/>
            </w:tcBorders>
            <w:noWrap w:val="0"/>
            <w:vAlign w:val="bottom"/>
          </w:tcPr>
          <w:p w14:paraId="1139A233">
            <w:pPr>
              <w:pageBreakBefore w:val="0"/>
              <w:kinsoku/>
              <w:wordWrap/>
              <w:overflowPunct/>
              <w:topLinePunct w:val="0"/>
              <w:bidi w:val="0"/>
              <w:spacing w:line="540" w:lineRule="exact"/>
              <w:ind w:left="80"/>
              <w:rPr>
                <w:rFonts w:hint="eastAsia" w:ascii="宋体" w:hAnsi="宋体" w:eastAsia="宋体" w:cs="宋体"/>
                <w:color w:val="auto"/>
                <w:sz w:val="24"/>
                <w:szCs w:val="24"/>
                <w:highlight w:val="none"/>
                <w:shd w:val="clear" w:color="auto" w:fill="auto"/>
              </w:rPr>
            </w:pPr>
          </w:p>
        </w:tc>
      </w:tr>
      <w:tr w14:paraId="6B2C96EC">
        <w:tblPrEx>
          <w:tblCellMar>
            <w:top w:w="0" w:type="dxa"/>
            <w:left w:w="0" w:type="dxa"/>
            <w:bottom w:w="0" w:type="dxa"/>
            <w:right w:w="0" w:type="dxa"/>
          </w:tblCellMar>
        </w:tblPrEx>
        <w:trPr>
          <w:trHeight w:val="156" w:hRule="atLeast"/>
        </w:trPr>
        <w:tc>
          <w:tcPr>
            <w:tcW w:w="1480" w:type="dxa"/>
            <w:vMerge w:val="continue"/>
            <w:tcBorders>
              <w:left w:val="single" w:color="auto" w:sz="8" w:space="0"/>
              <w:right w:val="single" w:color="auto" w:sz="8" w:space="0"/>
            </w:tcBorders>
            <w:noWrap w:val="0"/>
            <w:vAlign w:val="bottom"/>
          </w:tcPr>
          <w:p w14:paraId="21203361">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1605D2C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4812483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0905FE4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right w:val="single" w:color="auto" w:sz="8" w:space="0"/>
            </w:tcBorders>
            <w:noWrap w:val="0"/>
            <w:vAlign w:val="bottom"/>
          </w:tcPr>
          <w:p w14:paraId="2DAE703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right w:val="single" w:color="auto" w:sz="8" w:space="0"/>
            </w:tcBorders>
            <w:noWrap w:val="0"/>
            <w:vAlign w:val="bottom"/>
          </w:tcPr>
          <w:p w14:paraId="068B3C2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vMerge w:val="continue"/>
            <w:tcBorders>
              <w:right w:val="single" w:color="auto" w:sz="8" w:space="0"/>
            </w:tcBorders>
            <w:noWrap w:val="0"/>
            <w:vAlign w:val="bottom"/>
          </w:tcPr>
          <w:p w14:paraId="796A0B3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773C4B07">
        <w:tblPrEx>
          <w:tblCellMar>
            <w:top w:w="0" w:type="dxa"/>
            <w:left w:w="0" w:type="dxa"/>
            <w:bottom w:w="0" w:type="dxa"/>
            <w:right w:w="0" w:type="dxa"/>
          </w:tblCellMar>
        </w:tblPrEx>
        <w:trPr>
          <w:trHeight w:val="49" w:hRule="atLeast"/>
        </w:trPr>
        <w:tc>
          <w:tcPr>
            <w:tcW w:w="1480" w:type="dxa"/>
            <w:tcBorders>
              <w:left w:val="single" w:color="auto" w:sz="8" w:space="0"/>
              <w:bottom w:val="single" w:color="auto" w:sz="8" w:space="0"/>
              <w:right w:val="single" w:color="auto" w:sz="8" w:space="0"/>
            </w:tcBorders>
            <w:noWrap w:val="0"/>
            <w:vAlign w:val="bottom"/>
          </w:tcPr>
          <w:p w14:paraId="04B709A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511B16D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0433422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right w:val="single" w:color="auto" w:sz="8" w:space="0"/>
            </w:tcBorders>
            <w:noWrap w:val="0"/>
            <w:vAlign w:val="bottom"/>
          </w:tcPr>
          <w:p w14:paraId="219AB2F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right w:val="single" w:color="auto" w:sz="8" w:space="0"/>
            </w:tcBorders>
            <w:noWrap w:val="0"/>
            <w:vAlign w:val="bottom"/>
          </w:tcPr>
          <w:p w14:paraId="554C8B3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20" w:type="dxa"/>
            <w:gridSpan w:val="2"/>
            <w:tcBorders>
              <w:bottom w:val="single" w:color="auto" w:sz="8" w:space="0"/>
              <w:right w:val="single" w:color="auto" w:sz="8" w:space="0"/>
            </w:tcBorders>
            <w:noWrap w:val="0"/>
            <w:vAlign w:val="bottom"/>
          </w:tcPr>
          <w:p w14:paraId="7B54F68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20" w:type="dxa"/>
            <w:tcBorders>
              <w:bottom w:val="single" w:color="auto" w:sz="8" w:space="0"/>
              <w:right w:val="single" w:color="auto" w:sz="8" w:space="0"/>
            </w:tcBorders>
            <w:noWrap w:val="0"/>
            <w:vAlign w:val="bottom"/>
          </w:tcPr>
          <w:p w14:paraId="44083CB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18EEBD53">
        <w:tblPrEx>
          <w:tblCellMar>
            <w:top w:w="0" w:type="dxa"/>
            <w:left w:w="0" w:type="dxa"/>
            <w:bottom w:w="0" w:type="dxa"/>
            <w:right w:w="0" w:type="dxa"/>
          </w:tblCellMar>
        </w:tblPrEx>
        <w:trPr>
          <w:trHeight w:val="359" w:hRule="atLeast"/>
        </w:trPr>
        <w:tc>
          <w:tcPr>
            <w:tcW w:w="1480" w:type="dxa"/>
            <w:vMerge w:val="restart"/>
            <w:tcBorders>
              <w:left w:val="single" w:color="auto" w:sz="8" w:space="0"/>
              <w:right w:val="single" w:color="auto" w:sz="8" w:space="0"/>
            </w:tcBorders>
            <w:noWrap w:val="0"/>
            <w:vAlign w:val="bottom"/>
          </w:tcPr>
          <w:p w14:paraId="1CEDA9A1">
            <w:pPr>
              <w:pageBreakBefore w:val="0"/>
              <w:kinsoku/>
              <w:wordWrap/>
              <w:overflowPunct/>
              <w:topLinePunct w:val="0"/>
              <w:bidi w:val="0"/>
              <w:spacing w:line="540" w:lineRule="exact"/>
              <w:ind w:firstLine="1200" w:firstLineChars="5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drawing>
                <wp:anchor distT="0" distB="0" distL="114300" distR="114300" simplePos="0" relativeHeight="251659264" behindDoc="1" locked="0" layoutInCell="0" allowOverlap="1">
                  <wp:simplePos x="0" y="0"/>
                  <wp:positionH relativeFrom="column">
                    <wp:posOffset>6985</wp:posOffset>
                  </wp:positionH>
                  <wp:positionV relativeFrom="paragraph">
                    <wp:posOffset>-3453765</wp:posOffset>
                  </wp:positionV>
                  <wp:extent cx="920750" cy="600710"/>
                  <wp:effectExtent l="0" t="0" r="8890" b="8890"/>
                  <wp:wrapNone/>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5"/>
                          <a:stretch>
                            <a:fillRect/>
                          </a:stretch>
                        </pic:blipFill>
                        <pic:spPr>
                          <a:xfrm>
                            <a:off x="0" y="0"/>
                            <a:ext cx="920750" cy="600710"/>
                          </a:xfrm>
                          <a:prstGeom prst="rect">
                            <a:avLst/>
                          </a:prstGeom>
                          <a:noFill/>
                          <a:ln>
                            <a:noFill/>
                          </a:ln>
                        </pic:spPr>
                      </pic:pic>
                    </a:graphicData>
                  </a:graphic>
                </wp:anchor>
              </w:drawing>
            </w:r>
            <w:r>
              <w:rPr>
                <w:rFonts w:hint="eastAsia" w:ascii="宋体" w:hAnsi="宋体" w:eastAsia="宋体" w:cs="宋体"/>
                <w:color w:val="auto"/>
                <w:sz w:val="24"/>
                <w:szCs w:val="24"/>
                <w:highlight w:val="none"/>
                <w:shd w:val="clear" w:color="auto" w:fill="auto"/>
              </w:rPr>
              <w:t>0.5-1 亿元</w:t>
            </w:r>
          </w:p>
        </w:tc>
        <w:tc>
          <w:tcPr>
            <w:tcW w:w="1060" w:type="dxa"/>
            <w:vMerge w:val="restart"/>
            <w:tcBorders>
              <w:right w:val="single" w:color="auto" w:sz="8" w:space="0"/>
            </w:tcBorders>
            <w:noWrap w:val="0"/>
            <w:vAlign w:val="bottom"/>
          </w:tcPr>
          <w:p w14:paraId="4BBB6D07">
            <w:pPr>
              <w:pageBreakBefore w:val="0"/>
              <w:kinsoku/>
              <w:wordWrap/>
              <w:overflowPunct/>
              <w:topLinePunct w:val="0"/>
              <w:bidi w:val="0"/>
              <w:spacing w:line="540" w:lineRule="exact"/>
              <w:ind w:right="276"/>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w:t>
            </w:r>
          </w:p>
        </w:tc>
        <w:tc>
          <w:tcPr>
            <w:tcW w:w="1060" w:type="dxa"/>
            <w:tcBorders>
              <w:right w:val="single" w:color="auto" w:sz="8" w:space="0"/>
            </w:tcBorders>
            <w:noWrap w:val="0"/>
            <w:vAlign w:val="bottom"/>
          </w:tcPr>
          <w:p w14:paraId="4CAE9A7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restart"/>
            <w:tcBorders>
              <w:right w:val="single" w:color="auto" w:sz="8" w:space="0"/>
            </w:tcBorders>
            <w:noWrap w:val="0"/>
            <w:vAlign w:val="bottom"/>
          </w:tcPr>
          <w:p w14:paraId="568623CA">
            <w:pPr>
              <w:pageBreakBefore w:val="0"/>
              <w:kinsoku/>
              <w:wordWrap/>
              <w:overflowPunct/>
              <w:topLinePunct w:val="0"/>
              <w:bidi w:val="0"/>
              <w:spacing w:line="540" w:lineRule="exact"/>
              <w:ind w:right="456"/>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920" w:type="dxa"/>
            <w:vMerge w:val="restart"/>
            <w:tcBorders>
              <w:right w:val="single" w:color="auto" w:sz="8" w:space="0"/>
            </w:tcBorders>
            <w:noWrap w:val="0"/>
            <w:vAlign w:val="bottom"/>
          </w:tcPr>
          <w:p w14:paraId="62AF831A">
            <w:pPr>
              <w:pageBreakBefore w:val="0"/>
              <w:kinsoku/>
              <w:wordWrap/>
              <w:overflowPunct/>
              <w:topLinePunct w:val="0"/>
              <w:bidi w:val="0"/>
              <w:spacing w:line="540" w:lineRule="exact"/>
              <w:ind w:right="196"/>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0.9</w:t>
            </w:r>
          </w:p>
        </w:tc>
        <w:tc>
          <w:tcPr>
            <w:tcW w:w="1100" w:type="dxa"/>
            <w:vMerge w:val="restart"/>
            <w:tcBorders>
              <w:right w:val="single" w:color="auto" w:sz="8" w:space="0"/>
            </w:tcBorders>
            <w:noWrap w:val="0"/>
            <w:vAlign w:val="bottom"/>
          </w:tcPr>
          <w:p w14:paraId="7ED3FE89">
            <w:pPr>
              <w:pageBreakBefore w:val="0"/>
              <w:kinsoku/>
              <w:wordWrap/>
              <w:overflowPunct/>
              <w:topLinePunct w:val="0"/>
              <w:bidi w:val="0"/>
              <w:spacing w:line="540" w:lineRule="exact"/>
              <w:ind w:right="296"/>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w:t>
            </w:r>
          </w:p>
        </w:tc>
        <w:tc>
          <w:tcPr>
            <w:tcW w:w="2940" w:type="dxa"/>
            <w:gridSpan w:val="2"/>
            <w:tcBorders>
              <w:top w:val="single" w:color="auto" w:sz="8" w:space="0"/>
              <w:right w:val="single" w:color="auto" w:sz="8" w:space="0"/>
            </w:tcBorders>
            <w:noWrap w:val="0"/>
            <w:vAlign w:val="bottom"/>
          </w:tcPr>
          <w:p w14:paraId="0ADAFDC3">
            <w:pPr>
              <w:pageBreakBefore w:val="0"/>
              <w:kinsoku/>
              <w:wordWrap/>
              <w:overflowPunct/>
              <w:topLinePunct w:val="0"/>
              <w:bidi w:val="0"/>
              <w:spacing w:line="540" w:lineRule="exact"/>
              <w:ind w:left="100"/>
              <w:rPr>
                <w:rFonts w:hint="eastAsia" w:ascii="宋体" w:hAnsi="宋体" w:eastAsia="宋体" w:cs="宋体"/>
                <w:color w:val="auto"/>
                <w:sz w:val="24"/>
                <w:szCs w:val="24"/>
                <w:highlight w:val="none"/>
                <w:shd w:val="clear" w:color="auto" w:fill="auto"/>
              </w:rPr>
            </w:pPr>
          </w:p>
        </w:tc>
      </w:tr>
      <w:tr w14:paraId="0C826305">
        <w:tblPrEx>
          <w:tblCellMar>
            <w:top w:w="0" w:type="dxa"/>
            <w:left w:w="0" w:type="dxa"/>
            <w:bottom w:w="0" w:type="dxa"/>
            <w:right w:w="0" w:type="dxa"/>
          </w:tblCellMar>
        </w:tblPrEx>
        <w:trPr>
          <w:trHeight w:val="156" w:hRule="atLeast"/>
        </w:trPr>
        <w:tc>
          <w:tcPr>
            <w:tcW w:w="1480" w:type="dxa"/>
            <w:vMerge w:val="continue"/>
            <w:tcBorders>
              <w:left w:val="single" w:color="auto" w:sz="8" w:space="0"/>
              <w:right w:val="single" w:color="auto" w:sz="8" w:space="0"/>
            </w:tcBorders>
            <w:noWrap w:val="0"/>
            <w:vAlign w:val="bottom"/>
          </w:tcPr>
          <w:p w14:paraId="341F32E4">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vMerge w:val="continue"/>
            <w:tcBorders>
              <w:right w:val="single" w:color="auto" w:sz="8" w:space="0"/>
            </w:tcBorders>
            <w:noWrap w:val="0"/>
            <w:vAlign w:val="bottom"/>
          </w:tcPr>
          <w:p w14:paraId="6C182EE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5AEAE80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vMerge w:val="continue"/>
            <w:tcBorders>
              <w:right w:val="single" w:color="auto" w:sz="8" w:space="0"/>
            </w:tcBorders>
            <w:noWrap w:val="0"/>
            <w:vAlign w:val="bottom"/>
          </w:tcPr>
          <w:p w14:paraId="2EFD84EE">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vMerge w:val="continue"/>
            <w:tcBorders>
              <w:right w:val="single" w:color="auto" w:sz="8" w:space="0"/>
            </w:tcBorders>
            <w:noWrap w:val="0"/>
            <w:vAlign w:val="bottom"/>
          </w:tcPr>
          <w:p w14:paraId="11B996F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00" w:type="dxa"/>
            <w:vMerge w:val="continue"/>
            <w:tcBorders>
              <w:right w:val="single" w:color="auto" w:sz="8" w:space="0"/>
            </w:tcBorders>
            <w:noWrap w:val="0"/>
            <w:vAlign w:val="bottom"/>
          </w:tcPr>
          <w:p w14:paraId="0B03DEB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40" w:type="dxa"/>
            <w:gridSpan w:val="2"/>
            <w:vMerge w:val="restart"/>
            <w:tcBorders>
              <w:right w:val="single" w:color="auto" w:sz="8" w:space="0"/>
            </w:tcBorders>
            <w:noWrap w:val="0"/>
            <w:vAlign w:val="bottom"/>
          </w:tcPr>
          <w:p w14:paraId="0586EAB4">
            <w:pPr>
              <w:pageBreakBefore w:val="0"/>
              <w:kinsoku/>
              <w:wordWrap/>
              <w:overflowPunct/>
              <w:topLinePunct w:val="0"/>
              <w:bidi w:val="0"/>
              <w:spacing w:line="540" w:lineRule="exact"/>
              <w:ind w:left="100"/>
              <w:rPr>
                <w:rFonts w:hint="eastAsia" w:ascii="宋体" w:hAnsi="宋体" w:eastAsia="宋体" w:cs="宋体"/>
                <w:color w:val="auto"/>
                <w:sz w:val="24"/>
                <w:szCs w:val="24"/>
                <w:highlight w:val="none"/>
                <w:shd w:val="clear" w:color="auto" w:fill="auto"/>
              </w:rPr>
            </w:pPr>
          </w:p>
        </w:tc>
      </w:tr>
      <w:tr w14:paraId="3BBFA761">
        <w:tblPrEx>
          <w:tblCellMar>
            <w:top w:w="0" w:type="dxa"/>
            <w:left w:w="0" w:type="dxa"/>
            <w:bottom w:w="0" w:type="dxa"/>
            <w:right w:w="0" w:type="dxa"/>
          </w:tblCellMar>
        </w:tblPrEx>
        <w:trPr>
          <w:trHeight w:val="156" w:hRule="atLeast"/>
        </w:trPr>
        <w:tc>
          <w:tcPr>
            <w:tcW w:w="1480" w:type="dxa"/>
            <w:tcBorders>
              <w:left w:val="single" w:color="auto" w:sz="8" w:space="0"/>
              <w:right w:val="single" w:color="auto" w:sz="8" w:space="0"/>
            </w:tcBorders>
            <w:noWrap w:val="0"/>
            <w:vAlign w:val="bottom"/>
          </w:tcPr>
          <w:p w14:paraId="1D40D47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4542DFF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63081C40">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5EA1CC6B">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right w:val="single" w:color="auto" w:sz="8" w:space="0"/>
            </w:tcBorders>
            <w:noWrap w:val="0"/>
            <w:vAlign w:val="bottom"/>
          </w:tcPr>
          <w:p w14:paraId="45DE8AD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00" w:type="dxa"/>
            <w:tcBorders>
              <w:right w:val="single" w:color="auto" w:sz="8" w:space="0"/>
            </w:tcBorders>
            <w:noWrap w:val="0"/>
            <w:vAlign w:val="bottom"/>
          </w:tcPr>
          <w:p w14:paraId="119A452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40" w:type="dxa"/>
            <w:gridSpan w:val="2"/>
            <w:vMerge w:val="continue"/>
            <w:tcBorders>
              <w:right w:val="single" w:color="auto" w:sz="8" w:space="0"/>
            </w:tcBorders>
            <w:noWrap w:val="0"/>
            <w:vAlign w:val="bottom"/>
          </w:tcPr>
          <w:p w14:paraId="2B0BB95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190BD43C">
        <w:tblPrEx>
          <w:tblCellMar>
            <w:top w:w="0" w:type="dxa"/>
            <w:left w:w="0" w:type="dxa"/>
            <w:bottom w:w="0" w:type="dxa"/>
            <w:right w:w="0" w:type="dxa"/>
          </w:tblCellMar>
        </w:tblPrEx>
        <w:trPr>
          <w:trHeight w:val="149" w:hRule="atLeast"/>
        </w:trPr>
        <w:tc>
          <w:tcPr>
            <w:tcW w:w="1480" w:type="dxa"/>
            <w:tcBorders>
              <w:left w:val="single" w:color="auto" w:sz="8" w:space="0"/>
              <w:bottom w:val="single" w:color="auto" w:sz="8" w:space="0"/>
              <w:right w:val="single" w:color="auto" w:sz="8" w:space="0"/>
            </w:tcBorders>
            <w:noWrap w:val="0"/>
            <w:vAlign w:val="bottom"/>
          </w:tcPr>
          <w:p w14:paraId="63C499B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7BBE629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6649C0BF">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right w:val="single" w:color="auto" w:sz="8" w:space="0"/>
            </w:tcBorders>
            <w:noWrap w:val="0"/>
            <w:vAlign w:val="bottom"/>
          </w:tcPr>
          <w:p w14:paraId="5271501A">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right w:val="single" w:color="auto" w:sz="8" w:space="0"/>
            </w:tcBorders>
            <w:noWrap w:val="0"/>
            <w:vAlign w:val="bottom"/>
          </w:tcPr>
          <w:p w14:paraId="1D97234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00" w:type="dxa"/>
            <w:tcBorders>
              <w:bottom w:val="single" w:color="auto" w:sz="8" w:space="0"/>
              <w:right w:val="single" w:color="auto" w:sz="8" w:space="0"/>
            </w:tcBorders>
            <w:noWrap w:val="0"/>
            <w:vAlign w:val="bottom"/>
          </w:tcPr>
          <w:p w14:paraId="7975DBC2">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40" w:type="dxa"/>
            <w:gridSpan w:val="2"/>
            <w:tcBorders>
              <w:bottom w:val="single" w:color="auto" w:sz="8" w:space="0"/>
              <w:right w:val="single" w:color="auto" w:sz="8" w:space="0"/>
            </w:tcBorders>
            <w:noWrap w:val="0"/>
            <w:vAlign w:val="bottom"/>
          </w:tcPr>
          <w:p w14:paraId="4C9B4EC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2DFA2FA5">
        <w:tblPrEx>
          <w:tblCellMar>
            <w:top w:w="0" w:type="dxa"/>
            <w:left w:w="0" w:type="dxa"/>
            <w:bottom w:w="0" w:type="dxa"/>
            <w:right w:w="0" w:type="dxa"/>
          </w:tblCellMar>
        </w:tblPrEx>
        <w:trPr>
          <w:trHeight w:val="176" w:hRule="atLeast"/>
        </w:trPr>
        <w:tc>
          <w:tcPr>
            <w:tcW w:w="1480" w:type="dxa"/>
            <w:tcBorders>
              <w:left w:val="single" w:color="auto" w:sz="8" w:space="0"/>
              <w:right w:val="single" w:color="auto" w:sz="8" w:space="0"/>
            </w:tcBorders>
            <w:noWrap w:val="0"/>
            <w:vAlign w:val="bottom"/>
          </w:tcPr>
          <w:p w14:paraId="0C2FD68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39789F1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right w:val="single" w:color="auto" w:sz="8" w:space="0"/>
            </w:tcBorders>
            <w:noWrap w:val="0"/>
            <w:vAlign w:val="bottom"/>
          </w:tcPr>
          <w:p w14:paraId="5114453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22F7A1D4">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right w:val="single" w:color="auto" w:sz="8" w:space="0"/>
            </w:tcBorders>
            <w:noWrap w:val="0"/>
            <w:vAlign w:val="bottom"/>
          </w:tcPr>
          <w:p w14:paraId="547B882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00" w:type="dxa"/>
            <w:tcBorders>
              <w:right w:val="single" w:color="auto" w:sz="8" w:space="0"/>
            </w:tcBorders>
            <w:noWrap w:val="0"/>
            <w:vAlign w:val="bottom"/>
          </w:tcPr>
          <w:p w14:paraId="2CB51309">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40" w:type="dxa"/>
            <w:gridSpan w:val="2"/>
            <w:tcBorders>
              <w:right w:val="single" w:color="auto" w:sz="8" w:space="0"/>
            </w:tcBorders>
            <w:noWrap w:val="0"/>
            <w:vAlign w:val="bottom"/>
          </w:tcPr>
          <w:p w14:paraId="0C104A72">
            <w:pPr>
              <w:pageBreakBefore w:val="0"/>
              <w:kinsoku/>
              <w:wordWrap/>
              <w:overflowPunct/>
              <w:topLinePunct w:val="0"/>
              <w:bidi w:val="0"/>
              <w:spacing w:line="540" w:lineRule="exact"/>
              <w:ind w:left="100"/>
              <w:rPr>
                <w:rFonts w:hint="eastAsia" w:ascii="宋体" w:hAnsi="宋体" w:eastAsia="宋体" w:cs="宋体"/>
                <w:color w:val="auto"/>
                <w:sz w:val="24"/>
                <w:szCs w:val="24"/>
                <w:highlight w:val="none"/>
                <w:shd w:val="clear" w:color="auto" w:fill="auto"/>
              </w:rPr>
            </w:pPr>
          </w:p>
        </w:tc>
      </w:tr>
      <w:tr w14:paraId="1FBB5003">
        <w:tblPrEx>
          <w:tblCellMar>
            <w:top w:w="0" w:type="dxa"/>
            <w:left w:w="0" w:type="dxa"/>
            <w:bottom w:w="0" w:type="dxa"/>
            <w:right w:w="0" w:type="dxa"/>
          </w:tblCellMar>
        </w:tblPrEx>
        <w:trPr>
          <w:trHeight w:val="235" w:hRule="atLeast"/>
        </w:trPr>
        <w:tc>
          <w:tcPr>
            <w:tcW w:w="1480" w:type="dxa"/>
            <w:tcBorders>
              <w:left w:val="single" w:color="auto" w:sz="8" w:space="0"/>
              <w:right w:val="single" w:color="auto" w:sz="8" w:space="0"/>
            </w:tcBorders>
            <w:noWrap w:val="0"/>
            <w:vAlign w:val="bottom"/>
          </w:tcPr>
          <w:p w14:paraId="5E9B97A4">
            <w:pPr>
              <w:pageBreakBefore w:val="0"/>
              <w:kinsoku/>
              <w:wordWrap/>
              <w:overflowPunct/>
              <w:topLinePunct w:val="0"/>
              <w:bidi w:val="0"/>
              <w:spacing w:line="540" w:lineRule="exact"/>
              <w:ind w:left="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 亿元以上</w:t>
            </w:r>
          </w:p>
        </w:tc>
        <w:tc>
          <w:tcPr>
            <w:tcW w:w="1060" w:type="dxa"/>
            <w:tcBorders>
              <w:right w:val="single" w:color="auto" w:sz="8" w:space="0"/>
            </w:tcBorders>
            <w:noWrap w:val="0"/>
            <w:vAlign w:val="bottom"/>
          </w:tcPr>
          <w:p w14:paraId="4747FEA5">
            <w:pPr>
              <w:pageBreakBefore w:val="0"/>
              <w:kinsoku/>
              <w:wordWrap/>
              <w:overflowPunct/>
              <w:topLinePunct w:val="0"/>
              <w:bidi w:val="0"/>
              <w:spacing w:line="540" w:lineRule="exact"/>
              <w:ind w:right="396"/>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1060" w:type="dxa"/>
            <w:tcBorders>
              <w:right w:val="single" w:color="auto" w:sz="8" w:space="0"/>
            </w:tcBorders>
            <w:noWrap w:val="0"/>
            <w:vAlign w:val="bottom"/>
          </w:tcPr>
          <w:p w14:paraId="7535DC0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right w:val="single" w:color="auto" w:sz="8" w:space="0"/>
            </w:tcBorders>
            <w:noWrap w:val="0"/>
            <w:vAlign w:val="bottom"/>
          </w:tcPr>
          <w:p w14:paraId="52AE0F11">
            <w:pPr>
              <w:pageBreakBefore w:val="0"/>
              <w:kinsoku/>
              <w:wordWrap/>
              <w:overflowPunct/>
              <w:topLinePunct w:val="0"/>
              <w:bidi w:val="0"/>
              <w:spacing w:line="540" w:lineRule="exact"/>
              <w:ind w:right="336"/>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w:t>
            </w:r>
          </w:p>
        </w:tc>
        <w:tc>
          <w:tcPr>
            <w:tcW w:w="920" w:type="dxa"/>
            <w:tcBorders>
              <w:right w:val="single" w:color="auto" w:sz="8" w:space="0"/>
            </w:tcBorders>
            <w:noWrap w:val="0"/>
            <w:vAlign w:val="bottom"/>
          </w:tcPr>
          <w:p w14:paraId="4221893E">
            <w:pPr>
              <w:pageBreakBefore w:val="0"/>
              <w:kinsoku/>
              <w:wordWrap/>
              <w:overflowPunct/>
              <w:topLinePunct w:val="0"/>
              <w:bidi w:val="0"/>
              <w:spacing w:line="540" w:lineRule="exact"/>
              <w:ind w:right="196"/>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0.8</w:t>
            </w:r>
          </w:p>
        </w:tc>
        <w:tc>
          <w:tcPr>
            <w:tcW w:w="1100" w:type="dxa"/>
            <w:tcBorders>
              <w:right w:val="single" w:color="auto" w:sz="8" w:space="0"/>
            </w:tcBorders>
            <w:noWrap w:val="0"/>
            <w:vAlign w:val="bottom"/>
          </w:tcPr>
          <w:p w14:paraId="40AF26FB">
            <w:pPr>
              <w:pageBreakBefore w:val="0"/>
              <w:kinsoku/>
              <w:wordWrap/>
              <w:overflowPunct/>
              <w:topLinePunct w:val="0"/>
              <w:bidi w:val="0"/>
              <w:spacing w:line="540" w:lineRule="exact"/>
              <w:ind w:right="396"/>
              <w:jc w:val="righ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2940" w:type="dxa"/>
            <w:gridSpan w:val="2"/>
            <w:tcBorders>
              <w:right w:val="single" w:color="auto" w:sz="8" w:space="0"/>
            </w:tcBorders>
            <w:noWrap w:val="0"/>
            <w:vAlign w:val="bottom"/>
          </w:tcPr>
          <w:p w14:paraId="2F88145D">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r w14:paraId="6EC6F613">
        <w:tblPrEx>
          <w:tblCellMar>
            <w:top w:w="0" w:type="dxa"/>
            <w:left w:w="0" w:type="dxa"/>
            <w:bottom w:w="0" w:type="dxa"/>
            <w:right w:w="0" w:type="dxa"/>
          </w:tblCellMar>
        </w:tblPrEx>
        <w:trPr>
          <w:trHeight w:val="130" w:hRule="atLeast"/>
        </w:trPr>
        <w:tc>
          <w:tcPr>
            <w:tcW w:w="1480" w:type="dxa"/>
            <w:tcBorders>
              <w:left w:val="single" w:color="auto" w:sz="8" w:space="0"/>
              <w:bottom w:val="single" w:color="auto" w:sz="8" w:space="0"/>
              <w:right w:val="single" w:color="auto" w:sz="8" w:space="0"/>
            </w:tcBorders>
            <w:noWrap w:val="0"/>
            <w:vAlign w:val="bottom"/>
          </w:tcPr>
          <w:p w14:paraId="187BCE33">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48A07B45">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060" w:type="dxa"/>
            <w:tcBorders>
              <w:bottom w:val="single" w:color="auto" w:sz="8" w:space="0"/>
              <w:right w:val="single" w:color="auto" w:sz="8" w:space="0"/>
            </w:tcBorders>
            <w:noWrap w:val="0"/>
            <w:vAlign w:val="bottom"/>
          </w:tcPr>
          <w:p w14:paraId="67AE2117">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200" w:type="dxa"/>
            <w:tcBorders>
              <w:bottom w:val="single" w:color="auto" w:sz="8" w:space="0"/>
              <w:right w:val="single" w:color="auto" w:sz="8" w:space="0"/>
            </w:tcBorders>
            <w:noWrap w:val="0"/>
            <w:vAlign w:val="bottom"/>
          </w:tcPr>
          <w:p w14:paraId="3C985F2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920" w:type="dxa"/>
            <w:tcBorders>
              <w:bottom w:val="single" w:color="auto" w:sz="8" w:space="0"/>
              <w:right w:val="single" w:color="auto" w:sz="8" w:space="0"/>
            </w:tcBorders>
            <w:noWrap w:val="0"/>
            <w:vAlign w:val="bottom"/>
          </w:tcPr>
          <w:p w14:paraId="60FFF7AC">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1100" w:type="dxa"/>
            <w:tcBorders>
              <w:bottom w:val="single" w:color="auto" w:sz="8" w:space="0"/>
              <w:right w:val="single" w:color="auto" w:sz="8" w:space="0"/>
            </w:tcBorders>
            <w:noWrap w:val="0"/>
            <w:vAlign w:val="bottom"/>
          </w:tcPr>
          <w:p w14:paraId="50BA17A8">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c>
          <w:tcPr>
            <w:tcW w:w="2940" w:type="dxa"/>
            <w:gridSpan w:val="2"/>
            <w:tcBorders>
              <w:bottom w:val="single" w:color="auto" w:sz="8" w:space="0"/>
              <w:right w:val="single" w:color="auto" w:sz="8" w:space="0"/>
            </w:tcBorders>
            <w:noWrap w:val="0"/>
            <w:vAlign w:val="bottom"/>
          </w:tcPr>
          <w:p w14:paraId="33CEF686">
            <w:pPr>
              <w:pageBreakBefore w:val="0"/>
              <w:kinsoku/>
              <w:wordWrap/>
              <w:overflowPunct/>
              <w:topLinePunct w:val="0"/>
              <w:bidi w:val="0"/>
              <w:spacing w:line="540" w:lineRule="exact"/>
              <w:rPr>
                <w:rFonts w:hint="eastAsia" w:ascii="宋体" w:hAnsi="宋体" w:eastAsia="宋体" w:cs="宋体"/>
                <w:color w:val="auto"/>
                <w:sz w:val="24"/>
                <w:szCs w:val="24"/>
                <w:highlight w:val="none"/>
                <w:shd w:val="clear" w:color="auto" w:fill="auto"/>
              </w:rPr>
            </w:pPr>
          </w:p>
        </w:tc>
      </w:tr>
    </w:tbl>
    <w:p w14:paraId="34327ACA">
      <w:pPr>
        <w:pageBreakBefore w:val="0"/>
        <w:kinsoku/>
        <w:wordWrap/>
        <w:overflowPunct/>
        <w:topLinePunct w:val="0"/>
        <w:autoSpaceDE w:val="0"/>
        <w:autoSpaceDN w:val="0"/>
        <w:bidi w:val="0"/>
        <w:snapToGrid w:val="0"/>
        <w:spacing w:line="540" w:lineRule="exact"/>
        <w:jc w:val="center"/>
        <w:rPr>
          <w:rFonts w:hint="eastAsia" w:ascii="宋体" w:hAnsi="宋体" w:eastAsia="宋体" w:cs="宋体"/>
          <w:color w:val="auto"/>
          <w:sz w:val="28"/>
          <w:szCs w:val="28"/>
          <w:highlight w:val="none"/>
          <w:shd w:val="clear" w:color="auto" w:fill="auto"/>
        </w:rPr>
      </w:pPr>
    </w:p>
    <w:p w14:paraId="25CB990A">
      <w:pPr>
        <w:pageBreakBefore w:val="0"/>
        <w:kinsoku/>
        <w:wordWrap/>
        <w:overflowPunct/>
        <w:topLinePunct w:val="0"/>
        <w:autoSpaceDE w:val="0"/>
        <w:autoSpaceDN w:val="0"/>
        <w:bidi w:val="0"/>
        <w:snapToGrid w:val="0"/>
        <w:spacing w:line="540" w:lineRule="exact"/>
        <w:jc w:val="center"/>
        <w:rPr>
          <w:rFonts w:hint="eastAsia" w:ascii="宋体" w:hAnsi="宋体" w:eastAsia="宋体" w:cs="宋体"/>
          <w:color w:val="auto"/>
          <w:sz w:val="28"/>
          <w:szCs w:val="28"/>
          <w:highlight w:val="none"/>
          <w:shd w:val="clear" w:color="auto" w:fill="auto"/>
        </w:rPr>
      </w:pPr>
    </w:p>
    <w:p w14:paraId="29744F3B">
      <w:pPr>
        <w:pageBreakBefore w:val="0"/>
        <w:kinsoku/>
        <w:wordWrap/>
        <w:overflowPunct/>
        <w:topLinePunct w:val="0"/>
        <w:autoSpaceDE w:val="0"/>
        <w:autoSpaceDN w:val="0"/>
        <w:bidi w:val="0"/>
        <w:snapToGrid w:val="0"/>
        <w:spacing w:line="540" w:lineRule="exact"/>
        <w:jc w:val="center"/>
        <w:rPr>
          <w:rFonts w:hint="eastAsia" w:ascii="宋体" w:hAnsi="宋体" w:eastAsia="宋体" w:cs="宋体"/>
          <w:strike/>
          <w:color w:val="auto"/>
          <w:sz w:val="28"/>
          <w:szCs w:val="28"/>
          <w:highlight w:val="none"/>
          <w:shd w:val="clear" w:color="auto" w:fill="auto"/>
        </w:rPr>
      </w:pPr>
    </w:p>
    <w:p w14:paraId="1BA504E0">
      <w:pPr>
        <w:pStyle w:val="6"/>
        <w:pageBreakBefore w:val="0"/>
        <w:kinsoku/>
        <w:wordWrap/>
        <w:overflowPunct/>
        <w:topLinePunct w:val="0"/>
        <w:bidi w:val="0"/>
        <w:spacing w:before="0" w:after="0" w:line="540" w:lineRule="exact"/>
        <w:ind w:firstLine="137"/>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bookmarkStart w:id="23" w:name="_Toc21601"/>
      <w:r>
        <w:rPr>
          <w:rFonts w:hint="eastAsia" w:ascii="宋体" w:hAnsi="宋体" w:eastAsia="宋体" w:cs="宋体"/>
          <w:color w:val="auto"/>
          <w:sz w:val="28"/>
          <w:szCs w:val="28"/>
          <w:highlight w:val="none"/>
          <w:shd w:val="clear" w:color="auto" w:fill="auto"/>
        </w:rPr>
        <w:t>附件二：主要服务人员名单</w:t>
      </w:r>
      <w:bookmarkEnd w:id="22"/>
      <w:bookmarkEnd w:id="23"/>
    </w:p>
    <w:p w14:paraId="38A3E315">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派驻本项目负责人及主要管理人员</w:t>
      </w:r>
    </w:p>
    <w:tbl>
      <w:tblPr>
        <w:tblStyle w:val="42"/>
        <w:tblW w:w="0" w:type="auto"/>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924"/>
        <w:gridCol w:w="1260"/>
        <w:gridCol w:w="1080"/>
        <w:gridCol w:w="1539"/>
        <w:gridCol w:w="1190"/>
        <w:gridCol w:w="978"/>
        <w:gridCol w:w="1182"/>
      </w:tblGrid>
      <w:tr w14:paraId="59452DE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924" w:type="dxa"/>
            <w:vMerge w:val="restart"/>
            <w:tcBorders>
              <w:top w:val="single" w:color="000000" w:sz="4" w:space="0"/>
              <w:left w:val="single" w:color="000000" w:sz="4" w:space="0"/>
              <w:right w:val="single" w:color="000000" w:sz="4" w:space="0"/>
            </w:tcBorders>
            <w:noWrap w:val="0"/>
            <w:vAlign w:val="center"/>
          </w:tcPr>
          <w:p w14:paraId="4C7C3452">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序号</w:t>
            </w:r>
          </w:p>
        </w:tc>
        <w:tc>
          <w:tcPr>
            <w:tcW w:w="1260" w:type="dxa"/>
            <w:vMerge w:val="restart"/>
            <w:tcBorders>
              <w:top w:val="single" w:color="000000" w:sz="4" w:space="0"/>
              <w:left w:val="single" w:color="000000" w:sz="4" w:space="0"/>
              <w:right w:val="single" w:color="000000" w:sz="4" w:space="0"/>
            </w:tcBorders>
            <w:noWrap w:val="0"/>
            <w:vAlign w:val="center"/>
          </w:tcPr>
          <w:p w14:paraId="1AC75F6E">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姓名</w:t>
            </w:r>
          </w:p>
        </w:tc>
        <w:tc>
          <w:tcPr>
            <w:tcW w:w="1080" w:type="dxa"/>
            <w:vMerge w:val="restart"/>
            <w:tcBorders>
              <w:top w:val="single" w:color="000000" w:sz="4" w:space="0"/>
              <w:left w:val="single" w:color="000000" w:sz="4" w:space="0"/>
              <w:right w:val="single" w:color="000000" w:sz="4" w:space="0"/>
            </w:tcBorders>
            <w:noWrap w:val="0"/>
            <w:vAlign w:val="center"/>
          </w:tcPr>
          <w:p w14:paraId="0AC177BA">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工作岗位</w:t>
            </w:r>
          </w:p>
        </w:tc>
        <w:tc>
          <w:tcPr>
            <w:tcW w:w="1539" w:type="dxa"/>
            <w:vMerge w:val="restart"/>
            <w:tcBorders>
              <w:top w:val="single" w:color="000000" w:sz="4" w:space="0"/>
              <w:left w:val="single" w:color="000000" w:sz="4" w:space="0"/>
              <w:right w:val="single" w:color="000000" w:sz="4" w:space="0"/>
            </w:tcBorders>
            <w:noWrap w:val="0"/>
            <w:vAlign w:val="center"/>
          </w:tcPr>
          <w:p w14:paraId="43A7C140">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执业资格</w:t>
            </w:r>
          </w:p>
          <w:p w14:paraId="2EF3CF10">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及证书号</w:t>
            </w:r>
          </w:p>
        </w:tc>
        <w:tc>
          <w:tcPr>
            <w:tcW w:w="3350" w:type="dxa"/>
            <w:gridSpan w:val="3"/>
            <w:tcBorders>
              <w:top w:val="single" w:color="000000" w:sz="4" w:space="0"/>
              <w:left w:val="single" w:color="000000" w:sz="4" w:space="0"/>
              <w:bottom w:val="single" w:color="000000" w:sz="4" w:space="0"/>
              <w:right w:val="single" w:color="000000" w:sz="4" w:space="0"/>
            </w:tcBorders>
            <w:noWrap w:val="0"/>
            <w:vAlign w:val="center"/>
          </w:tcPr>
          <w:p w14:paraId="70C86818">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职业资格</w:t>
            </w:r>
          </w:p>
        </w:tc>
      </w:tr>
      <w:tr w14:paraId="05CE3C6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24" w:type="dxa"/>
            <w:vMerge w:val="continue"/>
            <w:tcBorders>
              <w:left w:val="single" w:color="000000" w:sz="4" w:space="0"/>
              <w:bottom w:val="single" w:color="000000" w:sz="4" w:space="0"/>
              <w:right w:val="single" w:color="000000" w:sz="4" w:space="0"/>
            </w:tcBorders>
            <w:noWrap w:val="0"/>
            <w:vAlign w:val="center"/>
          </w:tcPr>
          <w:p w14:paraId="6945A9ED">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260" w:type="dxa"/>
            <w:vMerge w:val="continue"/>
            <w:tcBorders>
              <w:left w:val="single" w:color="000000" w:sz="4" w:space="0"/>
              <w:bottom w:val="single" w:color="000000" w:sz="4" w:space="0"/>
              <w:right w:val="single" w:color="000000" w:sz="4" w:space="0"/>
            </w:tcBorders>
            <w:noWrap w:val="0"/>
            <w:vAlign w:val="center"/>
          </w:tcPr>
          <w:p w14:paraId="37F015F9">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080" w:type="dxa"/>
            <w:vMerge w:val="continue"/>
            <w:tcBorders>
              <w:left w:val="single" w:color="000000" w:sz="4" w:space="0"/>
              <w:bottom w:val="single" w:color="000000" w:sz="4" w:space="0"/>
              <w:right w:val="single" w:color="000000" w:sz="4" w:space="0"/>
            </w:tcBorders>
            <w:noWrap w:val="0"/>
            <w:vAlign w:val="center"/>
          </w:tcPr>
          <w:p w14:paraId="08C7589B">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539" w:type="dxa"/>
            <w:vMerge w:val="continue"/>
            <w:tcBorders>
              <w:left w:val="single" w:color="000000" w:sz="4" w:space="0"/>
              <w:bottom w:val="single" w:color="000000" w:sz="4" w:space="0"/>
              <w:right w:val="single" w:color="000000" w:sz="4" w:space="0"/>
            </w:tcBorders>
            <w:noWrap w:val="0"/>
            <w:vAlign w:val="center"/>
          </w:tcPr>
          <w:p w14:paraId="016D837D">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90" w:type="dxa"/>
            <w:tcBorders>
              <w:top w:val="single" w:color="000000" w:sz="4" w:space="0"/>
              <w:left w:val="single" w:color="000000" w:sz="4" w:space="0"/>
              <w:bottom w:val="single" w:color="000000" w:sz="4" w:space="0"/>
              <w:right w:val="single" w:color="000000" w:sz="4" w:space="0"/>
            </w:tcBorders>
            <w:noWrap w:val="0"/>
            <w:vAlign w:val="center"/>
          </w:tcPr>
          <w:p w14:paraId="360288BD">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职称</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14:paraId="6C282499">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专业</w:t>
            </w:r>
          </w:p>
        </w:tc>
        <w:tc>
          <w:tcPr>
            <w:tcW w:w="1182" w:type="dxa"/>
            <w:tcBorders>
              <w:top w:val="single" w:color="000000" w:sz="4" w:space="0"/>
              <w:left w:val="single" w:color="000000" w:sz="4" w:space="0"/>
              <w:bottom w:val="single" w:color="000000" w:sz="4" w:space="0"/>
              <w:right w:val="single" w:color="000000" w:sz="4" w:space="0"/>
            </w:tcBorders>
            <w:noWrap w:val="0"/>
            <w:vAlign w:val="center"/>
          </w:tcPr>
          <w:p w14:paraId="30EE5DA2">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证书号</w:t>
            </w:r>
          </w:p>
        </w:tc>
      </w:tr>
      <w:tr w14:paraId="3753B10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33D016F1">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260" w:type="dxa"/>
            <w:tcBorders>
              <w:top w:val="single" w:color="000000" w:sz="4" w:space="0"/>
              <w:left w:val="single" w:color="000000" w:sz="4" w:space="0"/>
              <w:bottom w:val="single" w:color="000000" w:sz="4" w:space="0"/>
              <w:right w:val="single" w:color="000000" w:sz="4" w:space="0"/>
            </w:tcBorders>
            <w:noWrap w:val="0"/>
            <w:vAlign w:val="top"/>
          </w:tcPr>
          <w:p w14:paraId="5790516C">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080" w:type="dxa"/>
            <w:tcBorders>
              <w:top w:val="single" w:color="000000" w:sz="4" w:space="0"/>
              <w:left w:val="single" w:color="000000" w:sz="4" w:space="0"/>
              <w:bottom w:val="single" w:color="000000" w:sz="4" w:space="0"/>
              <w:right w:val="single" w:color="000000" w:sz="4" w:space="0"/>
            </w:tcBorders>
            <w:noWrap w:val="0"/>
            <w:vAlign w:val="top"/>
          </w:tcPr>
          <w:p w14:paraId="529C87FA">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539" w:type="dxa"/>
            <w:tcBorders>
              <w:top w:val="single" w:color="000000" w:sz="4" w:space="0"/>
              <w:left w:val="single" w:color="000000" w:sz="4" w:space="0"/>
              <w:bottom w:val="single" w:color="000000" w:sz="4" w:space="0"/>
              <w:right w:val="single" w:color="000000" w:sz="4" w:space="0"/>
            </w:tcBorders>
            <w:noWrap w:val="0"/>
            <w:vAlign w:val="top"/>
          </w:tcPr>
          <w:p w14:paraId="01BD233F">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90" w:type="dxa"/>
            <w:tcBorders>
              <w:top w:val="single" w:color="000000" w:sz="4" w:space="0"/>
              <w:left w:val="single" w:color="000000" w:sz="4" w:space="0"/>
              <w:bottom w:val="single" w:color="000000" w:sz="4" w:space="0"/>
              <w:right w:val="single" w:color="000000" w:sz="4" w:space="0"/>
            </w:tcBorders>
            <w:noWrap w:val="0"/>
            <w:vAlign w:val="top"/>
          </w:tcPr>
          <w:p w14:paraId="6FEF2921">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978" w:type="dxa"/>
            <w:tcBorders>
              <w:top w:val="single" w:color="000000" w:sz="4" w:space="0"/>
              <w:left w:val="single" w:color="000000" w:sz="4" w:space="0"/>
              <w:bottom w:val="single" w:color="000000" w:sz="4" w:space="0"/>
              <w:right w:val="single" w:color="000000" w:sz="4" w:space="0"/>
            </w:tcBorders>
            <w:noWrap w:val="0"/>
            <w:vAlign w:val="top"/>
          </w:tcPr>
          <w:p w14:paraId="40675752">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82" w:type="dxa"/>
            <w:tcBorders>
              <w:top w:val="single" w:color="000000" w:sz="4" w:space="0"/>
              <w:left w:val="single" w:color="000000" w:sz="4" w:space="0"/>
              <w:bottom w:val="single" w:color="000000" w:sz="4" w:space="0"/>
              <w:right w:val="single" w:color="000000" w:sz="4" w:space="0"/>
            </w:tcBorders>
            <w:noWrap w:val="0"/>
            <w:vAlign w:val="top"/>
          </w:tcPr>
          <w:p w14:paraId="04B8B2D5">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r>
      <w:tr w14:paraId="7EC0598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2238A369">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260" w:type="dxa"/>
            <w:tcBorders>
              <w:top w:val="single" w:color="000000" w:sz="4" w:space="0"/>
              <w:left w:val="single" w:color="000000" w:sz="4" w:space="0"/>
              <w:bottom w:val="single" w:color="000000" w:sz="4" w:space="0"/>
              <w:right w:val="single" w:color="000000" w:sz="4" w:space="0"/>
            </w:tcBorders>
            <w:noWrap w:val="0"/>
            <w:vAlign w:val="top"/>
          </w:tcPr>
          <w:p w14:paraId="51ABC55F">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080" w:type="dxa"/>
            <w:tcBorders>
              <w:top w:val="single" w:color="000000" w:sz="4" w:space="0"/>
              <w:left w:val="single" w:color="000000" w:sz="4" w:space="0"/>
              <w:bottom w:val="single" w:color="000000" w:sz="4" w:space="0"/>
              <w:right w:val="single" w:color="000000" w:sz="4" w:space="0"/>
            </w:tcBorders>
            <w:noWrap w:val="0"/>
            <w:vAlign w:val="top"/>
          </w:tcPr>
          <w:p w14:paraId="51382DB9">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539" w:type="dxa"/>
            <w:tcBorders>
              <w:top w:val="single" w:color="000000" w:sz="4" w:space="0"/>
              <w:left w:val="single" w:color="000000" w:sz="4" w:space="0"/>
              <w:bottom w:val="single" w:color="000000" w:sz="4" w:space="0"/>
              <w:right w:val="single" w:color="000000" w:sz="4" w:space="0"/>
            </w:tcBorders>
            <w:noWrap w:val="0"/>
            <w:vAlign w:val="top"/>
          </w:tcPr>
          <w:p w14:paraId="2876E2F0">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90" w:type="dxa"/>
            <w:tcBorders>
              <w:top w:val="single" w:color="000000" w:sz="4" w:space="0"/>
              <w:left w:val="single" w:color="000000" w:sz="4" w:space="0"/>
              <w:bottom w:val="single" w:color="000000" w:sz="4" w:space="0"/>
              <w:right w:val="single" w:color="000000" w:sz="4" w:space="0"/>
            </w:tcBorders>
            <w:noWrap w:val="0"/>
            <w:vAlign w:val="top"/>
          </w:tcPr>
          <w:p w14:paraId="50D4DE52">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978" w:type="dxa"/>
            <w:tcBorders>
              <w:top w:val="single" w:color="000000" w:sz="4" w:space="0"/>
              <w:left w:val="single" w:color="000000" w:sz="4" w:space="0"/>
              <w:bottom w:val="single" w:color="000000" w:sz="4" w:space="0"/>
              <w:right w:val="single" w:color="000000" w:sz="4" w:space="0"/>
            </w:tcBorders>
            <w:noWrap w:val="0"/>
            <w:vAlign w:val="top"/>
          </w:tcPr>
          <w:p w14:paraId="64A5905E">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82" w:type="dxa"/>
            <w:tcBorders>
              <w:top w:val="single" w:color="000000" w:sz="4" w:space="0"/>
              <w:left w:val="single" w:color="000000" w:sz="4" w:space="0"/>
              <w:bottom w:val="single" w:color="000000" w:sz="4" w:space="0"/>
              <w:right w:val="single" w:color="000000" w:sz="4" w:space="0"/>
            </w:tcBorders>
            <w:noWrap w:val="0"/>
            <w:vAlign w:val="top"/>
          </w:tcPr>
          <w:p w14:paraId="111F583F">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r>
      <w:tr w14:paraId="6B042AB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5E5F591E">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260" w:type="dxa"/>
            <w:tcBorders>
              <w:top w:val="single" w:color="000000" w:sz="4" w:space="0"/>
              <w:left w:val="single" w:color="000000" w:sz="4" w:space="0"/>
              <w:bottom w:val="single" w:color="000000" w:sz="4" w:space="0"/>
              <w:right w:val="single" w:color="000000" w:sz="4" w:space="0"/>
            </w:tcBorders>
            <w:noWrap w:val="0"/>
            <w:vAlign w:val="top"/>
          </w:tcPr>
          <w:p w14:paraId="396E2D97">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080" w:type="dxa"/>
            <w:tcBorders>
              <w:top w:val="single" w:color="000000" w:sz="4" w:space="0"/>
              <w:left w:val="single" w:color="000000" w:sz="4" w:space="0"/>
              <w:bottom w:val="single" w:color="000000" w:sz="4" w:space="0"/>
              <w:right w:val="single" w:color="000000" w:sz="4" w:space="0"/>
            </w:tcBorders>
            <w:noWrap w:val="0"/>
            <w:vAlign w:val="top"/>
          </w:tcPr>
          <w:p w14:paraId="17AAACA1">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539" w:type="dxa"/>
            <w:tcBorders>
              <w:top w:val="single" w:color="000000" w:sz="4" w:space="0"/>
              <w:left w:val="single" w:color="000000" w:sz="4" w:space="0"/>
              <w:bottom w:val="single" w:color="000000" w:sz="4" w:space="0"/>
              <w:right w:val="single" w:color="000000" w:sz="4" w:space="0"/>
            </w:tcBorders>
            <w:noWrap w:val="0"/>
            <w:vAlign w:val="top"/>
          </w:tcPr>
          <w:p w14:paraId="00F009E3">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90" w:type="dxa"/>
            <w:tcBorders>
              <w:top w:val="single" w:color="000000" w:sz="4" w:space="0"/>
              <w:left w:val="single" w:color="000000" w:sz="4" w:space="0"/>
              <w:bottom w:val="single" w:color="000000" w:sz="4" w:space="0"/>
              <w:right w:val="single" w:color="000000" w:sz="4" w:space="0"/>
            </w:tcBorders>
            <w:noWrap w:val="0"/>
            <w:vAlign w:val="top"/>
          </w:tcPr>
          <w:p w14:paraId="580BD299">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978" w:type="dxa"/>
            <w:tcBorders>
              <w:top w:val="single" w:color="000000" w:sz="4" w:space="0"/>
              <w:left w:val="single" w:color="000000" w:sz="4" w:space="0"/>
              <w:bottom w:val="single" w:color="000000" w:sz="4" w:space="0"/>
              <w:right w:val="single" w:color="000000" w:sz="4" w:space="0"/>
            </w:tcBorders>
            <w:noWrap w:val="0"/>
            <w:vAlign w:val="top"/>
          </w:tcPr>
          <w:p w14:paraId="14490A53">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82" w:type="dxa"/>
            <w:tcBorders>
              <w:top w:val="single" w:color="000000" w:sz="4" w:space="0"/>
              <w:left w:val="single" w:color="000000" w:sz="4" w:space="0"/>
              <w:bottom w:val="single" w:color="000000" w:sz="4" w:space="0"/>
              <w:right w:val="single" w:color="000000" w:sz="4" w:space="0"/>
            </w:tcBorders>
            <w:noWrap w:val="0"/>
            <w:vAlign w:val="top"/>
          </w:tcPr>
          <w:p w14:paraId="09ECDC90">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r>
      <w:tr w14:paraId="7678F57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37F20531">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260" w:type="dxa"/>
            <w:tcBorders>
              <w:top w:val="single" w:color="000000" w:sz="4" w:space="0"/>
              <w:left w:val="single" w:color="000000" w:sz="4" w:space="0"/>
              <w:bottom w:val="single" w:color="000000" w:sz="4" w:space="0"/>
              <w:right w:val="single" w:color="000000" w:sz="4" w:space="0"/>
            </w:tcBorders>
            <w:noWrap w:val="0"/>
            <w:vAlign w:val="top"/>
          </w:tcPr>
          <w:p w14:paraId="49F476F8">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080" w:type="dxa"/>
            <w:tcBorders>
              <w:top w:val="single" w:color="000000" w:sz="4" w:space="0"/>
              <w:left w:val="single" w:color="000000" w:sz="4" w:space="0"/>
              <w:bottom w:val="single" w:color="000000" w:sz="4" w:space="0"/>
              <w:right w:val="single" w:color="000000" w:sz="4" w:space="0"/>
            </w:tcBorders>
            <w:noWrap w:val="0"/>
            <w:vAlign w:val="top"/>
          </w:tcPr>
          <w:p w14:paraId="0DE2CC81">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539" w:type="dxa"/>
            <w:tcBorders>
              <w:top w:val="single" w:color="000000" w:sz="4" w:space="0"/>
              <w:left w:val="single" w:color="000000" w:sz="4" w:space="0"/>
              <w:bottom w:val="single" w:color="000000" w:sz="4" w:space="0"/>
              <w:right w:val="single" w:color="000000" w:sz="4" w:space="0"/>
            </w:tcBorders>
            <w:noWrap w:val="0"/>
            <w:vAlign w:val="top"/>
          </w:tcPr>
          <w:p w14:paraId="7089DFD4">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90" w:type="dxa"/>
            <w:tcBorders>
              <w:top w:val="single" w:color="000000" w:sz="4" w:space="0"/>
              <w:left w:val="single" w:color="000000" w:sz="4" w:space="0"/>
              <w:bottom w:val="single" w:color="000000" w:sz="4" w:space="0"/>
              <w:right w:val="single" w:color="000000" w:sz="4" w:space="0"/>
            </w:tcBorders>
            <w:noWrap w:val="0"/>
            <w:vAlign w:val="top"/>
          </w:tcPr>
          <w:p w14:paraId="349B327F">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978" w:type="dxa"/>
            <w:tcBorders>
              <w:top w:val="single" w:color="000000" w:sz="4" w:space="0"/>
              <w:left w:val="single" w:color="000000" w:sz="4" w:space="0"/>
              <w:bottom w:val="single" w:color="000000" w:sz="4" w:space="0"/>
              <w:right w:val="single" w:color="000000" w:sz="4" w:space="0"/>
            </w:tcBorders>
            <w:noWrap w:val="0"/>
            <w:vAlign w:val="top"/>
          </w:tcPr>
          <w:p w14:paraId="35CAACDE">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1182" w:type="dxa"/>
            <w:tcBorders>
              <w:top w:val="single" w:color="000000" w:sz="4" w:space="0"/>
              <w:left w:val="single" w:color="000000" w:sz="4" w:space="0"/>
              <w:bottom w:val="single" w:color="000000" w:sz="4" w:space="0"/>
              <w:right w:val="single" w:color="000000" w:sz="4" w:space="0"/>
            </w:tcBorders>
            <w:noWrap w:val="0"/>
            <w:vAlign w:val="top"/>
          </w:tcPr>
          <w:p w14:paraId="40053B62">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r>
    </w:tbl>
    <w:p w14:paraId="7FF8359E">
      <w:pPr>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zh-CN"/>
        </w:rPr>
        <w:t>注：1、执业资格为注册造价工程师。职称为高、中、初级工程师。</w:t>
      </w:r>
    </w:p>
    <w:p w14:paraId="378D87B0">
      <w:pPr>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rPr>
        <w:t>2</w:t>
      </w:r>
      <w:r>
        <w:rPr>
          <w:rFonts w:hint="eastAsia" w:ascii="宋体" w:hAnsi="宋体" w:eastAsia="宋体" w:cs="宋体"/>
          <w:color w:val="auto"/>
          <w:sz w:val="28"/>
          <w:szCs w:val="28"/>
          <w:highlight w:val="none"/>
          <w:shd w:val="clear" w:color="auto" w:fill="auto"/>
          <w:lang w:val="zh-CN"/>
        </w:rPr>
        <w:t>、必须填入投标文件中所登记的相关人员，项目实施过程以上人员不能到位，须按要求办理人员变更手续。</w:t>
      </w:r>
    </w:p>
    <w:p w14:paraId="3ECCB189">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6F280CCA">
      <w:pPr>
        <w:pStyle w:val="18"/>
        <w:pageBreakBefore w:val="0"/>
        <w:kinsoku/>
        <w:wordWrap/>
        <w:overflowPunct/>
        <w:topLinePunct w:val="0"/>
        <w:bidi w:val="0"/>
        <w:spacing w:after="0" w:line="540" w:lineRule="exact"/>
        <w:ind w:firstLine="54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14:paraId="4970131D">
      <w:pPr>
        <w:pStyle w:val="6"/>
        <w:pageBreakBefore w:val="0"/>
        <w:kinsoku/>
        <w:wordWrap/>
        <w:overflowPunct/>
        <w:topLinePunct w:val="0"/>
        <w:bidi w:val="0"/>
        <w:spacing w:before="0" w:after="0" w:line="540" w:lineRule="exact"/>
        <w:ind w:firstLine="137"/>
        <w:rPr>
          <w:rFonts w:hint="eastAsia" w:ascii="宋体" w:hAnsi="宋体" w:eastAsia="宋体" w:cs="宋体"/>
          <w:color w:val="auto"/>
          <w:sz w:val="28"/>
          <w:szCs w:val="28"/>
          <w:highlight w:val="none"/>
          <w:shd w:val="clear" w:color="auto" w:fill="auto"/>
        </w:rPr>
      </w:pPr>
      <w:bookmarkStart w:id="24" w:name="_Toc30584"/>
      <w:bookmarkStart w:id="25" w:name="_Toc22710"/>
      <w:r>
        <w:rPr>
          <w:rFonts w:hint="eastAsia" w:ascii="宋体" w:hAnsi="宋体" w:eastAsia="宋体" w:cs="宋体"/>
          <w:color w:val="auto"/>
          <w:sz w:val="28"/>
          <w:szCs w:val="28"/>
          <w:highlight w:val="none"/>
          <w:shd w:val="clear" w:color="auto" w:fill="auto"/>
        </w:rPr>
        <w:t>附件三：廉洁协议书</w:t>
      </w:r>
      <w:bookmarkEnd w:id="24"/>
      <w:bookmarkEnd w:id="25"/>
    </w:p>
    <w:p w14:paraId="774906D1">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廉洁协议书</w:t>
      </w:r>
    </w:p>
    <w:p w14:paraId="63932EC7">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p w14:paraId="6A522ACC">
      <w:pPr>
        <w:pageBreakBefore w:val="0"/>
        <w:kinsoku/>
        <w:wordWrap/>
        <w:overflowPunct/>
        <w:topLinePunct w:val="0"/>
        <w:bidi w:val="0"/>
        <w:spacing w:line="540" w:lineRule="exact"/>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项目名称：</w:t>
      </w:r>
      <w:r>
        <w:rPr>
          <w:rFonts w:hint="eastAsia" w:ascii="宋体" w:hAnsi="宋体" w:eastAsia="宋体" w:cs="宋体"/>
          <w:color w:val="auto"/>
          <w:sz w:val="28"/>
          <w:szCs w:val="28"/>
          <w:highlight w:val="none"/>
          <w:u w:val="single"/>
          <w:shd w:val="clear" w:color="auto" w:fill="auto"/>
        </w:rPr>
        <w:t xml:space="preserve">                           </w:t>
      </w:r>
    </w:p>
    <w:p w14:paraId="483709C9">
      <w:pPr>
        <w:pageBreakBefore w:val="0"/>
        <w:kinsoku/>
        <w:wordWrap/>
        <w:overflowPunct/>
        <w:topLinePunct w:val="0"/>
        <w:bidi w:val="0"/>
        <w:spacing w:line="540" w:lineRule="exact"/>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委托人（甲方）：</w:t>
      </w:r>
      <w:r>
        <w:rPr>
          <w:rFonts w:hint="eastAsia" w:ascii="宋体" w:hAnsi="宋体" w:eastAsia="宋体" w:cs="宋体"/>
          <w:color w:val="auto"/>
          <w:sz w:val="28"/>
          <w:szCs w:val="28"/>
          <w:highlight w:val="none"/>
          <w:u w:val="single"/>
          <w:shd w:val="clear" w:color="auto" w:fill="auto"/>
        </w:rPr>
        <w:t xml:space="preserve">                       </w:t>
      </w:r>
    </w:p>
    <w:p w14:paraId="7CDAED67">
      <w:pPr>
        <w:pageBreakBefore w:val="0"/>
        <w:kinsoku/>
        <w:wordWrap/>
        <w:overflowPunct/>
        <w:topLinePunct w:val="0"/>
        <w:bidi w:val="0"/>
        <w:spacing w:line="540" w:lineRule="exact"/>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咨询人（乙方）：</w:t>
      </w:r>
      <w:r>
        <w:rPr>
          <w:rFonts w:hint="eastAsia" w:ascii="宋体" w:hAnsi="宋体" w:eastAsia="宋体" w:cs="宋体"/>
          <w:color w:val="auto"/>
          <w:sz w:val="28"/>
          <w:szCs w:val="28"/>
          <w:highlight w:val="none"/>
          <w:u w:val="single"/>
          <w:shd w:val="clear" w:color="auto" w:fill="auto"/>
        </w:rPr>
        <w:t xml:space="preserve">                       </w:t>
      </w:r>
    </w:p>
    <w:p w14:paraId="09B1F940">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为了增强甲乙双方依法经营、廉洁从业意识，完善自我约束、自我监督机制，营造守法诚信、廉洁高效的工作环境，防止发生违法违纪行为，保护国家、集体和当事人的合法权益，根据国家有关法律法规和廉洁自律规定，特订立本廉洁协议书：</w:t>
      </w:r>
    </w:p>
    <w:p w14:paraId="77FBCAF9">
      <w:pPr>
        <w:pageBreakBefore w:val="0"/>
        <w:kinsoku/>
        <w:wordWrap/>
        <w:overflowPunct/>
        <w:topLinePunct w:val="0"/>
        <w:autoSpaceDE w:val="0"/>
        <w:autoSpaceDN w:val="0"/>
        <w:bidi w:val="0"/>
        <w:spacing w:line="540" w:lineRule="exact"/>
        <w:ind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第一条 甲、乙双方的共同责任</w:t>
      </w:r>
    </w:p>
    <w:p w14:paraId="0592A9A8">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（一）严格遵守国家关于市场准入、招标投标、工程建设、物资采购等市场经济活动的法律法规、政策以及廉洁建设规定。</w:t>
      </w:r>
    </w:p>
    <w:p w14:paraId="639B798B">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（二）严格履行合同约定，自觉承担合同义务。</w:t>
      </w:r>
    </w:p>
    <w:p w14:paraId="189C6519">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（三）业务活动必须坚持公平、公正、公开和诚实守信的原则（除法律法规另有规定者外），不得为获取不正当利益，损害国家、集体和对方利益，不违反招标投标、工程建设管理、物资采购等方面的规章制度。</w:t>
      </w:r>
    </w:p>
    <w:p w14:paraId="2C33CA42">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（四）建立健全自我制约制度，开展廉洁教育，公布举报方式，监督并认真查处违法违纪行为。</w:t>
      </w:r>
    </w:p>
    <w:p w14:paraId="211EBABE">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（五）发现对方在业务活动中有违规、违纪、违法行为的，应及时提醒对方，情节严重的，应向有关纪检监察部门举报。</w:t>
      </w:r>
    </w:p>
    <w:p w14:paraId="45E9EE51">
      <w:pPr>
        <w:pageBreakBefore w:val="0"/>
        <w:kinsoku/>
        <w:wordWrap/>
        <w:overflowPunct/>
        <w:topLinePunct w:val="0"/>
        <w:autoSpaceDE w:val="0"/>
        <w:autoSpaceDN w:val="0"/>
        <w:bidi w:val="0"/>
        <w:spacing w:line="540" w:lineRule="exact"/>
        <w:ind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第二条 甲方的责任</w:t>
      </w:r>
    </w:p>
    <w:p w14:paraId="078FFA12">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甲方相关工作人员，在业务活动的事前、事中、事后，应遵守以下规定：</w:t>
      </w:r>
    </w:p>
    <w:p w14:paraId="574DDDE5">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（一）贯彻落实中国南方电网有限责任公司有关党风廉政建设责任制及廉洁从业的规定，建立企业诚信档案； </w:t>
      </w:r>
    </w:p>
    <w:p w14:paraId="1D5F1B3E">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（二）按照公平、公正、公开和诚实守信的原则开展各项业务活动，为乙方提供公平的竞争环境与平台； </w:t>
      </w:r>
    </w:p>
    <w:p w14:paraId="11EAE5E0">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（三）不准向乙方泄漏涉及有关业务活动的秘密； </w:t>
      </w:r>
    </w:p>
    <w:p w14:paraId="212D8A95">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（四）不准向乙方和相关单位索要或接受回扣、红包、礼金、购物卡、有价证券、贵重物品和好处费、感谢费等； </w:t>
      </w:r>
    </w:p>
    <w:p w14:paraId="259E989E">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（五）不准在乙方和相关单位报销任何应由甲方或个人支付的费用；</w:t>
      </w:r>
    </w:p>
    <w:p w14:paraId="35619A3B">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（六）不准要求、暗示或接受乙方和相关单位为个人装修住房、婚丧嫁娶、配偶子女的工作安排以及境内外旅游等提供方便；</w:t>
      </w:r>
    </w:p>
    <w:p w14:paraId="2E0A697A">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（七）不准向乙方介绍配偶、子女、亲属参与与甲方有关的经济活动，不得以任何理由向乙方和相关单位推荐第三方单位；</w:t>
      </w:r>
    </w:p>
    <w:p w14:paraId="0B14B797">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（八）不准参与影响相关工作正常和公正开展的其他活动；</w:t>
      </w:r>
    </w:p>
    <w:p w14:paraId="5B55919C">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（九）不准违反《中共中央纪委关于严格禁止利用职务上的便利谋取不正当利益的若干规定》的内容。</w:t>
      </w:r>
    </w:p>
    <w:p w14:paraId="6EA52134">
      <w:pPr>
        <w:pageBreakBefore w:val="0"/>
        <w:kinsoku/>
        <w:wordWrap/>
        <w:overflowPunct/>
        <w:topLinePunct w:val="0"/>
        <w:autoSpaceDE w:val="0"/>
        <w:autoSpaceDN w:val="0"/>
        <w:bidi w:val="0"/>
        <w:spacing w:line="540" w:lineRule="exact"/>
        <w:ind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第三条 乙方的责任</w:t>
      </w:r>
    </w:p>
    <w:p w14:paraId="26E9F739">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在与甲方业务交往过程中，按照有关法律法规和程序开展工作，严格执行国家的有关方针、政策，并遵守以下规定：</w:t>
      </w:r>
    </w:p>
    <w:p w14:paraId="0A288A8A">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（一）不准以任何理由为甲方和相关单位报销应由对方或个人支付的费用；</w:t>
      </w:r>
    </w:p>
    <w:p w14:paraId="4A0D7102">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（二）不准以任何理由向甲方负责人及其工作人员赠送回扣、红包、礼金、购物卡、有价证券、贵重物品和好处费、感谢费等；</w:t>
      </w:r>
    </w:p>
    <w:p w14:paraId="58A67F6F">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（三）不准以任何理由为甲方、与甲方相关的单位或个人提供高消费宴请及娱乐活动；</w:t>
      </w:r>
    </w:p>
    <w:p w14:paraId="294C249F">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（四）不准以任何理由为甲方、与甲方相关的单位或个人购置或提供通讯工具、交通工具和高档办公用品；</w:t>
      </w:r>
    </w:p>
    <w:p w14:paraId="62FAA824">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（五）不准接受或暗示为甲方、与甲方相关的单位或个人装修住房、婚丧嫁取、配偶子女的工作安排以及境内外旅游等提供方便；</w:t>
      </w:r>
    </w:p>
    <w:p w14:paraId="16EADFF0">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（六）不准以谋取非正当利益为目的，擅自与甲方工作人员就业务问题进行私下商谈或者达成利益默契；</w:t>
      </w:r>
    </w:p>
    <w:p w14:paraId="3C91AF87">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（七）发现甲方工作人员有违反本廉洁协议书规定的，应向甲方单位举报。</w:t>
      </w:r>
      <w:r>
        <w:rPr>
          <w:rFonts w:hint="eastAsia" w:ascii="宋体" w:hAnsi="宋体" w:cs="宋体"/>
          <w:color w:val="auto"/>
          <w:sz w:val="28"/>
          <w:szCs w:val="28"/>
          <w:highlight w:val="none"/>
          <w:shd w:val="clear" w:color="auto" w:fill="auto"/>
          <w:lang w:val="en-US" w:eastAsia="zh-CN"/>
        </w:rPr>
        <w:t>中国</w:t>
      </w:r>
      <w:r>
        <w:rPr>
          <w:rFonts w:hint="eastAsia" w:ascii="宋体" w:hAnsi="宋体" w:eastAsia="宋体" w:cs="宋体"/>
          <w:color w:val="auto"/>
          <w:sz w:val="28"/>
          <w:szCs w:val="28"/>
          <w:highlight w:val="none"/>
          <w:u w:val="single"/>
          <w:shd w:val="clear" w:color="auto" w:fill="auto"/>
        </w:rPr>
        <w:t>南方电网</w:t>
      </w:r>
      <w:r>
        <w:rPr>
          <w:rFonts w:hint="eastAsia" w:ascii="宋体" w:hAnsi="宋体" w:cs="宋体"/>
          <w:color w:val="auto"/>
          <w:sz w:val="28"/>
          <w:szCs w:val="28"/>
          <w:highlight w:val="none"/>
          <w:u w:val="single"/>
          <w:shd w:val="clear" w:color="auto" w:fill="auto"/>
          <w:lang w:val="en-US" w:eastAsia="zh-CN"/>
        </w:rPr>
        <w:t>有限责任</w:t>
      </w:r>
      <w:r>
        <w:rPr>
          <w:rFonts w:hint="eastAsia" w:ascii="宋体" w:hAnsi="宋体" w:eastAsia="宋体" w:cs="宋体"/>
          <w:color w:val="auto"/>
          <w:sz w:val="28"/>
          <w:szCs w:val="28"/>
          <w:highlight w:val="none"/>
          <w:u w:val="single"/>
          <w:shd w:val="clear" w:color="auto" w:fill="auto"/>
        </w:rPr>
        <w:t>公司（或XX电网公司、XX供电局）</w:t>
      </w:r>
      <w:r>
        <w:rPr>
          <w:rFonts w:hint="eastAsia" w:ascii="宋体" w:hAnsi="宋体" w:cs="宋体"/>
          <w:color w:val="auto"/>
          <w:sz w:val="28"/>
          <w:szCs w:val="28"/>
          <w:highlight w:val="none"/>
          <w:u w:val="single"/>
          <w:shd w:val="clear" w:color="auto" w:fill="auto"/>
          <w:lang w:val="en-US" w:eastAsia="zh-CN"/>
        </w:rPr>
        <w:t>受理部门：</w:t>
      </w:r>
      <w:r>
        <w:rPr>
          <w:rFonts w:hint="eastAsia" w:ascii="宋体" w:hAnsi="宋体" w:eastAsia="宋体" w:cs="宋体"/>
          <w:color w:val="auto"/>
          <w:sz w:val="28"/>
          <w:szCs w:val="28"/>
          <w:highlight w:val="none"/>
          <w:u w:val="single"/>
          <w:shd w:val="clear" w:color="auto" w:fill="auto"/>
        </w:rPr>
        <w:t>纪检监察部门。通讯地址：     ，邮政编码：     ；举报网站(邮箱)：     。</w:t>
      </w:r>
    </w:p>
    <w:p w14:paraId="779FF7FF">
      <w:pPr>
        <w:pageBreakBefore w:val="0"/>
        <w:kinsoku/>
        <w:wordWrap/>
        <w:overflowPunct/>
        <w:topLinePunct w:val="0"/>
        <w:autoSpaceDE w:val="0"/>
        <w:autoSpaceDN w:val="0"/>
        <w:bidi w:val="0"/>
        <w:spacing w:line="540" w:lineRule="exact"/>
        <w:ind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第四条 相关责任</w:t>
      </w:r>
    </w:p>
    <w:p w14:paraId="6A4EE82A">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甲方有违反本廉洁协议书第一、二条规定的，严格按照管理权限，依据有关法律法规和规章制度给予纪律处分或组织处理；涉嫌犯罪的，移送司法机关依法追究刑事责任；给乙方单位造成经济损失的，应依法予以赔偿。</w:t>
      </w:r>
    </w:p>
    <w:p w14:paraId="2DD3A105">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（二）乙方违反本廉洁协议书第一、三条规定的，根据国家和南方电网公司招投标等有关规定，对乙方进行处理；涉嫌犯罪的，移送司法机关依法追究刑事责任；给甲方单位造成经济损失的，应依法予以赔偿。</w:t>
      </w:r>
    </w:p>
    <w:p w14:paraId="23661C54">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乙方违反本廉洁协议书第一、三条规定，发生行贿行为，经政府有关执纪执法部门或甲方纪检监察机构查证属实，甲方根据《中国南方电网有限责任公司供应商行贿行为信息记录及处置办法》（已在电子商务平台公布）及其它有关规定，视情节轻重对乙方实施一定期限的市场禁入。乙方的委托人、代理人或与乙方有销售、劳务或服务关系的其他主体在参加南方电网公司系统的招投标活动或经济往来等过程中发生行贿行为的，视同乙方单位行为。</w:t>
      </w:r>
    </w:p>
    <w:p w14:paraId="545430DA">
      <w:pPr>
        <w:pageBreakBefore w:val="0"/>
        <w:kinsoku/>
        <w:wordWrap/>
        <w:overflowPunct/>
        <w:topLinePunct w:val="0"/>
        <w:autoSpaceDE w:val="0"/>
        <w:autoSpaceDN w:val="0"/>
        <w:bidi w:val="0"/>
        <w:spacing w:line="540" w:lineRule="exact"/>
        <w:ind w:firstLine="562"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第五条 协议书生效及法律效力</w:t>
      </w:r>
    </w:p>
    <w:p w14:paraId="3B5EA162">
      <w:pPr>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（一）本廉洁协议书作为合同的附件，与合同具有同等法律效力，</w:t>
      </w:r>
      <w:r>
        <w:rPr>
          <w:rFonts w:hint="eastAsia" w:ascii="宋体" w:hAnsi="宋体" w:cs="宋体"/>
          <w:color w:val="auto"/>
          <w:sz w:val="28"/>
          <w:szCs w:val="28"/>
          <w:highlight w:val="none"/>
          <w:shd w:val="clear" w:color="auto" w:fill="auto"/>
          <w:lang w:val="en-US" w:eastAsia="zh-CN"/>
        </w:rPr>
        <w:t>与合同同时</w:t>
      </w:r>
      <w:r>
        <w:rPr>
          <w:rFonts w:hint="eastAsia" w:ascii="宋体" w:hAnsi="宋体" w:cs="宋体"/>
          <w:color w:val="auto"/>
          <w:sz w:val="28"/>
          <w:szCs w:val="28"/>
          <w:highlight w:val="none"/>
          <w:shd w:val="clear" w:color="auto" w:fill="auto"/>
        </w:rPr>
        <w:t>生效</w:t>
      </w:r>
      <w:r>
        <w:rPr>
          <w:rFonts w:hint="eastAsia" w:ascii="宋体" w:hAnsi="宋体" w:eastAsia="宋体" w:cs="宋体"/>
          <w:color w:val="auto"/>
          <w:sz w:val="28"/>
          <w:szCs w:val="28"/>
          <w:highlight w:val="none"/>
          <w:shd w:val="clear" w:color="auto" w:fill="auto"/>
          <w:lang w:eastAsia="zh-CN"/>
        </w:rPr>
        <w:t>。</w:t>
      </w:r>
    </w:p>
    <w:p w14:paraId="441529C4">
      <w:pPr>
        <w:pageBreakBefore w:val="0"/>
        <w:kinsoku/>
        <w:wordWrap/>
        <w:overflowPunct/>
        <w:topLinePunct w:val="0"/>
        <w:autoSpaceDE w:val="0"/>
        <w:autoSpaceDN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（二）除非甲乙双方另行签订新的廉洁协议书，否则本廉洁协议书在甲方与乙方存在业务关系期间均对双方产生约束力。</w:t>
      </w:r>
    </w:p>
    <w:p w14:paraId="6D948D3E">
      <w:pPr>
        <w:pageBreakBefore w:val="0"/>
        <w:kinsoku/>
        <w:wordWrap/>
        <w:overflowPunct/>
        <w:topLinePunct w:val="0"/>
        <w:autoSpaceDE w:val="0"/>
        <w:autoSpaceDN w:val="0"/>
        <w:bidi w:val="0"/>
        <w:spacing w:line="540" w:lineRule="exact"/>
        <w:ind w:firstLine="562" w:firstLineChars="200"/>
        <w:rPr>
          <w:rFonts w:hint="eastAsia" w:ascii="宋体" w:hAnsi="宋体" w:eastAsia="宋体" w:cs="宋体"/>
          <w:b/>
          <w:color w:val="auto"/>
          <w:sz w:val="28"/>
          <w:szCs w:val="28"/>
          <w:highlight w:val="none"/>
          <w:shd w:val="clear" w:color="auto" w:fill="auto"/>
          <w:lang w:eastAsia="zh-CN"/>
        </w:rPr>
      </w:pPr>
      <w:r>
        <w:rPr>
          <w:rFonts w:hint="eastAsia" w:ascii="宋体" w:hAnsi="宋体" w:eastAsia="宋体" w:cs="宋体"/>
          <w:b/>
          <w:bCs/>
          <w:color w:val="auto"/>
          <w:sz w:val="28"/>
          <w:szCs w:val="28"/>
          <w:highlight w:val="none"/>
          <w:shd w:val="clear" w:color="auto" w:fill="auto"/>
        </w:rPr>
        <w:t>甲乙双方确认对</w:t>
      </w:r>
      <w:r>
        <w:rPr>
          <w:rFonts w:hint="eastAsia" w:ascii="宋体" w:hAnsi="宋体" w:cs="宋体"/>
          <w:b/>
          <w:bCs/>
          <w:color w:val="auto"/>
          <w:sz w:val="28"/>
          <w:szCs w:val="28"/>
          <w:highlight w:val="none"/>
          <w:shd w:val="clear" w:color="auto" w:fill="auto"/>
          <w:lang w:val="en-US" w:eastAsia="zh-CN"/>
        </w:rPr>
        <w:t>违反</w:t>
      </w:r>
      <w:r>
        <w:rPr>
          <w:rFonts w:hint="eastAsia" w:ascii="宋体" w:hAnsi="宋体" w:eastAsia="宋体" w:cs="宋体"/>
          <w:b/>
          <w:bCs/>
          <w:color w:val="auto"/>
          <w:sz w:val="28"/>
          <w:szCs w:val="28"/>
          <w:highlight w:val="none"/>
          <w:shd w:val="clear" w:color="auto" w:fill="auto"/>
        </w:rPr>
        <w:t>本廉洁协议书所产生的法律责任已清楚知悉并承诺遵守。</w:t>
      </w:r>
      <w:r>
        <w:rPr>
          <w:rFonts w:hint="eastAsia" w:ascii="宋体" w:hAnsi="宋体" w:eastAsia="宋体" w:cs="宋体"/>
          <w:b/>
          <w:color w:val="auto"/>
          <w:sz w:val="28"/>
          <w:szCs w:val="28"/>
          <w:highlight w:val="none"/>
          <w:shd w:val="clear" w:color="auto" w:fill="auto"/>
        </w:rPr>
        <w:t>本协议与本咨询合同为一整体合同文件</w:t>
      </w:r>
      <w:r>
        <w:rPr>
          <w:rFonts w:hint="eastAsia" w:ascii="宋体" w:hAnsi="宋体" w:cs="宋体"/>
          <w:b/>
          <w:color w:val="auto"/>
          <w:sz w:val="28"/>
          <w:szCs w:val="28"/>
          <w:highlight w:val="none"/>
          <w:shd w:val="clear" w:color="auto" w:fill="auto"/>
          <w:lang w:eastAsia="zh-CN"/>
        </w:rPr>
        <w:t>。</w:t>
      </w:r>
    </w:p>
    <w:p w14:paraId="245BB291">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14:paraId="1D5009EA">
      <w:pPr>
        <w:pStyle w:val="6"/>
        <w:pageBreakBefore w:val="0"/>
        <w:kinsoku/>
        <w:wordWrap/>
        <w:overflowPunct/>
        <w:topLinePunct w:val="0"/>
        <w:bidi w:val="0"/>
        <w:spacing w:before="0" w:after="0" w:line="540" w:lineRule="exact"/>
        <w:ind w:firstLine="137"/>
        <w:rPr>
          <w:rFonts w:hint="eastAsia" w:ascii="宋体" w:hAnsi="宋体" w:eastAsia="宋体" w:cs="宋体"/>
          <w:color w:val="auto"/>
          <w:sz w:val="28"/>
          <w:szCs w:val="28"/>
          <w:highlight w:val="none"/>
          <w:shd w:val="clear" w:color="auto" w:fill="auto"/>
        </w:rPr>
      </w:pPr>
      <w:bookmarkStart w:id="26" w:name="_Toc21711"/>
      <w:bookmarkStart w:id="27" w:name="_Toc15203"/>
      <w:r>
        <w:rPr>
          <w:rFonts w:hint="eastAsia" w:ascii="宋体" w:hAnsi="宋体" w:eastAsia="宋体" w:cs="宋体"/>
          <w:color w:val="auto"/>
          <w:sz w:val="28"/>
          <w:szCs w:val="28"/>
          <w:highlight w:val="none"/>
          <w:shd w:val="clear" w:color="auto" w:fill="auto"/>
        </w:rPr>
        <w:t>附件四：履约担保格式</w:t>
      </w:r>
      <w:bookmarkEnd w:id="0"/>
      <w:bookmarkEnd w:id="26"/>
      <w:bookmarkEnd w:id="27"/>
      <w:r>
        <w:rPr>
          <w:rFonts w:hint="eastAsia" w:ascii="宋体" w:hAnsi="宋体" w:eastAsia="宋体" w:cs="宋体"/>
          <w:color w:val="auto"/>
          <w:sz w:val="28"/>
          <w:szCs w:val="28"/>
          <w:highlight w:val="none"/>
          <w:shd w:val="clear" w:color="auto" w:fill="auto"/>
        </w:rPr>
        <w:t>（担保的形式包括银行提供的保函、央企财务公司提供的保函、保险公司提供的国家认可的具有法律效力的保险等，格式自定）</w:t>
      </w:r>
    </w:p>
    <w:p w14:paraId="0EE0357A">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如采用银行保函，格式如下。</w:t>
      </w:r>
    </w:p>
    <w:p w14:paraId="3E08BC39">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履约保证金</w:t>
      </w:r>
    </w:p>
    <w:p w14:paraId="6E416225">
      <w:pPr>
        <w:pageBreakBefore w:val="0"/>
        <w:kinsoku/>
        <w:wordWrap/>
        <w:overflowPunct/>
        <w:topLinePunct w:val="0"/>
        <w:bidi w:val="0"/>
        <w:spacing w:line="540" w:lineRule="exact"/>
        <w:rPr>
          <w:rFonts w:hint="eastAsia" w:ascii="宋体" w:hAnsi="宋体" w:eastAsia="宋体" w:cs="宋体"/>
          <w:color w:val="auto"/>
          <w:sz w:val="28"/>
          <w:szCs w:val="28"/>
          <w:highlight w:val="none"/>
          <w:u w:val="single"/>
          <w:shd w:val="clear" w:color="auto" w:fill="auto"/>
        </w:rPr>
      </w:pPr>
    </w:p>
    <w:bookmarkEnd w:id="1"/>
    <w:bookmarkEnd w:id="2"/>
    <w:bookmarkEnd w:id="3"/>
    <w:bookmarkEnd w:id="4"/>
    <w:p w14:paraId="21802C14">
      <w:pPr>
        <w:pageBreakBefore w:val="0"/>
        <w:kinsoku/>
        <w:wordWrap/>
        <w:overflowPunct/>
        <w:topLinePunct w:val="0"/>
        <w:bidi w:val="0"/>
        <w:spacing w:line="540" w:lineRule="exact"/>
        <w:ind w:right="420"/>
        <w:jc w:val="center"/>
        <w:rPr>
          <w:rFonts w:hint="eastAsia" w:ascii="宋体" w:hAnsi="宋体" w:eastAsia="宋体" w:cs="宋体"/>
          <w:color w:val="auto"/>
          <w:sz w:val="28"/>
          <w:szCs w:val="28"/>
          <w:highlight w:val="none"/>
          <w:shd w:val="clear" w:color="auto" w:fill="auto"/>
        </w:rPr>
      </w:pPr>
      <w:bookmarkStart w:id="28" w:name="_Toc144974829"/>
      <w:bookmarkStart w:id="29" w:name="_Toc246997081"/>
      <w:bookmarkStart w:id="30" w:name="_Toc246996338"/>
      <w:bookmarkStart w:id="31" w:name="_Toc179632787"/>
      <w:bookmarkStart w:id="32" w:name="_Toc152042549"/>
      <w:bookmarkStart w:id="33" w:name="_Toc247085853"/>
      <w:r>
        <w:rPr>
          <w:rFonts w:hint="eastAsia" w:ascii="宋体" w:hAnsi="宋体" w:eastAsia="宋体" w:cs="宋体"/>
          <w:color w:val="auto"/>
          <w:sz w:val="28"/>
          <w:szCs w:val="28"/>
          <w:highlight w:val="none"/>
          <w:shd w:val="clear" w:color="auto" w:fill="auto"/>
        </w:rPr>
        <w:t xml:space="preserve">                                                     编号：</w:t>
      </w:r>
    </w:p>
    <w:p w14:paraId="0AB0FD2F">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致受益人（委托人）</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14:paraId="70646D8E">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因保函申请人</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与你方签订</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（合同或协议）编号</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，我行已接受保函申请人的请求，愿就保函申请人履行上述合同（或协议）约定的义务向你方提供如下保证：</w:t>
      </w:r>
    </w:p>
    <w:p w14:paraId="62EE38E4">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一、本保函担保的金额最高不超过(币种、金额大写)</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 xml:space="preserve">。    </w:t>
      </w:r>
    </w:p>
    <w:p w14:paraId="6E64040A">
      <w:pPr>
        <w:pageBreakBefore w:val="0"/>
        <w:kinsoku/>
        <w:wordWrap/>
        <w:overflowPunct/>
        <w:topLinePunct w:val="0"/>
        <w:bidi w:val="0"/>
        <w:spacing w:line="540" w:lineRule="exact"/>
        <w:ind w:firstLine="42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二、本保函担保的方式为连带责任保证。</w:t>
      </w:r>
    </w:p>
    <w:p w14:paraId="3BA707DF">
      <w:pPr>
        <w:pageBreakBefore w:val="0"/>
        <w:kinsoku/>
        <w:wordWrap/>
        <w:overflowPunct/>
        <w:topLinePunct w:val="0"/>
        <w:bidi w:val="0"/>
        <w:spacing w:line="540" w:lineRule="exact"/>
        <w:ind w:firstLine="42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三、本保函的保证期间自</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日至</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日。</w:t>
      </w:r>
    </w:p>
    <w:p w14:paraId="2B1FB9BE">
      <w:pPr>
        <w:pageBreakBefore w:val="0"/>
        <w:kinsoku/>
        <w:wordWrap/>
        <w:overflowPunct/>
        <w:topLinePunct w:val="0"/>
        <w:bidi w:val="0"/>
        <w:spacing w:line="540" w:lineRule="exact"/>
        <w:ind w:firstLine="42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四、在本保函的有效期内，如保函申请人违反上述合同或协议约定的义务，我行将在收到你方符合下列条件的索赔通知后</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个银行工作日内，凭本保函向你方支付本保函担保范围内你方索赔的金额：</w:t>
      </w:r>
    </w:p>
    <w:p w14:paraId="53F70156">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（一）你方的索赔通知必须以书面形式提出，索赔通知应由你方法定代表人（负责人）或授权代理人签字并加盖单位公章；</w:t>
      </w:r>
    </w:p>
    <w:p w14:paraId="1F193930">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（二）你方的索赔通知必须在本保函有效期内送达我行；</w:t>
      </w:r>
    </w:p>
    <w:p w14:paraId="306BCE9C">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（三）你方的索赔通知必须同时附有：</w:t>
      </w:r>
    </w:p>
    <w:p w14:paraId="277B9B05">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1.声明你方索赔的款额并未由保函申请人或其代理人以其他方式直接或间接地支付给你方。</w:t>
      </w:r>
    </w:p>
    <w:p w14:paraId="13A545E3">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五、本保函所附声明条款系本保函的不可撤销、不可变更的组成部分。</w:t>
      </w:r>
    </w:p>
    <w:p w14:paraId="40995FCE">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六、本保函自本行负责人或授权代理人签字并加盖公章之日起生效。</w:t>
      </w:r>
    </w:p>
    <w:p w14:paraId="7ED33DC6">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保证人（盖章）：</w:t>
      </w:r>
    </w:p>
    <w:p w14:paraId="55E3EAD8">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负责人或授权代理人（签字）：</w:t>
      </w:r>
    </w:p>
    <w:p w14:paraId="3D9A07B3">
      <w:pPr>
        <w:pageBreakBefore w:val="0"/>
        <w:kinsoku/>
        <w:wordWrap/>
        <w:overflowPunct/>
        <w:topLinePunct w:val="0"/>
        <w:autoSpaceDE w:val="0"/>
        <w:autoSpaceDN w:val="0"/>
        <w:bidi w:val="0"/>
        <w:spacing w:line="540" w:lineRule="exact"/>
        <w:ind w:firstLine="4620" w:firstLineChars="165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签发日期：</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日</w:t>
      </w:r>
    </w:p>
    <w:p w14:paraId="42316A4F">
      <w:pPr>
        <w:pageBreakBefore w:val="0"/>
        <w:kinsoku/>
        <w:wordWrap/>
        <w:overflowPunct/>
        <w:topLinePunct w:val="0"/>
        <w:autoSpaceDE w:val="0"/>
        <w:autoSpaceDN w:val="0"/>
        <w:bidi w:val="0"/>
        <w:spacing w:line="540" w:lineRule="exact"/>
        <w:ind w:firstLine="4620" w:firstLineChars="165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14:paraId="7C782684">
      <w:pPr>
        <w:pStyle w:val="6"/>
        <w:pageBreakBefore w:val="0"/>
        <w:kinsoku/>
        <w:wordWrap/>
        <w:overflowPunct/>
        <w:topLinePunct w:val="0"/>
        <w:bidi w:val="0"/>
        <w:spacing w:before="0" w:after="0" w:line="540" w:lineRule="exact"/>
        <w:ind w:firstLine="137"/>
        <w:rPr>
          <w:rFonts w:hint="eastAsia" w:ascii="宋体" w:hAnsi="宋体" w:eastAsia="宋体" w:cs="宋体"/>
          <w:color w:val="auto"/>
          <w:sz w:val="28"/>
          <w:szCs w:val="28"/>
          <w:highlight w:val="none"/>
          <w:shd w:val="clear" w:color="auto" w:fill="auto"/>
        </w:rPr>
      </w:pPr>
      <w:bookmarkStart w:id="34" w:name="_Toc24625"/>
      <w:bookmarkStart w:id="35" w:name="_Toc27432"/>
      <w:r>
        <w:rPr>
          <w:rFonts w:hint="eastAsia" w:ascii="宋体" w:hAnsi="宋体" w:eastAsia="宋体" w:cs="宋体"/>
          <w:color w:val="auto"/>
          <w:sz w:val="28"/>
          <w:szCs w:val="28"/>
          <w:highlight w:val="none"/>
          <w:shd w:val="clear" w:color="auto" w:fill="auto"/>
        </w:rPr>
        <w:t>附件五：管理规范和技术（规范）标准</w:t>
      </w:r>
      <w:bookmarkEnd w:id="34"/>
      <w:bookmarkEnd w:id="35"/>
    </w:p>
    <w:p w14:paraId="19446E5A">
      <w:pPr>
        <w:pStyle w:val="22"/>
        <w:pageBreakBefore w:val="0"/>
        <w:kinsoku/>
        <w:wordWrap/>
        <w:overflowPunct/>
        <w:topLinePunct w:val="0"/>
        <w:bidi w:val="0"/>
        <w:spacing w:line="540" w:lineRule="exact"/>
        <w:jc w:val="center"/>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tab/>
      </w:r>
      <w:r>
        <w:rPr>
          <w:rFonts w:hint="eastAsia" w:ascii="宋体" w:hAnsi="宋体" w:eastAsia="宋体" w:cs="宋体"/>
          <w:b/>
          <w:color w:val="auto"/>
          <w:sz w:val="28"/>
          <w:szCs w:val="28"/>
          <w:highlight w:val="none"/>
          <w:shd w:val="clear" w:color="auto" w:fill="auto"/>
        </w:rPr>
        <w:t>管理规范和技术（规范）标准</w:t>
      </w:r>
    </w:p>
    <w:p w14:paraId="709FAEFE">
      <w:pPr>
        <w:pStyle w:val="22"/>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本项目须达到下列现行中华人民共和国以及省、自治区、直辖市或行业的有关法律法规、标准、规范的要求，满足中国南方电网公司有限责任公司的管理制度和规定、技术标准，至少应包括：</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7019"/>
        <w:gridCol w:w="1907"/>
      </w:tblGrid>
      <w:tr w14:paraId="4EA00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jc w:val="center"/>
        </w:trPr>
        <w:tc>
          <w:tcPr>
            <w:tcW w:w="760" w:type="dxa"/>
            <w:noWrap w:val="0"/>
            <w:vAlign w:val="center"/>
          </w:tcPr>
          <w:p w14:paraId="70F6719D">
            <w:pPr>
              <w:pageBreakBefore w:val="0"/>
              <w:widowControl/>
              <w:kinsoku/>
              <w:wordWrap/>
              <w:overflowPunct/>
              <w:topLinePunct w:val="0"/>
              <w:bidi w:val="0"/>
              <w:spacing w:line="540" w:lineRule="exact"/>
              <w:jc w:val="center"/>
              <w:rPr>
                <w:rFonts w:hint="eastAsia" w:ascii="宋体" w:hAnsi="宋体" w:eastAsia="宋体" w:cs="宋体"/>
                <w:b/>
                <w:bCs/>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shd w:val="clear" w:color="auto" w:fill="auto"/>
              </w:rPr>
              <w:t>序号</w:t>
            </w:r>
          </w:p>
        </w:tc>
        <w:tc>
          <w:tcPr>
            <w:tcW w:w="7019" w:type="dxa"/>
            <w:noWrap w:val="0"/>
            <w:vAlign w:val="center"/>
          </w:tcPr>
          <w:p w14:paraId="28E5CC35">
            <w:pPr>
              <w:pageBreakBefore w:val="0"/>
              <w:widowControl/>
              <w:kinsoku/>
              <w:wordWrap/>
              <w:overflowPunct/>
              <w:topLinePunct w:val="0"/>
              <w:bidi w:val="0"/>
              <w:spacing w:line="540" w:lineRule="exact"/>
              <w:jc w:val="center"/>
              <w:rPr>
                <w:rFonts w:hint="eastAsia" w:ascii="宋体" w:hAnsi="宋体" w:eastAsia="宋体" w:cs="宋体"/>
                <w:b/>
                <w:bCs/>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shd w:val="clear" w:color="auto" w:fill="auto"/>
              </w:rPr>
              <w:t>名称</w:t>
            </w:r>
          </w:p>
        </w:tc>
        <w:tc>
          <w:tcPr>
            <w:tcW w:w="1907" w:type="dxa"/>
            <w:noWrap w:val="0"/>
            <w:vAlign w:val="center"/>
          </w:tcPr>
          <w:p w14:paraId="32392768">
            <w:pPr>
              <w:pageBreakBefore w:val="0"/>
              <w:widowControl/>
              <w:kinsoku/>
              <w:wordWrap/>
              <w:overflowPunct/>
              <w:topLinePunct w:val="0"/>
              <w:bidi w:val="0"/>
              <w:spacing w:line="540" w:lineRule="exact"/>
              <w:jc w:val="center"/>
              <w:rPr>
                <w:rFonts w:hint="eastAsia" w:ascii="宋体" w:hAnsi="宋体" w:eastAsia="宋体" w:cs="宋体"/>
                <w:b/>
                <w:bCs/>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shd w:val="clear" w:color="auto" w:fill="auto"/>
              </w:rPr>
              <w:t>备注</w:t>
            </w:r>
          </w:p>
        </w:tc>
      </w:tr>
      <w:tr w14:paraId="76173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686" w:type="dxa"/>
            <w:gridSpan w:val="3"/>
            <w:noWrap w:val="0"/>
            <w:vAlign w:val="center"/>
          </w:tcPr>
          <w:p w14:paraId="7519FF90">
            <w:pPr>
              <w:pageBreakBefore w:val="0"/>
              <w:widowControl/>
              <w:kinsoku/>
              <w:wordWrap/>
              <w:overflowPunct/>
              <w:topLinePunct w:val="0"/>
              <w:bidi w:val="0"/>
              <w:spacing w:line="540" w:lineRule="exact"/>
              <w:jc w:val="center"/>
              <w:rPr>
                <w:rFonts w:hint="eastAsia" w:ascii="宋体" w:hAnsi="宋体" w:eastAsia="宋体" w:cs="宋体"/>
                <w:b/>
                <w:bCs/>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shd w:val="clear" w:color="auto" w:fill="auto"/>
              </w:rPr>
              <w:t>国家法律、行政法规、规章</w:t>
            </w:r>
          </w:p>
        </w:tc>
      </w:tr>
      <w:tr w14:paraId="1890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8152267">
            <w:pPr>
              <w:pageBreakBefore w:val="0"/>
              <w:widowControl/>
              <w:kinsoku/>
              <w:wordWrap/>
              <w:overflowPunct/>
              <w:topLinePunct w:val="0"/>
              <w:bidi w:val="0"/>
              <w:spacing w:line="540" w:lineRule="exact"/>
              <w:jc w:val="center"/>
              <w:textAlignment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w:t>
            </w:r>
          </w:p>
        </w:tc>
        <w:tc>
          <w:tcPr>
            <w:tcW w:w="7019" w:type="dxa"/>
            <w:noWrap w:val="0"/>
            <w:vAlign w:val="center"/>
          </w:tcPr>
          <w:p w14:paraId="25A51851">
            <w:pPr>
              <w:pageBreakBefore w:val="0"/>
              <w:widowControl/>
              <w:kinsoku/>
              <w:wordWrap/>
              <w:overflowPunct/>
              <w:topLinePunct w:val="0"/>
              <w:bidi w:val="0"/>
              <w:spacing w:line="540" w:lineRule="exact"/>
              <w:jc w:val="left"/>
              <w:textAlignment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《中华人民共和国建筑法》 (主席令</w:t>
            </w:r>
            <w:r>
              <w:rPr>
                <w:rFonts w:hint="eastAsia" w:ascii="宋体" w:hAnsi="宋体" w:cs="宋体"/>
                <w:color w:val="auto"/>
                <w:kern w:val="0"/>
                <w:sz w:val="28"/>
                <w:szCs w:val="28"/>
                <w:highlight w:val="none"/>
                <w:shd w:val="clear" w:color="auto" w:fill="auto"/>
                <w:lang w:val="en-US" w:eastAsia="zh-CN"/>
              </w:rPr>
              <w:t>第29</w:t>
            </w:r>
            <w:r>
              <w:rPr>
                <w:rFonts w:hint="eastAsia" w:ascii="宋体" w:hAnsi="宋体" w:eastAsia="宋体" w:cs="宋体"/>
                <w:color w:val="auto"/>
                <w:kern w:val="0"/>
                <w:sz w:val="28"/>
                <w:szCs w:val="28"/>
                <w:highlight w:val="none"/>
                <w:shd w:val="clear" w:color="auto" w:fill="auto"/>
              </w:rPr>
              <w:t>号，第十三届全国人民代表大会常务委员会第十次会议修改，2019年4月23日施行)</w:t>
            </w:r>
          </w:p>
        </w:tc>
        <w:tc>
          <w:tcPr>
            <w:tcW w:w="1907" w:type="dxa"/>
            <w:noWrap w:val="0"/>
            <w:vAlign w:val="center"/>
          </w:tcPr>
          <w:p w14:paraId="301C3915">
            <w:pPr>
              <w:pageBreakBefore w:val="0"/>
              <w:widowControl/>
              <w:kinsoku/>
              <w:wordWrap/>
              <w:overflowPunct/>
              <w:topLinePunct w:val="0"/>
              <w:bidi w:val="0"/>
              <w:spacing w:line="540" w:lineRule="exact"/>
              <w:jc w:val="center"/>
              <w:textAlignment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7B8D3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3DEFF4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w:t>
            </w:r>
          </w:p>
        </w:tc>
        <w:tc>
          <w:tcPr>
            <w:tcW w:w="7019" w:type="dxa"/>
            <w:noWrap w:val="0"/>
            <w:vAlign w:val="center"/>
          </w:tcPr>
          <w:p w14:paraId="33CB6CCC">
            <w:pPr>
              <w:pageBreakBefore w:val="0"/>
              <w:widowControl/>
              <w:kinsoku/>
              <w:wordWrap/>
              <w:overflowPunct/>
              <w:topLinePunct w:val="0"/>
              <w:bidi w:val="0"/>
              <w:spacing w:line="540" w:lineRule="exact"/>
              <w:jc w:val="left"/>
              <w:textAlignment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《中华人民共和国民法典》（主席令</w:t>
            </w:r>
            <w:r>
              <w:rPr>
                <w:rFonts w:hint="eastAsia" w:ascii="宋体" w:hAnsi="宋体" w:cs="宋体"/>
                <w:color w:val="auto"/>
                <w:kern w:val="0"/>
                <w:sz w:val="28"/>
                <w:szCs w:val="28"/>
                <w:highlight w:val="none"/>
                <w:shd w:val="clear" w:color="auto" w:fill="auto"/>
                <w:lang w:val="en-US" w:eastAsia="zh-CN"/>
              </w:rPr>
              <w:t>第</w:t>
            </w:r>
            <w:r>
              <w:rPr>
                <w:rFonts w:hint="eastAsia" w:ascii="宋体" w:hAnsi="宋体" w:eastAsia="宋体" w:cs="宋体"/>
                <w:color w:val="auto"/>
                <w:kern w:val="0"/>
                <w:sz w:val="28"/>
                <w:szCs w:val="28"/>
                <w:highlight w:val="none"/>
                <w:shd w:val="clear" w:color="auto" w:fill="auto"/>
              </w:rPr>
              <w:t>45号，2021年1月1日施行）</w:t>
            </w:r>
          </w:p>
        </w:tc>
        <w:tc>
          <w:tcPr>
            <w:tcW w:w="1907" w:type="dxa"/>
            <w:noWrap w:val="0"/>
            <w:vAlign w:val="center"/>
          </w:tcPr>
          <w:p w14:paraId="6E9292E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48801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0B6BEE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w:t>
            </w:r>
          </w:p>
        </w:tc>
        <w:tc>
          <w:tcPr>
            <w:tcW w:w="7019" w:type="dxa"/>
            <w:noWrap w:val="0"/>
            <w:vAlign w:val="center"/>
          </w:tcPr>
          <w:p w14:paraId="527F933C">
            <w:pPr>
              <w:pageBreakBefore w:val="0"/>
              <w:widowControl/>
              <w:kinsoku/>
              <w:wordWrap/>
              <w:overflowPunct/>
              <w:topLinePunct w:val="0"/>
              <w:bidi w:val="0"/>
              <w:spacing w:line="540" w:lineRule="exact"/>
              <w:jc w:val="left"/>
              <w:textAlignment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《中华人民共和国安全生产法》(主席令</w:t>
            </w:r>
            <w:r>
              <w:rPr>
                <w:rFonts w:hint="eastAsia" w:ascii="宋体" w:hAnsi="宋体" w:cs="宋体"/>
                <w:color w:val="auto"/>
                <w:kern w:val="0"/>
                <w:sz w:val="28"/>
                <w:szCs w:val="28"/>
                <w:highlight w:val="none"/>
                <w:shd w:val="clear" w:color="auto" w:fill="auto"/>
                <w:lang w:val="en-US" w:eastAsia="zh-CN"/>
              </w:rPr>
              <w:t>第88</w:t>
            </w:r>
            <w:r>
              <w:rPr>
                <w:rFonts w:hint="eastAsia" w:ascii="宋体" w:hAnsi="宋体" w:eastAsia="宋体" w:cs="宋体"/>
                <w:color w:val="auto"/>
                <w:kern w:val="0"/>
                <w:sz w:val="28"/>
                <w:szCs w:val="28"/>
                <w:highlight w:val="none"/>
                <w:shd w:val="clear" w:color="auto" w:fill="auto"/>
              </w:rPr>
              <w:t>号，20</w:t>
            </w:r>
            <w:r>
              <w:rPr>
                <w:rFonts w:hint="eastAsia" w:ascii="宋体" w:hAnsi="宋体" w:cs="宋体"/>
                <w:color w:val="auto"/>
                <w:kern w:val="0"/>
                <w:sz w:val="28"/>
                <w:szCs w:val="28"/>
                <w:highlight w:val="none"/>
                <w:shd w:val="clear" w:color="auto" w:fill="auto"/>
                <w:lang w:val="en-US" w:eastAsia="zh-CN"/>
              </w:rPr>
              <w:t>21</w:t>
            </w:r>
            <w:r>
              <w:rPr>
                <w:rFonts w:hint="eastAsia" w:ascii="宋体" w:hAnsi="宋体" w:eastAsia="宋体" w:cs="宋体"/>
                <w:color w:val="auto"/>
                <w:kern w:val="0"/>
                <w:sz w:val="28"/>
                <w:szCs w:val="28"/>
                <w:highlight w:val="none"/>
                <w:shd w:val="clear" w:color="auto" w:fill="auto"/>
              </w:rPr>
              <w:t>年</w:t>
            </w:r>
            <w:r>
              <w:rPr>
                <w:rFonts w:hint="eastAsia"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rPr>
              <w:t>月1日施行)</w:t>
            </w:r>
          </w:p>
        </w:tc>
        <w:tc>
          <w:tcPr>
            <w:tcW w:w="1907" w:type="dxa"/>
            <w:noWrap w:val="0"/>
            <w:vAlign w:val="center"/>
          </w:tcPr>
          <w:p w14:paraId="164FE65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6E0D0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74B59D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w:t>
            </w:r>
          </w:p>
        </w:tc>
        <w:tc>
          <w:tcPr>
            <w:tcW w:w="7019" w:type="dxa"/>
            <w:noWrap w:val="0"/>
            <w:vAlign w:val="center"/>
          </w:tcPr>
          <w:p w14:paraId="7C0FD30C">
            <w:pPr>
              <w:pageBreakBefore w:val="0"/>
              <w:widowControl/>
              <w:kinsoku/>
              <w:wordWrap/>
              <w:overflowPunct/>
              <w:topLinePunct w:val="0"/>
              <w:bidi w:val="0"/>
              <w:spacing w:line="540" w:lineRule="exact"/>
              <w:jc w:val="left"/>
              <w:textAlignment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《中华人民共和国招标投标法》(主席令</w:t>
            </w:r>
            <w:r>
              <w:rPr>
                <w:rFonts w:hint="eastAsia" w:ascii="宋体" w:hAnsi="宋体" w:cs="宋体"/>
                <w:color w:val="auto"/>
                <w:kern w:val="0"/>
                <w:sz w:val="28"/>
                <w:szCs w:val="28"/>
                <w:highlight w:val="none"/>
                <w:shd w:val="clear" w:color="auto" w:fill="auto"/>
                <w:lang w:val="en-US" w:eastAsia="zh-CN"/>
              </w:rPr>
              <w:t>第86</w:t>
            </w:r>
            <w:r>
              <w:rPr>
                <w:rFonts w:hint="eastAsia" w:ascii="宋体" w:hAnsi="宋体" w:eastAsia="宋体" w:cs="宋体"/>
                <w:color w:val="auto"/>
                <w:kern w:val="0"/>
                <w:sz w:val="28"/>
                <w:szCs w:val="28"/>
                <w:highlight w:val="none"/>
                <w:shd w:val="clear" w:color="auto" w:fill="auto"/>
              </w:rPr>
              <w:t>号，2017年12月28日起施行)</w:t>
            </w:r>
          </w:p>
        </w:tc>
        <w:tc>
          <w:tcPr>
            <w:tcW w:w="1907" w:type="dxa"/>
            <w:noWrap w:val="0"/>
            <w:vAlign w:val="center"/>
          </w:tcPr>
          <w:p w14:paraId="143EAC5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44AEB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93F801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w:t>
            </w:r>
          </w:p>
        </w:tc>
        <w:tc>
          <w:tcPr>
            <w:tcW w:w="7019" w:type="dxa"/>
            <w:noWrap w:val="0"/>
            <w:vAlign w:val="center"/>
          </w:tcPr>
          <w:p w14:paraId="074219A0">
            <w:pPr>
              <w:pageBreakBefore w:val="0"/>
              <w:widowControl/>
              <w:kinsoku/>
              <w:wordWrap/>
              <w:overflowPunct/>
              <w:topLinePunct w:val="0"/>
              <w:bidi w:val="0"/>
              <w:spacing w:line="540" w:lineRule="exact"/>
              <w:jc w:val="left"/>
              <w:textAlignment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《中华人民共和国环境保护法》（主席令</w:t>
            </w:r>
            <w:r>
              <w:rPr>
                <w:rFonts w:hint="eastAsia" w:ascii="宋体" w:hAnsi="宋体" w:cs="宋体"/>
                <w:color w:val="auto"/>
                <w:kern w:val="0"/>
                <w:sz w:val="28"/>
                <w:szCs w:val="28"/>
                <w:highlight w:val="none"/>
                <w:shd w:val="clear" w:color="auto" w:fill="auto"/>
                <w:lang w:val="en-US" w:eastAsia="zh-CN"/>
              </w:rPr>
              <w:t>第</w:t>
            </w:r>
            <w:r>
              <w:rPr>
                <w:rFonts w:hint="eastAsia" w:ascii="宋体" w:hAnsi="宋体" w:eastAsia="宋体" w:cs="宋体"/>
                <w:color w:val="auto"/>
                <w:kern w:val="0"/>
                <w:sz w:val="28"/>
                <w:szCs w:val="28"/>
                <w:highlight w:val="none"/>
                <w:shd w:val="clear" w:color="auto" w:fill="auto"/>
              </w:rPr>
              <w:t>9号，2015年1月1日实施）</w:t>
            </w:r>
          </w:p>
        </w:tc>
        <w:tc>
          <w:tcPr>
            <w:tcW w:w="1907" w:type="dxa"/>
            <w:noWrap w:val="0"/>
            <w:vAlign w:val="center"/>
          </w:tcPr>
          <w:p w14:paraId="754DB5A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54DB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75C8AB5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w:t>
            </w:r>
          </w:p>
        </w:tc>
        <w:tc>
          <w:tcPr>
            <w:tcW w:w="7019" w:type="dxa"/>
            <w:noWrap w:val="0"/>
            <w:vAlign w:val="center"/>
          </w:tcPr>
          <w:p w14:paraId="0B26894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《中华人民共和国电力法》（主席令第</w:t>
            </w:r>
            <w:r>
              <w:rPr>
                <w:rFonts w:hint="eastAsia" w:ascii="宋体" w:hAnsi="宋体" w:cs="宋体"/>
                <w:color w:val="auto"/>
                <w:kern w:val="0"/>
                <w:sz w:val="28"/>
                <w:szCs w:val="28"/>
                <w:highlight w:val="none"/>
                <w:shd w:val="clear" w:color="auto" w:fill="auto"/>
                <w:lang w:val="en-US" w:eastAsia="zh-CN"/>
              </w:rPr>
              <w:t>23</w:t>
            </w:r>
            <w:r>
              <w:rPr>
                <w:rFonts w:hint="eastAsia" w:ascii="宋体" w:hAnsi="宋体" w:eastAsia="宋体" w:cs="宋体"/>
                <w:color w:val="auto"/>
                <w:kern w:val="0"/>
                <w:sz w:val="28"/>
                <w:szCs w:val="28"/>
                <w:highlight w:val="none"/>
                <w:shd w:val="clear" w:color="auto" w:fill="auto"/>
              </w:rPr>
              <w:t>号,第十三届全国人民代表大会常务委员会第七次会议第三次修订，2018年12月29日施行）</w:t>
            </w:r>
          </w:p>
        </w:tc>
        <w:tc>
          <w:tcPr>
            <w:tcW w:w="1907" w:type="dxa"/>
            <w:noWrap w:val="0"/>
            <w:vAlign w:val="center"/>
          </w:tcPr>
          <w:p w14:paraId="45434B8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3AD8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1C3DDE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w:t>
            </w:r>
          </w:p>
        </w:tc>
        <w:tc>
          <w:tcPr>
            <w:tcW w:w="7019" w:type="dxa"/>
            <w:noWrap w:val="0"/>
            <w:vAlign w:val="center"/>
          </w:tcPr>
          <w:p w14:paraId="799E86D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《中华人民共和国劳动法》（主席令第2</w:t>
            </w:r>
            <w:r>
              <w:rPr>
                <w:rFonts w:hint="eastAsia"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rPr>
              <w:t xml:space="preserve">号，第十三届全国人民代表大会常务委员会第七次会议修订，主席令24号，2018年12月29日施行) </w:t>
            </w:r>
          </w:p>
        </w:tc>
        <w:tc>
          <w:tcPr>
            <w:tcW w:w="1907" w:type="dxa"/>
            <w:noWrap w:val="0"/>
            <w:vAlign w:val="center"/>
          </w:tcPr>
          <w:p w14:paraId="73B82C0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3AE5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8D1738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w:t>
            </w:r>
          </w:p>
        </w:tc>
        <w:tc>
          <w:tcPr>
            <w:tcW w:w="7019" w:type="dxa"/>
            <w:noWrap w:val="0"/>
            <w:vAlign w:val="center"/>
          </w:tcPr>
          <w:p w14:paraId="3B2990E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《中华人民共和国劳动</w:t>
            </w:r>
            <w:r>
              <w:rPr>
                <w:rFonts w:hint="eastAsia" w:ascii="宋体" w:hAnsi="宋体" w:cs="宋体"/>
                <w:color w:val="auto"/>
                <w:kern w:val="0"/>
                <w:sz w:val="28"/>
                <w:szCs w:val="28"/>
                <w:highlight w:val="none"/>
                <w:shd w:val="clear" w:color="auto" w:fill="auto"/>
                <w:lang w:val="en-US" w:eastAsia="zh-CN"/>
              </w:rPr>
              <w:t>合同法</w:t>
            </w:r>
            <w:r>
              <w:rPr>
                <w:rFonts w:hint="eastAsia" w:ascii="宋体" w:hAnsi="宋体" w:eastAsia="宋体" w:cs="宋体"/>
                <w:color w:val="auto"/>
                <w:kern w:val="0"/>
                <w:sz w:val="28"/>
                <w:szCs w:val="28"/>
                <w:highlight w:val="none"/>
                <w:shd w:val="clear" w:color="auto" w:fill="auto"/>
              </w:rPr>
              <w:t xml:space="preserve">》（主席令第73号，2013年7月1日起施行) </w:t>
            </w:r>
          </w:p>
        </w:tc>
        <w:tc>
          <w:tcPr>
            <w:tcW w:w="1907" w:type="dxa"/>
            <w:noWrap w:val="0"/>
            <w:vAlign w:val="center"/>
          </w:tcPr>
          <w:p w14:paraId="29F97D9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08FC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352B55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w:t>
            </w:r>
          </w:p>
        </w:tc>
        <w:tc>
          <w:tcPr>
            <w:tcW w:w="7019" w:type="dxa"/>
            <w:noWrap w:val="0"/>
            <w:vAlign w:val="center"/>
          </w:tcPr>
          <w:p w14:paraId="3292AEB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《中华人民共和国水土保持法》（主席令</w:t>
            </w:r>
            <w:r>
              <w:rPr>
                <w:rFonts w:hint="eastAsia" w:ascii="宋体" w:hAnsi="宋体" w:cs="宋体"/>
                <w:color w:val="auto"/>
                <w:kern w:val="0"/>
                <w:sz w:val="28"/>
                <w:szCs w:val="28"/>
                <w:highlight w:val="none"/>
                <w:shd w:val="clear" w:color="auto" w:fill="auto"/>
                <w:lang w:val="en-US" w:eastAsia="zh-CN"/>
              </w:rPr>
              <w:t>第</w:t>
            </w:r>
            <w:r>
              <w:rPr>
                <w:rFonts w:hint="eastAsia" w:ascii="宋体" w:hAnsi="宋体" w:eastAsia="宋体" w:cs="宋体"/>
                <w:color w:val="auto"/>
                <w:kern w:val="0"/>
                <w:sz w:val="28"/>
                <w:szCs w:val="28"/>
                <w:highlight w:val="none"/>
                <w:shd w:val="clear" w:color="auto" w:fill="auto"/>
              </w:rPr>
              <w:t>39号，2011年3月1日施行）</w:t>
            </w:r>
          </w:p>
        </w:tc>
        <w:tc>
          <w:tcPr>
            <w:tcW w:w="1907" w:type="dxa"/>
            <w:noWrap w:val="0"/>
            <w:vAlign w:val="center"/>
          </w:tcPr>
          <w:p w14:paraId="14702DA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406B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DAC608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w:t>
            </w:r>
          </w:p>
        </w:tc>
        <w:tc>
          <w:tcPr>
            <w:tcW w:w="7019" w:type="dxa"/>
            <w:noWrap w:val="0"/>
            <w:vAlign w:val="center"/>
          </w:tcPr>
          <w:p w14:paraId="112A24F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《建设工程质量管理条例》（国务院令第279号，2000年1月30日发布，2019年修订，国务院令第714号，2019年4月23日施行）</w:t>
            </w:r>
          </w:p>
        </w:tc>
        <w:tc>
          <w:tcPr>
            <w:tcW w:w="1907" w:type="dxa"/>
            <w:noWrap w:val="0"/>
            <w:vAlign w:val="center"/>
          </w:tcPr>
          <w:p w14:paraId="6944C66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3F9FD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16315F8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w:t>
            </w:r>
          </w:p>
        </w:tc>
        <w:tc>
          <w:tcPr>
            <w:tcW w:w="7019" w:type="dxa"/>
            <w:noWrap w:val="0"/>
            <w:vAlign w:val="center"/>
          </w:tcPr>
          <w:p w14:paraId="5F44076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《建设工程安全生产管理条例》（国务院令第393号，2004年2月1日起施行）</w:t>
            </w:r>
          </w:p>
        </w:tc>
        <w:tc>
          <w:tcPr>
            <w:tcW w:w="1907" w:type="dxa"/>
            <w:noWrap w:val="0"/>
            <w:vAlign w:val="center"/>
          </w:tcPr>
          <w:p w14:paraId="79B26B8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3A5C2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01CD9F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w:t>
            </w:r>
          </w:p>
        </w:tc>
        <w:tc>
          <w:tcPr>
            <w:tcW w:w="7019" w:type="dxa"/>
            <w:noWrap w:val="0"/>
            <w:vAlign w:val="center"/>
          </w:tcPr>
          <w:p w14:paraId="796514A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《建设项目环境保护管理条例》（国务院令第253号，1998年11月29日发布，2017年修订，国务院令第682号,2017年10月1日施行）</w:t>
            </w:r>
          </w:p>
        </w:tc>
        <w:tc>
          <w:tcPr>
            <w:tcW w:w="1907" w:type="dxa"/>
            <w:noWrap w:val="0"/>
            <w:vAlign w:val="center"/>
          </w:tcPr>
          <w:p w14:paraId="2B70113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07FAD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C0AB2D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w:t>
            </w:r>
          </w:p>
        </w:tc>
        <w:tc>
          <w:tcPr>
            <w:tcW w:w="7019" w:type="dxa"/>
            <w:noWrap w:val="0"/>
            <w:vAlign w:val="center"/>
          </w:tcPr>
          <w:p w14:paraId="61472D7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《建设工程勘察设计管理条例》(国务院令第293号，2000年9月20日发布，2017年修订，国务院令第687号，2017年10月7日施行）</w:t>
            </w:r>
          </w:p>
        </w:tc>
        <w:tc>
          <w:tcPr>
            <w:tcW w:w="1907" w:type="dxa"/>
            <w:noWrap w:val="0"/>
            <w:vAlign w:val="center"/>
          </w:tcPr>
          <w:p w14:paraId="3555383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785AC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33E06EA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w:t>
            </w:r>
          </w:p>
        </w:tc>
        <w:tc>
          <w:tcPr>
            <w:tcW w:w="7019" w:type="dxa"/>
            <w:noWrap w:val="0"/>
            <w:vAlign w:val="center"/>
          </w:tcPr>
          <w:p w14:paraId="6D43315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《生产安全事故报告和调查处理条例》(国务院令第493号，2007年6月1日施行)</w:t>
            </w:r>
          </w:p>
        </w:tc>
        <w:tc>
          <w:tcPr>
            <w:tcW w:w="1907" w:type="dxa"/>
            <w:noWrap w:val="0"/>
            <w:vAlign w:val="center"/>
          </w:tcPr>
          <w:p w14:paraId="32F85E2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122B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A7D6E0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w:t>
            </w:r>
          </w:p>
        </w:tc>
        <w:tc>
          <w:tcPr>
            <w:tcW w:w="7019" w:type="dxa"/>
            <w:noWrap w:val="0"/>
            <w:vAlign w:val="center"/>
          </w:tcPr>
          <w:p w14:paraId="4D34143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《电力安全事故应急处置和调查处理条例》(国务院令第599号，2011年9月1日施行)</w:t>
            </w:r>
          </w:p>
        </w:tc>
        <w:tc>
          <w:tcPr>
            <w:tcW w:w="1907" w:type="dxa"/>
            <w:noWrap w:val="0"/>
            <w:vAlign w:val="center"/>
          </w:tcPr>
          <w:p w14:paraId="671808D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7EBB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596C243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w:t>
            </w:r>
          </w:p>
        </w:tc>
        <w:tc>
          <w:tcPr>
            <w:tcW w:w="7019" w:type="dxa"/>
            <w:noWrap w:val="0"/>
            <w:vAlign w:val="center"/>
          </w:tcPr>
          <w:p w14:paraId="64E6059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《中华人民共和国招标投标法实施条例》(国务院令第613号，2012年2月1日发布，2019年修订，国务院令第709号，2019年3月2日施行）</w:t>
            </w:r>
          </w:p>
        </w:tc>
        <w:tc>
          <w:tcPr>
            <w:tcW w:w="1907" w:type="dxa"/>
            <w:noWrap w:val="0"/>
            <w:vAlign w:val="center"/>
          </w:tcPr>
          <w:p w14:paraId="743CA42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6388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F706EB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w:t>
            </w:r>
          </w:p>
        </w:tc>
        <w:tc>
          <w:tcPr>
            <w:tcW w:w="7019" w:type="dxa"/>
            <w:noWrap w:val="0"/>
            <w:vAlign w:val="center"/>
          </w:tcPr>
          <w:p w14:paraId="48AA484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《中共中央纪委关于严格禁止利用职务上的便利谋取不正当利益的若干规定》(2007年6月8日发布)</w:t>
            </w:r>
          </w:p>
        </w:tc>
        <w:tc>
          <w:tcPr>
            <w:tcW w:w="1907" w:type="dxa"/>
            <w:noWrap w:val="0"/>
            <w:vAlign w:val="center"/>
          </w:tcPr>
          <w:p w14:paraId="7A0F93F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7668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31AB3F0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w:t>
            </w:r>
          </w:p>
        </w:tc>
        <w:tc>
          <w:tcPr>
            <w:tcW w:w="7019" w:type="dxa"/>
            <w:noWrap w:val="0"/>
            <w:vAlign w:val="center"/>
          </w:tcPr>
          <w:p w14:paraId="4CD85D7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《国务院关于特大安全事故行政责任追究的规定》（国务院令第302号，2001年4月21日起施行)）</w:t>
            </w:r>
          </w:p>
        </w:tc>
        <w:tc>
          <w:tcPr>
            <w:tcW w:w="1907" w:type="dxa"/>
            <w:noWrap w:val="0"/>
            <w:vAlign w:val="center"/>
          </w:tcPr>
          <w:p w14:paraId="7681A54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6F77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785725D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w:t>
            </w:r>
          </w:p>
        </w:tc>
        <w:tc>
          <w:tcPr>
            <w:tcW w:w="7019" w:type="dxa"/>
            <w:noWrap w:val="0"/>
            <w:vAlign w:val="center"/>
          </w:tcPr>
          <w:p w14:paraId="566F117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中华人民共和国固体废物污染环境防治法</w:t>
            </w: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（主席令第</w:t>
            </w:r>
            <w:r>
              <w:rPr>
                <w:rFonts w:hint="eastAsia" w:ascii="宋体" w:hAnsi="宋体" w:cs="宋体"/>
                <w:color w:val="auto"/>
                <w:kern w:val="0"/>
                <w:sz w:val="28"/>
                <w:szCs w:val="28"/>
                <w:highlight w:val="none"/>
                <w:shd w:val="clear" w:color="auto" w:fill="auto"/>
                <w:lang w:val="en-US" w:eastAsia="zh-CN"/>
              </w:rPr>
              <w:t>43</w:t>
            </w:r>
            <w:r>
              <w:rPr>
                <w:rFonts w:hint="eastAsia" w:ascii="宋体" w:hAnsi="宋体" w:eastAsia="宋体" w:cs="宋体"/>
                <w:color w:val="auto"/>
                <w:kern w:val="0"/>
                <w:sz w:val="28"/>
                <w:szCs w:val="28"/>
                <w:highlight w:val="none"/>
                <w:shd w:val="clear" w:color="auto" w:fill="auto"/>
              </w:rPr>
              <w:t>号，</w:t>
            </w:r>
            <w:r>
              <w:rPr>
                <w:rFonts w:hint="eastAsia" w:ascii="宋体" w:hAnsi="宋体" w:cs="宋体"/>
                <w:color w:val="auto"/>
                <w:kern w:val="0"/>
                <w:sz w:val="28"/>
                <w:szCs w:val="28"/>
                <w:highlight w:val="none"/>
                <w:shd w:val="clear" w:color="auto" w:fill="auto"/>
              </w:rPr>
              <w:t>第十三届全国人民代表大会常务委员会第十七次会议于2020年4月29日修订通过，自2020年9月1日起施行</w:t>
            </w:r>
            <w:r>
              <w:rPr>
                <w:rFonts w:hint="eastAsia" w:ascii="宋体" w:hAnsi="宋体" w:eastAsia="宋体" w:cs="宋体"/>
                <w:color w:val="auto"/>
                <w:kern w:val="0"/>
                <w:sz w:val="28"/>
                <w:szCs w:val="28"/>
                <w:highlight w:val="none"/>
                <w:shd w:val="clear" w:color="auto" w:fill="auto"/>
              </w:rPr>
              <w:t>）</w:t>
            </w:r>
          </w:p>
        </w:tc>
        <w:tc>
          <w:tcPr>
            <w:tcW w:w="1907" w:type="dxa"/>
            <w:noWrap w:val="0"/>
            <w:vAlign w:val="center"/>
          </w:tcPr>
          <w:p w14:paraId="6A0CDE5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7275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F9AC6B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w:t>
            </w:r>
          </w:p>
        </w:tc>
        <w:tc>
          <w:tcPr>
            <w:tcW w:w="7019" w:type="dxa"/>
            <w:noWrap w:val="0"/>
            <w:vAlign w:val="center"/>
          </w:tcPr>
          <w:p w14:paraId="536605D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中华人民共和国大气污染防治法</w:t>
            </w: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（主席令第31号，第十三届全国人民代表大会常务委员会第六次会议修订，2018年10月26日</w:t>
            </w:r>
            <w:r>
              <w:rPr>
                <w:rFonts w:hint="eastAsia" w:ascii="宋体" w:hAnsi="宋体" w:cs="宋体"/>
                <w:color w:val="auto"/>
                <w:kern w:val="0"/>
                <w:sz w:val="28"/>
                <w:szCs w:val="28"/>
                <w:highlight w:val="none"/>
                <w:shd w:val="clear" w:color="auto" w:fill="auto"/>
                <w:lang w:val="en-US" w:eastAsia="zh-CN"/>
              </w:rPr>
              <w:t>起</w:t>
            </w:r>
            <w:r>
              <w:rPr>
                <w:rFonts w:hint="eastAsia" w:ascii="宋体" w:hAnsi="宋体" w:eastAsia="宋体" w:cs="宋体"/>
                <w:color w:val="auto"/>
                <w:kern w:val="0"/>
                <w:sz w:val="28"/>
                <w:szCs w:val="28"/>
                <w:highlight w:val="none"/>
                <w:shd w:val="clear" w:color="auto" w:fill="auto"/>
              </w:rPr>
              <w:t>施行）</w:t>
            </w:r>
          </w:p>
        </w:tc>
        <w:tc>
          <w:tcPr>
            <w:tcW w:w="1907" w:type="dxa"/>
            <w:noWrap w:val="0"/>
            <w:vAlign w:val="center"/>
          </w:tcPr>
          <w:p w14:paraId="7CC7E8E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17668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5C302A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w:t>
            </w:r>
          </w:p>
        </w:tc>
        <w:tc>
          <w:tcPr>
            <w:tcW w:w="7019" w:type="dxa"/>
            <w:noWrap w:val="0"/>
            <w:vAlign w:val="center"/>
          </w:tcPr>
          <w:p w14:paraId="3366D6B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中华人民共和国计量法</w:t>
            </w: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（主席令第</w:t>
            </w:r>
            <w:r>
              <w:rPr>
                <w:rFonts w:hint="eastAsia" w:ascii="宋体" w:hAnsi="宋体" w:cs="宋体"/>
                <w:color w:val="auto"/>
                <w:kern w:val="0"/>
                <w:sz w:val="28"/>
                <w:szCs w:val="28"/>
                <w:highlight w:val="none"/>
                <w:shd w:val="clear" w:color="auto" w:fill="auto"/>
                <w:lang w:val="en-US" w:eastAsia="zh-CN"/>
              </w:rPr>
              <w:t>16</w:t>
            </w:r>
            <w:r>
              <w:rPr>
                <w:rFonts w:hint="eastAsia" w:ascii="宋体" w:hAnsi="宋体" w:eastAsia="宋体" w:cs="宋体"/>
                <w:color w:val="auto"/>
                <w:kern w:val="0"/>
                <w:sz w:val="28"/>
                <w:szCs w:val="28"/>
                <w:highlight w:val="none"/>
                <w:shd w:val="clear" w:color="auto" w:fill="auto"/>
              </w:rPr>
              <w:t>号，第十三届全国人民代表大会常务委员会第六次会议修订，2018年10月26日起施行）</w:t>
            </w:r>
          </w:p>
        </w:tc>
        <w:tc>
          <w:tcPr>
            <w:tcW w:w="1907" w:type="dxa"/>
            <w:noWrap w:val="0"/>
            <w:vAlign w:val="center"/>
          </w:tcPr>
          <w:p w14:paraId="4B3261C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国家法律法规</w:t>
            </w:r>
          </w:p>
        </w:tc>
      </w:tr>
      <w:tr w14:paraId="1FA2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15353E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w:t>
            </w:r>
          </w:p>
        </w:tc>
        <w:tc>
          <w:tcPr>
            <w:tcW w:w="7019" w:type="dxa"/>
            <w:noWrap w:val="0"/>
            <w:vAlign w:val="center"/>
          </w:tcPr>
          <w:p w14:paraId="7738C8A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《评标委员会和评标方法暂行规定》（七部委12号令）</w:t>
            </w:r>
          </w:p>
        </w:tc>
        <w:tc>
          <w:tcPr>
            <w:tcW w:w="1907" w:type="dxa"/>
            <w:noWrap w:val="0"/>
            <w:vAlign w:val="center"/>
          </w:tcPr>
          <w:p w14:paraId="1F2C03A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285AC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B92A1C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w:t>
            </w:r>
          </w:p>
        </w:tc>
        <w:tc>
          <w:tcPr>
            <w:tcW w:w="7019" w:type="dxa"/>
            <w:noWrap w:val="0"/>
            <w:vAlign w:val="center"/>
          </w:tcPr>
          <w:p w14:paraId="7B7970B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《工程建设项目货物招标投标办法》（七部委27号令）</w:t>
            </w:r>
          </w:p>
        </w:tc>
        <w:tc>
          <w:tcPr>
            <w:tcW w:w="1907" w:type="dxa"/>
            <w:noWrap w:val="0"/>
            <w:vAlign w:val="center"/>
          </w:tcPr>
          <w:p w14:paraId="2A385BB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7D1C2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19CD01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w:t>
            </w:r>
          </w:p>
        </w:tc>
        <w:tc>
          <w:tcPr>
            <w:tcW w:w="7019" w:type="dxa"/>
            <w:noWrap w:val="0"/>
            <w:vAlign w:val="center"/>
          </w:tcPr>
          <w:p w14:paraId="2E44ED0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《工程建设项目施工招标投标办法》（七部委30号令，九部委23号令修订，2013年5月1日施行）</w:t>
            </w:r>
          </w:p>
        </w:tc>
        <w:tc>
          <w:tcPr>
            <w:tcW w:w="1907" w:type="dxa"/>
            <w:noWrap w:val="0"/>
            <w:vAlign w:val="center"/>
          </w:tcPr>
          <w:p w14:paraId="7802CD0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2A3C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DF2561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w:t>
            </w:r>
          </w:p>
        </w:tc>
        <w:tc>
          <w:tcPr>
            <w:tcW w:w="7019" w:type="dxa"/>
            <w:noWrap w:val="0"/>
            <w:vAlign w:val="center"/>
          </w:tcPr>
          <w:p w14:paraId="14CAEB0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《工程建设项目勘察设计招标投标办法》（八部委2号令，九部委23号令修订，2013年5月1日施行）</w:t>
            </w:r>
          </w:p>
        </w:tc>
        <w:tc>
          <w:tcPr>
            <w:tcW w:w="1907" w:type="dxa"/>
            <w:noWrap w:val="0"/>
            <w:vAlign w:val="center"/>
          </w:tcPr>
          <w:p w14:paraId="47F528D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547C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568F2F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w:t>
            </w:r>
          </w:p>
        </w:tc>
        <w:tc>
          <w:tcPr>
            <w:tcW w:w="7019" w:type="dxa"/>
            <w:noWrap w:val="0"/>
            <w:vAlign w:val="center"/>
          </w:tcPr>
          <w:p w14:paraId="321EEB9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《关于废止和修改部分招标投标规章和规范性文件的决定》（九部委第23号令）</w:t>
            </w:r>
          </w:p>
        </w:tc>
        <w:tc>
          <w:tcPr>
            <w:tcW w:w="1907" w:type="dxa"/>
            <w:noWrap w:val="0"/>
            <w:vAlign w:val="center"/>
          </w:tcPr>
          <w:p w14:paraId="1254670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26EA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0B7730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w:t>
            </w:r>
          </w:p>
        </w:tc>
        <w:tc>
          <w:tcPr>
            <w:tcW w:w="7019" w:type="dxa"/>
            <w:noWrap w:val="0"/>
            <w:vAlign w:val="center"/>
          </w:tcPr>
          <w:p w14:paraId="2DDCB13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《电子招标投标办法》（八部委20号令）</w:t>
            </w:r>
          </w:p>
        </w:tc>
        <w:tc>
          <w:tcPr>
            <w:tcW w:w="1907" w:type="dxa"/>
            <w:noWrap w:val="0"/>
            <w:vAlign w:val="center"/>
          </w:tcPr>
          <w:p w14:paraId="6E90B31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5374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F00263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28</w:t>
            </w:r>
          </w:p>
        </w:tc>
        <w:tc>
          <w:tcPr>
            <w:tcW w:w="7019" w:type="dxa"/>
            <w:noWrap w:val="0"/>
            <w:vAlign w:val="center"/>
          </w:tcPr>
          <w:p w14:paraId="6FCA471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《电力建设工程施工安全监督管理办法》（国家发展和改革委员会令第28号）</w:t>
            </w:r>
          </w:p>
        </w:tc>
        <w:tc>
          <w:tcPr>
            <w:tcW w:w="1907" w:type="dxa"/>
            <w:noWrap w:val="0"/>
            <w:vAlign w:val="center"/>
          </w:tcPr>
          <w:p w14:paraId="7C5E511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B4F0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1060A4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29</w:t>
            </w:r>
          </w:p>
        </w:tc>
        <w:tc>
          <w:tcPr>
            <w:tcW w:w="7019" w:type="dxa"/>
            <w:noWrap w:val="0"/>
            <w:vAlign w:val="center"/>
          </w:tcPr>
          <w:p w14:paraId="72AA568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《建筑业企业资质管理规定》（住建部令第22号,2015年3月1日起发布，2018年修订，住建部令第45号，2018年12月22日施行）</w:t>
            </w:r>
          </w:p>
        </w:tc>
        <w:tc>
          <w:tcPr>
            <w:tcW w:w="1907" w:type="dxa"/>
            <w:noWrap w:val="0"/>
            <w:vAlign w:val="center"/>
          </w:tcPr>
          <w:p w14:paraId="015FB3F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655CE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780998D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30</w:t>
            </w:r>
          </w:p>
        </w:tc>
        <w:tc>
          <w:tcPr>
            <w:tcW w:w="7019" w:type="dxa"/>
            <w:noWrap w:val="0"/>
            <w:vAlign w:val="center"/>
          </w:tcPr>
          <w:p w14:paraId="45A78F7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《房屋建筑工程和市政基础设施工程实行见证取样和送检的规定》(建建[2000]211号)</w:t>
            </w:r>
          </w:p>
        </w:tc>
        <w:tc>
          <w:tcPr>
            <w:tcW w:w="1907" w:type="dxa"/>
            <w:noWrap w:val="0"/>
            <w:vAlign w:val="center"/>
          </w:tcPr>
          <w:p w14:paraId="52BE24F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0263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192722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31</w:t>
            </w:r>
          </w:p>
        </w:tc>
        <w:tc>
          <w:tcPr>
            <w:tcW w:w="7019" w:type="dxa"/>
            <w:noWrap w:val="0"/>
            <w:vAlign w:val="center"/>
          </w:tcPr>
          <w:p w14:paraId="71D7B9F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《施工总承包企业特级资质标准》（建市[2007]72号）</w:t>
            </w:r>
          </w:p>
        </w:tc>
        <w:tc>
          <w:tcPr>
            <w:tcW w:w="1907" w:type="dxa"/>
            <w:noWrap w:val="0"/>
            <w:vAlign w:val="center"/>
          </w:tcPr>
          <w:p w14:paraId="1F6F331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5440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41A08A6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32</w:t>
            </w:r>
          </w:p>
        </w:tc>
        <w:tc>
          <w:tcPr>
            <w:tcW w:w="7019" w:type="dxa"/>
            <w:noWrap w:val="0"/>
            <w:vAlign w:val="center"/>
          </w:tcPr>
          <w:p w14:paraId="6BC18C8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《关于进一步加强和完善建筑劳务管理工作的指导意见》（建市[2014]112号）</w:t>
            </w:r>
          </w:p>
        </w:tc>
        <w:tc>
          <w:tcPr>
            <w:tcW w:w="1907" w:type="dxa"/>
            <w:noWrap w:val="0"/>
            <w:vAlign w:val="center"/>
          </w:tcPr>
          <w:p w14:paraId="72DE185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7333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7379967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33</w:t>
            </w:r>
          </w:p>
        </w:tc>
        <w:tc>
          <w:tcPr>
            <w:tcW w:w="7019" w:type="dxa"/>
            <w:noWrap w:val="0"/>
            <w:vAlign w:val="center"/>
          </w:tcPr>
          <w:p w14:paraId="7A9A474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《建筑工程施工发包与承包违法行为认定查处管理办法》（建市规〔2019〕1号）</w:t>
            </w:r>
          </w:p>
        </w:tc>
        <w:tc>
          <w:tcPr>
            <w:tcW w:w="1907" w:type="dxa"/>
            <w:noWrap w:val="0"/>
            <w:vAlign w:val="center"/>
          </w:tcPr>
          <w:p w14:paraId="3A0503F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2023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13E0832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34</w:t>
            </w:r>
          </w:p>
        </w:tc>
        <w:tc>
          <w:tcPr>
            <w:tcW w:w="7019" w:type="dxa"/>
            <w:noWrap w:val="0"/>
            <w:vAlign w:val="center"/>
          </w:tcPr>
          <w:p w14:paraId="1931F09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《建筑业企业资质标准》（建市(2014)159号，建市(2016)226号修改，2016年11月1日施行）</w:t>
            </w:r>
          </w:p>
        </w:tc>
        <w:tc>
          <w:tcPr>
            <w:tcW w:w="1907" w:type="dxa"/>
            <w:noWrap w:val="0"/>
            <w:vAlign w:val="center"/>
          </w:tcPr>
          <w:p w14:paraId="1EF0387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2405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25477D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35</w:t>
            </w:r>
          </w:p>
        </w:tc>
        <w:tc>
          <w:tcPr>
            <w:tcW w:w="7019" w:type="dxa"/>
            <w:noWrap w:val="0"/>
            <w:vAlign w:val="center"/>
          </w:tcPr>
          <w:p w14:paraId="7185E06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《建设单位项目负责人质量安全责任八项规定（试行）》及《建筑工程项目总监理工程师质量安全责任六项规定（试行）》(建市[2015]35号)</w:t>
            </w:r>
          </w:p>
        </w:tc>
        <w:tc>
          <w:tcPr>
            <w:tcW w:w="1907" w:type="dxa"/>
            <w:noWrap w:val="0"/>
            <w:vAlign w:val="center"/>
          </w:tcPr>
          <w:p w14:paraId="5AD7F7D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62BE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E531EF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36</w:t>
            </w:r>
          </w:p>
        </w:tc>
        <w:tc>
          <w:tcPr>
            <w:tcW w:w="7019" w:type="dxa"/>
            <w:noWrap w:val="0"/>
            <w:vAlign w:val="center"/>
          </w:tcPr>
          <w:p w14:paraId="47A09F1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《建设部关于加强建筑意外伤害保险工作的指导意见》（建质[2003]107号）</w:t>
            </w:r>
          </w:p>
        </w:tc>
        <w:tc>
          <w:tcPr>
            <w:tcW w:w="1907" w:type="dxa"/>
            <w:noWrap w:val="0"/>
            <w:vAlign w:val="center"/>
          </w:tcPr>
          <w:p w14:paraId="347D27D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717F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D919E1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37</w:t>
            </w:r>
          </w:p>
        </w:tc>
        <w:tc>
          <w:tcPr>
            <w:tcW w:w="7019" w:type="dxa"/>
            <w:noWrap w:val="0"/>
            <w:vAlign w:val="center"/>
          </w:tcPr>
          <w:p w14:paraId="276D3E1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《建设工程质量责任主体和有关机构不良记录管理办法》（试行）（建质[2003]113号）</w:t>
            </w:r>
          </w:p>
        </w:tc>
        <w:tc>
          <w:tcPr>
            <w:tcW w:w="1907" w:type="dxa"/>
            <w:noWrap w:val="0"/>
            <w:vAlign w:val="center"/>
          </w:tcPr>
          <w:p w14:paraId="2BA0846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02C7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5D2958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38</w:t>
            </w:r>
          </w:p>
        </w:tc>
        <w:tc>
          <w:tcPr>
            <w:tcW w:w="7019" w:type="dxa"/>
            <w:noWrap w:val="0"/>
            <w:vAlign w:val="center"/>
          </w:tcPr>
          <w:p w14:paraId="6826DE4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《建筑施工人员个人劳动保护用品使用管理暂行规定》（建质[2007]255号）</w:t>
            </w:r>
          </w:p>
        </w:tc>
        <w:tc>
          <w:tcPr>
            <w:tcW w:w="1907" w:type="dxa"/>
            <w:noWrap w:val="0"/>
            <w:vAlign w:val="center"/>
          </w:tcPr>
          <w:p w14:paraId="03F4EC7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6E1AF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7020AA5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39</w:t>
            </w:r>
          </w:p>
        </w:tc>
        <w:tc>
          <w:tcPr>
            <w:tcW w:w="7019" w:type="dxa"/>
            <w:noWrap w:val="0"/>
            <w:vAlign w:val="center"/>
          </w:tcPr>
          <w:p w14:paraId="6D1CBEA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《建筑施工特种作业人员管理规定》(建质[2008]75号)</w:t>
            </w:r>
          </w:p>
        </w:tc>
        <w:tc>
          <w:tcPr>
            <w:tcW w:w="1907" w:type="dxa"/>
            <w:noWrap w:val="0"/>
            <w:vAlign w:val="center"/>
          </w:tcPr>
          <w:p w14:paraId="19F4670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4FB1D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736EA69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40</w:t>
            </w:r>
          </w:p>
        </w:tc>
        <w:tc>
          <w:tcPr>
            <w:tcW w:w="7019" w:type="dxa"/>
            <w:noWrap w:val="0"/>
            <w:vAlign w:val="center"/>
          </w:tcPr>
          <w:p w14:paraId="02CC128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《建筑施工企业安全生产管理机构设置及专职安全生产管理人员配备办法》（建质[2008]91号）</w:t>
            </w:r>
          </w:p>
        </w:tc>
        <w:tc>
          <w:tcPr>
            <w:tcW w:w="1907" w:type="dxa"/>
            <w:noWrap w:val="0"/>
            <w:vAlign w:val="center"/>
          </w:tcPr>
          <w:p w14:paraId="2387164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78FA6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184BD4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41</w:t>
            </w:r>
          </w:p>
        </w:tc>
        <w:tc>
          <w:tcPr>
            <w:tcW w:w="7019" w:type="dxa"/>
            <w:noWrap w:val="0"/>
            <w:vAlign w:val="center"/>
          </w:tcPr>
          <w:p w14:paraId="763E257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《建筑施工企业负责人及项目负责人施工现场带班暂行办法》(建质[2011]111号)</w:t>
            </w:r>
          </w:p>
        </w:tc>
        <w:tc>
          <w:tcPr>
            <w:tcW w:w="1907" w:type="dxa"/>
            <w:noWrap w:val="0"/>
            <w:vAlign w:val="center"/>
          </w:tcPr>
          <w:p w14:paraId="7612159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5FA9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9473FF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42</w:t>
            </w:r>
          </w:p>
        </w:tc>
        <w:tc>
          <w:tcPr>
            <w:tcW w:w="7019" w:type="dxa"/>
            <w:noWrap w:val="0"/>
            <w:vAlign w:val="center"/>
          </w:tcPr>
          <w:p w14:paraId="6204C2B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《房屋建筑和市政基础设施工程竣工验收规定》（建质[2013]171号）</w:t>
            </w:r>
          </w:p>
        </w:tc>
        <w:tc>
          <w:tcPr>
            <w:tcW w:w="1907" w:type="dxa"/>
            <w:noWrap w:val="0"/>
            <w:vAlign w:val="center"/>
          </w:tcPr>
          <w:p w14:paraId="3CC55F0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22A2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16F3A6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43</w:t>
            </w:r>
          </w:p>
        </w:tc>
        <w:tc>
          <w:tcPr>
            <w:tcW w:w="7019" w:type="dxa"/>
            <w:noWrap w:val="0"/>
            <w:vAlign w:val="center"/>
          </w:tcPr>
          <w:p w14:paraId="5F41030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《建筑施工安全生产标准化考评暂行办法》（建质[2014]111号）</w:t>
            </w:r>
          </w:p>
        </w:tc>
        <w:tc>
          <w:tcPr>
            <w:tcW w:w="1907" w:type="dxa"/>
            <w:noWrap w:val="0"/>
            <w:vAlign w:val="center"/>
          </w:tcPr>
          <w:p w14:paraId="54494B1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5E85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468E5E4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44</w:t>
            </w:r>
          </w:p>
        </w:tc>
        <w:tc>
          <w:tcPr>
            <w:tcW w:w="7019" w:type="dxa"/>
            <w:noWrap w:val="0"/>
            <w:vAlign w:val="center"/>
          </w:tcPr>
          <w:p w14:paraId="2662DD2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《建筑施工项目经理质量安全责任十项规定（试行）》（建质[2014]123号）</w:t>
            </w:r>
          </w:p>
        </w:tc>
        <w:tc>
          <w:tcPr>
            <w:tcW w:w="1907" w:type="dxa"/>
            <w:noWrap w:val="0"/>
            <w:vAlign w:val="center"/>
          </w:tcPr>
          <w:p w14:paraId="7BA92AB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E5FF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7E1DAC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45</w:t>
            </w:r>
          </w:p>
        </w:tc>
        <w:tc>
          <w:tcPr>
            <w:tcW w:w="7019" w:type="dxa"/>
            <w:noWrap w:val="0"/>
            <w:vAlign w:val="center"/>
          </w:tcPr>
          <w:p w14:paraId="2B96A70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《建筑工程五方责任主体项目负责人质量终身责任追究暂行办法》（建质[2014]124号）</w:t>
            </w:r>
          </w:p>
        </w:tc>
        <w:tc>
          <w:tcPr>
            <w:tcW w:w="1907" w:type="dxa"/>
            <w:noWrap w:val="0"/>
            <w:vAlign w:val="center"/>
          </w:tcPr>
          <w:p w14:paraId="0BC9193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4757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14436C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46</w:t>
            </w:r>
          </w:p>
        </w:tc>
        <w:tc>
          <w:tcPr>
            <w:tcW w:w="7019" w:type="dxa"/>
            <w:noWrap w:val="0"/>
            <w:vAlign w:val="center"/>
          </w:tcPr>
          <w:p w14:paraId="44CF8AC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《房屋建筑和市政基础设施工程施工安全监督规定》（建质[2014]153号）</w:t>
            </w:r>
          </w:p>
        </w:tc>
        <w:tc>
          <w:tcPr>
            <w:tcW w:w="1907" w:type="dxa"/>
            <w:noWrap w:val="0"/>
            <w:vAlign w:val="center"/>
          </w:tcPr>
          <w:p w14:paraId="1F4EB89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298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2884B21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47</w:t>
            </w:r>
          </w:p>
        </w:tc>
        <w:tc>
          <w:tcPr>
            <w:tcW w:w="7019" w:type="dxa"/>
            <w:noWrap w:val="0"/>
            <w:vAlign w:val="center"/>
          </w:tcPr>
          <w:p w14:paraId="1FBB1BB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《房屋建筑和市政基础设施工程施工安全监督工作规程》（建质[2014]154号）</w:t>
            </w:r>
          </w:p>
        </w:tc>
        <w:tc>
          <w:tcPr>
            <w:tcW w:w="1907" w:type="dxa"/>
            <w:noWrap w:val="0"/>
            <w:vAlign w:val="center"/>
          </w:tcPr>
          <w:p w14:paraId="3A1A870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5E30F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84487B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48</w:t>
            </w:r>
          </w:p>
        </w:tc>
        <w:tc>
          <w:tcPr>
            <w:tcW w:w="7019" w:type="dxa"/>
            <w:noWrap w:val="0"/>
            <w:vAlign w:val="center"/>
          </w:tcPr>
          <w:p w14:paraId="1D77171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《关于严格落实建筑工程质量终身责任承诺制的通知》（建办质[2014]44号）</w:t>
            </w:r>
          </w:p>
        </w:tc>
        <w:tc>
          <w:tcPr>
            <w:tcW w:w="1907" w:type="dxa"/>
            <w:noWrap w:val="0"/>
            <w:vAlign w:val="center"/>
          </w:tcPr>
          <w:p w14:paraId="5197FC8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5F554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1CAD0E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49</w:t>
            </w:r>
          </w:p>
        </w:tc>
        <w:tc>
          <w:tcPr>
            <w:tcW w:w="7019" w:type="dxa"/>
            <w:noWrap w:val="0"/>
            <w:vAlign w:val="center"/>
          </w:tcPr>
          <w:p w14:paraId="2CF2382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《房屋建筑工程质量保修办法》(建设部令,第80号)</w:t>
            </w:r>
          </w:p>
        </w:tc>
        <w:tc>
          <w:tcPr>
            <w:tcW w:w="1907" w:type="dxa"/>
            <w:noWrap w:val="0"/>
            <w:vAlign w:val="center"/>
          </w:tcPr>
          <w:p w14:paraId="3B34897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3B77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50A729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50</w:t>
            </w:r>
          </w:p>
        </w:tc>
        <w:tc>
          <w:tcPr>
            <w:tcW w:w="7019" w:type="dxa"/>
            <w:noWrap w:val="0"/>
            <w:vAlign w:val="center"/>
          </w:tcPr>
          <w:p w14:paraId="1788B04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《国家优质工程奖评选办法》（中施企协字〔2019〕16号）</w:t>
            </w:r>
          </w:p>
        </w:tc>
        <w:tc>
          <w:tcPr>
            <w:tcW w:w="1907" w:type="dxa"/>
            <w:noWrap w:val="0"/>
            <w:vAlign w:val="center"/>
          </w:tcPr>
          <w:p w14:paraId="454CF55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69669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35CF5F5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51</w:t>
            </w:r>
          </w:p>
        </w:tc>
        <w:tc>
          <w:tcPr>
            <w:tcW w:w="7019" w:type="dxa"/>
            <w:noWrap w:val="0"/>
            <w:vAlign w:val="center"/>
          </w:tcPr>
          <w:p w14:paraId="4A1E5C5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《实施工程建设强制性标准监督规定》(住房和城乡建设部令第52号）</w:t>
            </w:r>
          </w:p>
        </w:tc>
        <w:tc>
          <w:tcPr>
            <w:tcW w:w="1907" w:type="dxa"/>
            <w:noWrap w:val="0"/>
            <w:vAlign w:val="center"/>
          </w:tcPr>
          <w:p w14:paraId="029D294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4CD8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5CBAEE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52</w:t>
            </w:r>
          </w:p>
        </w:tc>
        <w:tc>
          <w:tcPr>
            <w:tcW w:w="7019" w:type="dxa"/>
            <w:noWrap w:val="0"/>
            <w:vAlign w:val="center"/>
          </w:tcPr>
          <w:p w14:paraId="598F0EA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《建设工程勘察设计资质管理规定》（建设部令第160号，住建部令第45号修改，2018年12月22日施行）</w:t>
            </w:r>
          </w:p>
        </w:tc>
        <w:tc>
          <w:tcPr>
            <w:tcW w:w="1907" w:type="dxa"/>
            <w:noWrap w:val="0"/>
            <w:vAlign w:val="center"/>
          </w:tcPr>
          <w:p w14:paraId="0D27C0A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43BD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46D7D1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53</w:t>
            </w:r>
          </w:p>
        </w:tc>
        <w:tc>
          <w:tcPr>
            <w:tcW w:w="7019" w:type="dxa"/>
            <w:noWrap w:val="0"/>
            <w:vAlign w:val="center"/>
          </w:tcPr>
          <w:p w14:paraId="6AE9273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《工程监理企业资质管理规定》（建设部令第158号，住建部令第45号修改，2018年12月22日施行）</w:t>
            </w:r>
          </w:p>
        </w:tc>
        <w:tc>
          <w:tcPr>
            <w:tcW w:w="1907" w:type="dxa"/>
            <w:noWrap w:val="0"/>
            <w:vAlign w:val="center"/>
          </w:tcPr>
          <w:p w14:paraId="37A3688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6F7A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5E3632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54</w:t>
            </w:r>
          </w:p>
        </w:tc>
        <w:tc>
          <w:tcPr>
            <w:tcW w:w="7019" w:type="dxa"/>
            <w:noWrap w:val="0"/>
            <w:vAlign w:val="center"/>
          </w:tcPr>
          <w:p w14:paraId="2FCAAE3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《国家能源局综合司关于开展电力建设工程落实施工方案专项行动的通知》国能综安全［2015］163 号</w:t>
            </w:r>
          </w:p>
        </w:tc>
        <w:tc>
          <w:tcPr>
            <w:tcW w:w="1907" w:type="dxa"/>
            <w:noWrap w:val="0"/>
            <w:vAlign w:val="center"/>
          </w:tcPr>
          <w:p w14:paraId="3934404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C1C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4D42E7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55</w:t>
            </w:r>
          </w:p>
        </w:tc>
        <w:tc>
          <w:tcPr>
            <w:tcW w:w="7019" w:type="dxa"/>
            <w:noWrap w:val="0"/>
            <w:vAlign w:val="center"/>
          </w:tcPr>
          <w:p w14:paraId="72129EB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《国家能源局关于加强电力工程质量监督工作的通知》（国能安全﹙2014）206号）</w:t>
            </w:r>
          </w:p>
        </w:tc>
        <w:tc>
          <w:tcPr>
            <w:tcW w:w="1907" w:type="dxa"/>
            <w:noWrap w:val="0"/>
            <w:vAlign w:val="center"/>
          </w:tcPr>
          <w:p w14:paraId="0E36652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E489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6C5C39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56</w:t>
            </w:r>
          </w:p>
        </w:tc>
        <w:tc>
          <w:tcPr>
            <w:tcW w:w="7019" w:type="dxa"/>
            <w:noWrap w:val="0"/>
            <w:vAlign w:val="center"/>
          </w:tcPr>
          <w:p w14:paraId="069E47D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《国家能源局关于修订印发火力发电、输变电、陆上风力发电、光伏发电建设工程质量监督检查大纲的通知(2023) 》（国能发安全规〔2023〕41号）</w:t>
            </w:r>
          </w:p>
        </w:tc>
        <w:tc>
          <w:tcPr>
            <w:tcW w:w="1907" w:type="dxa"/>
            <w:noWrap w:val="0"/>
            <w:vAlign w:val="center"/>
          </w:tcPr>
          <w:p w14:paraId="26CB181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6931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1F357D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57</w:t>
            </w:r>
          </w:p>
        </w:tc>
        <w:tc>
          <w:tcPr>
            <w:tcW w:w="7019" w:type="dxa"/>
            <w:noWrap w:val="0"/>
            <w:vAlign w:val="center"/>
          </w:tcPr>
          <w:p w14:paraId="0033806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《国家能源局关于印发电力工程质量监督体系调整方案的通知》（国能电力（2012）306号）</w:t>
            </w:r>
          </w:p>
        </w:tc>
        <w:tc>
          <w:tcPr>
            <w:tcW w:w="1907" w:type="dxa"/>
            <w:noWrap w:val="0"/>
            <w:vAlign w:val="center"/>
          </w:tcPr>
          <w:p w14:paraId="7F37940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518BF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6EFAB1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58</w:t>
            </w:r>
          </w:p>
        </w:tc>
        <w:tc>
          <w:tcPr>
            <w:tcW w:w="7019" w:type="dxa"/>
            <w:noWrap w:val="0"/>
            <w:vAlign w:val="center"/>
          </w:tcPr>
          <w:p w14:paraId="096BCD7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关于印发《电力工程质量监督实施管理程序（试行）》的通知(中电联质监〔2012〕437号)</w:t>
            </w:r>
          </w:p>
        </w:tc>
        <w:tc>
          <w:tcPr>
            <w:tcW w:w="1907" w:type="dxa"/>
            <w:noWrap w:val="0"/>
            <w:vAlign w:val="center"/>
          </w:tcPr>
          <w:p w14:paraId="5EB6BA5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6C9D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CA2EA2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59</w:t>
            </w:r>
          </w:p>
        </w:tc>
        <w:tc>
          <w:tcPr>
            <w:tcW w:w="7019" w:type="dxa"/>
            <w:noWrap w:val="0"/>
            <w:vAlign w:val="center"/>
          </w:tcPr>
          <w:p w14:paraId="146F5B3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《特种作业人员安全技术培训考核管理规定》(国家安全监督总局第80号令修订，2015年7月1日实施)</w:t>
            </w:r>
          </w:p>
        </w:tc>
        <w:tc>
          <w:tcPr>
            <w:tcW w:w="1907" w:type="dxa"/>
            <w:noWrap w:val="0"/>
            <w:vAlign w:val="center"/>
          </w:tcPr>
          <w:p w14:paraId="2DF8D14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61C8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456C05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60</w:t>
            </w:r>
          </w:p>
        </w:tc>
        <w:tc>
          <w:tcPr>
            <w:tcW w:w="7019" w:type="dxa"/>
            <w:noWrap w:val="0"/>
            <w:vAlign w:val="center"/>
          </w:tcPr>
          <w:p w14:paraId="19C726F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《企业安全生产应急管理九条规定》(国家安全监督总局第74号令，2015年1月30日实施)</w:t>
            </w:r>
          </w:p>
        </w:tc>
        <w:tc>
          <w:tcPr>
            <w:tcW w:w="1907" w:type="dxa"/>
            <w:noWrap w:val="0"/>
            <w:vAlign w:val="center"/>
          </w:tcPr>
          <w:p w14:paraId="7BA9BFC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42E1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5B136BC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61</w:t>
            </w:r>
          </w:p>
        </w:tc>
        <w:tc>
          <w:tcPr>
            <w:tcW w:w="7019" w:type="dxa"/>
            <w:noWrap w:val="0"/>
            <w:vAlign w:val="center"/>
          </w:tcPr>
          <w:p w14:paraId="4188CA6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《防止电力生产事故的二十五项重点要求</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2023版）</w:t>
            </w:r>
            <w:r>
              <w:rPr>
                <w:rFonts w:hint="eastAsia" w:ascii="宋体" w:hAnsi="宋体" w:eastAsia="宋体" w:cs="宋体"/>
                <w:color w:val="auto"/>
                <w:kern w:val="0"/>
                <w:sz w:val="28"/>
                <w:szCs w:val="28"/>
                <w:highlight w:val="none"/>
                <w:shd w:val="clear" w:color="auto" w:fill="auto"/>
              </w:rPr>
              <w:t>》（国能安全[20</w:t>
            </w:r>
            <w:r>
              <w:rPr>
                <w:rFonts w:hint="eastAsia" w:ascii="宋体" w:hAnsi="宋体" w:cs="宋体"/>
                <w:color w:val="auto"/>
                <w:kern w:val="0"/>
                <w:sz w:val="28"/>
                <w:szCs w:val="28"/>
                <w:highlight w:val="none"/>
                <w:shd w:val="clear" w:color="auto" w:fill="auto"/>
                <w:lang w:val="en-US" w:eastAsia="zh-CN"/>
              </w:rPr>
              <w:t>23</w:t>
            </w:r>
            <w:r>
              <w:rPr>
                <w:rFonts w:hint="eastAsia" w:ascii="宋体" w:hAnsi="宋体" w:eastAsia="宋体" w:cs="宋体"/>
                <w:color w:val="auto"/>
                <w:kern w:val="0"/>
                <w:sz w:val="28"/>
                <w:szCs w:val="28"/>
                <w:highlight w:val="none"/>
                <w:shd w:val="clear" w:color="auto" w:fill="auto"/>
              </w:rPr>
              <w:t>]</w:t>
            </w:r>
            <w:r>
              <w:rPr>
                <w:rFonts w:hint="eastAsia" w:ascii="宋体" w:hAnsi="宋体" w:cs="宋体"/>
                <w:color w:val="auto"/>
                <w:kern w:val="0"/>
                <w:sz w:val="28"/>
                <w:szCs w:val="28"/>
                <w:highlight w:val="none"/>
                <w:shd w:val="clear" w:color="auto" w:fill="auto"/>
                <w:lang w:val="en-US" w:eastAsia="zh-CN"/>
              </w:rPr>
              <w:t>22</w:t>
            </w:r>
            <w:r>
              <w:rPr>
                <w:rFonts w:hint="eastAsia" w:ascii="宋体" w:hAnsi="宋体" w:eastAsia="宋体" w:cs="宋体"/>
                <w:color w:val="auto"/>
                <w:kern w:val="0"/>
                <w:sz w:val="28"/>
                <w:szCs w:val="28"/>
                <w:highlight w:val="none"/>
                <w:shd w:val="clear" w:color="auto" w:fill="auto"/>
              </w:rPr>
              <w:t>号）</w:t>
            </w:r>
          </w:p>
        </w:tc>
        <w:tc>
          <w:tcPr>
            <w:tcW w:w="1907" w:type="dxa"/>
            <w:noWrap w:val="0"/>
            <w:vAlign w:val="center"/>
          </w:tcPr>
          <w:p w14:paraId="4B44B0D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462F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5107B07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62</w:t>
            </w:r>
          </w:p>
        </w:tc>
        <w:tc>
          <w:tcPr>
            <w:tcW w:w="7019" w:type="dxa"/>
            <w:noWrap w:val="0"/>
            <w:vAlign w:val="center"/>
          </w:tcPr>
          <w:p w14:paraId="525C8C5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《国家电力监管委员会令》（第5号）--《电力二次系统安全防护规定》</w:t>
            </w:r>
          </w:p>
        </w:tc>
        <w:tc>
          <w:tcPr>
            <w:tcW w:w="1907" w:type="dxa"/>
            <w:noWrap w:val="0"/>
            <w:vAlign w:val="center"/>
          </w:tcPr>
          <w:p w14:paraId="1E872EE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71C3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79FBFBE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63</w:t>
            </w:r>
          </w:p>
        </w:tc>
        <w:tc>
          <w:tcPr>
            <w:tcW w:w="7019" w:type="dxa"/>
            <w:noWrap w:val="0"/>
            <w:vAlign w:val="center"/>
          </w:tcPr>
          <w:p w14:paraId="5A37866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《承装（修、试）电力设施许可证管理办法》（国家发展和改革委员会令第36号）</w:t>
            </w:r>
          </w:p>
        </w:tc>
        <w:tc>
          <w:tcPr>
            <w:tcW w:w="1907" w:type="dxa"/>
            <w:noWrap w:val="0"/>
            <w:vAlign w:val="center"/>
          </w:tcPr>
          <w:p w14:paraId="3625C7C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1B4A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FA2539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64</w:t>
            </w:r>
          </w:p>
        </w:tc>
        <w:tc>
          <w:tcPr>
            <w:tcW w:w="7019" w:type="dxa"/>
            <w:noWrap w:val="0"/>
            <w:vAlign w:val="center"/>
          </w:tcPr>
          <w:p w14:paraId="2811098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《危险性较大的分部分项工程安全管理规定》(中华人民共和国住房和城乡建设部令第37号，建设部令第47号修改，2019年3月13日施行)</w:t>
            </w:r>
          </w:p>
        </w:tc>
        <w:tc>
          <w:tcPr>
            <w:tcW w:w="1907" w:type="dxa"/>
            <w:noWrap w:val="0"/>
            <w:vAlign w:val="center"/>
          </w:tcPr>
          <w:p w14:paraId="3267FF6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66B4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4147CB2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65</w:t>
            </w:r>
          </w:p>
        </w:tc>
        <w:tc>
          <w:tcPr>
            <w:tcW w:w="7019" w:type="dxa"/>
            <w:noWrap w:val="0"/>
            <w:vAlign w:val="center"/>
          </w:tcPr>
          <w:p w14:paraId="3620C98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必须招标的工程项目规定</w:t>
            </w: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（国家发展和改革委员会令第16号）</w:t>
            </w:r>
          </w:p>
        </w:tc>
        <w:tc>
          <w:tcPr>
            <w:tcW w:w="1907" w:type="dxa"/>
            <w:noWrap w:val="0"/>
            <w:vAlign w:val="center"/>
          </w:tcPr>
          <w:p w14:paraId="1CD810F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0002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4588BD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66</w:t>
            </w:r>
          </w:p>
        </w:tc>
        <w:tc>
          <w:tcPr>
            <w:tcW w:w="7019" w:type="dxa"/>
            <w:noWrap w:val="0"/>
            <w:vAlign w:val="center"/>
          </w:tcPr>
          <w:p w14:paraId="73AF0DB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必须招标的基础设施和公用事业项目范围规定</w:t>
            </w: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（发改法规规【2018】843号）</w:t>
            </w:r>
          </w:p>
        </w:tc>
        <w:tc>
          <w:tcPr>
            <w:tcW w:w="1907" w:type="dxa"/>
            <w:noWrap w:val="0"/>
            <w:vAlign w:val="center"/>
          </w:tcPr>
          <w:p w14:paraId="68B59E2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2DDF5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1CD465D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67</w:t>
            </w:r>
          </w:p>
        </w:tc>
        <w:tc>
          <w:tcPr>
            <w:tcW w:w="7019" w:type="dxa"/>
            <w:noWrap w:val="0"/>
            <w:vAlign w:val="center"/>
          </w:tcPr>
          <w:p w14:paraId="0FD0CA7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招标公告和公示信息发布管理办法</w:t>
            </w:r>
            <w:r>
              <w:rPr>
                <w:rFonts w:hint="eastAsia" w:ascii="宋体" w:hAnsi="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（国家发展和改革委员会令第10号）</w:t>
            </w:r>
          </w:p>
        </w:tc>
        <w:tc>
          <w:tcPr>
            <w:tcW w:w="1907" w:type="dxa"/>
            <w:noWrap w:val="0"/>
            <w:vAlign w:val="center"/>
          </w:tcPr>
          <w:p w14:paraId="048DF5F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部委法规</w:t>
            </w:r>
          </w:p>
        </w:tc>
      </w:tr>
      <w:tr w14:paraId="3779F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60" w:type="dxa"/>
            <w:noWrap w:val="0"/>
            <w:vAlign w:val="center"/>
          </w:tcPr>
          <w:p w14:paraId="6FFDE255">
            <w:pPr>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tc>
        <w:tc>
          <w:tcPr>
            <w:tcW w:w="7019" w:type="dxa"/>
            <w:noWrap w:val="0"/>
            <w:vAlign w:val="center"/>
          </w:tcPr>
          <w:p w14:paraId="65BDC729">
            <w:pPr>
              <w:pageBreakBefore w:val="0"/>
              <w:widowControl/>
              <w:kinsoku/>
              <w:wordWrap/>
              <w:overflowPunct/>
              <w:topLinePunct w:val="0"/>
              <w:bidi w:val="0"/>
              <w:spacing w:line="540" w:lineRule="exact"/>
              <w:jc w:val="cente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t>国家、行业设计规范和技术标准</w:t>
            </w:r>
          </w:p>
        </w:tc>
        <w:tc>
          <w:tcPr>
            <w:tcW w:w="1907" w:type="dxa"/>
            <w:noWrap w:val="0"/>
            <w:vAlign w:val="center"/>
          </w:tcPr>
          <w:p w14:paraId="148F6E5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p>
        </w:tc>
      </w:tr>
      <w:tr w14:paraId="1DD38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14D05AC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68</w:t>
            </w:r>
          </w:p>
        </w:tc>
        <w:tc>
          <w:tcPr>
            <w:tcW w:w="7019" w:type="dxa"/>
            <w:noWrap w:val="0"/>
            <w:vAlign w:val="center"/>
          </w:tcPr>
          <w:p w14:paraId="3B7E37E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《电力安全工作规程》发电厂和变电所电气部分、电力线路部分（GB 26860-2011、GB 26859-2011）</w:t>
            </w:r>
          </w:p>
        </w:tc>
        <w:tc>
          <w:tcPr>
            <w:tcW w:w="1907" w:type="dxa"/>
            <w:noWrap w:val="0"/>
            <w:vAlign w:val="center"/>
          </w:tcPr>
          <w:p w14:paraId="092F764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E211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1352209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69</w:t>
            </w:r>
          </w:p>
        </w:tc>
        <w:tc>
          <w:tcPr>
            <w:tcW w:w="7019" w:type="dxa"/>
            <w:noWrap w:val="0"/>
            <w:vAlign w:val="center"/>
          </w:tcPr>
          <w:p w14:paraId="7FA4081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《电力建设安全工作规程》电力线路；变电站(DL 5009.2-2013；DL 5009.3-2013)</w:t>
            </w:r>
          </w:p>
        </w:tc>
        <w:tc>
          <w:tcPr>
            <w:tcW w:w="1907" w:type="dxa"/>
            <w:noWrap w:val="0"/>
            <w:vAlign w:val="center"/>
          </w:tcPr>
          <w:p w14:paraId="47229D4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C35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904F44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70</w:t>
            </w:r>
          </w:p>
        </w:tc>
        <w:tc>
          <w:tcPr>
            <w:tcW w:w="7019" w:type="dxa"/>
            <w:noWrap w:val="0"/>
            <w:vAlign w:val="center"/>
          </w:tcPr>
          <w:p w14:paraId="05CF96A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《20kV及以下变电所设计规范》GB 50053-2013</w:t>
            </w:r>
          </w:p>
        </w:tc>
        <w:tc>
          <w:tcPr>
            <w:tcW w:w="1907" w:type="dxa"/>
            <w:noWrap w:val="0"/>
            <w:vAlign w:val="center"/>
          </w:tcPr>
          <w:p w14:paraId="6F3611C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2EE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EBE641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71</w:t>
            </w:r>
          </w:p>
        </w:tc>
        <w:tc>
          <w:tcPr>
            <w:tcW w:w="7019" w:type="dxa"/>
            <w:noWrap w:val="0"/>
            <w:vAlign w:val="center"/>
          </w:tcPr>
          <w:p w14:paraId="49516B4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《10kV及以下架空配电线路设计技术规程》DL/T 5220-2005</w:t>
            </w:r>
          </w:p>
        </w:tc>
        <w:tc>
          <w:tcPr>
            <w:tcW w:w="1907" w:type="dxa"/>
            <w:noWrap w:val="0"/>
            <w:vAlign w:val="center"/>
          </w:tcPr>
          <w:p w14:paraId="645F36B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93D6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A2126E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72</w:t>
            </w:r>
          </w:p>
        </w:tc>
        <w:tc>
          <w:tcPr>
            <w:tcW w:w="7019" w:type="dxa"/>
            <w:noWrap w:val="0"/>
            <w:vAlign w:val="center"/>
          </w:tcPr>
          <w:p w14:paraId="557460B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《110kV～750kV架空输电线路设计规范》GB 50545-2010</w:t>
            </w:r>
          </w:p>
        </w:tc>
        <w:tc>
          <w:tcPr>
            <w:tcW w:w="1907" w:type="dxa"/>
            <w:noWrap w:val="0"/>
            <w:vAlign w:val="center"/>
          </w:tcPr>
          <w:p w14:paraId="4E29DB9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723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8CCD0C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73</w:t>
            </w:r>
          </w:p>
        </w:tc>
        <w:tc>
          <w:tcPr>
            <w:tcW w:w="7019" w:type="dxa"/>
            <w:noWrap w:val="0"/>
            <w:vAlign w:val="center"/>
          </w:tcPr>
          <w:p w14:paraId="092AE11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《110kV～750kV架空输电线路施工及验收规范》GB 50233-2014</w:t>
            </w:r>
          </w:p>
        </w:tc>
        <w:tc>
          <w:tcPr>
            <w:tcW w:w="1907" w:type="dxa"/>
            <w:noWrap w:val="0"/>
            <w:vAlign w:val="center"/>
          </w:tcPr>
          <w:p w14:paraId="6B46F7B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569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6DFF48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74</w:t>
            </w:r>
          </w:p>
        </w:tc>
        <w:tc>
          <w:tcPr>
            <w:tcW w:w="7019" w:type="dxa"/>
            <w:noWrap w:val="0"/>
            <w:vAlign w:val="center"/>
          </w:tcPr>
          <w:p w14:paraId="011E7E0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《110-750kV架空送电线路工程施工质量检验及评定规程》DL/T 5168-2016</w:t>
            </w:r>
          </w:p>
        </w:tc>
        <w:tc>
          <w:tcPr>
            <w:tcW w:w="1907" w:type="dxa"/>
            <w:noWrap w:val="0"/>
            <w:vAlign w:val="center"/>
          </w:tcPr>
          <w:p w14:paraId="15AA065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534C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24A9A8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75</w:t>
            </w:r>
          </w:p>
        </w:tc>
        <w:tc>
          <w:tcPr>
            <w:tcW w:w="7019" w:type="dxa"/>
            <w:noWrap w:val="0"/>
            <w:vAlign w:val="center"/>
          </w:tcPr>
          <w:p w14:paraId="6A3D30A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《110kV及以上送变电工程启动及竣工验收规程》DL/T 782-2001</w:t>
            </w:r>
          </w:p>
        </w:tc>
        <w:tc>
          <w:tcPr>
            <w:tcW w:w="1907" w:type="dxa"/>
            <w:noWrap w:val="0"/>
            <w:vAlign w:val="center"/>
          </w:tcPr>
          <w:p w14:paraId="565FB4A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82ED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388CC6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76</w:t>
            </w:r>
          </w:p>
        </w:tc>
        <w:tc>
          <w:tcPr>
            <w:tcW w:w="7019" w:type="dxa"/>
            <w:noWrap w:val="0"/>
            <w:vAlign w:val="center"/>
          </w:tcPr>
          <w:p w14:paraId="2100829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《3～110kV高压配电装置设计规范》GB 50060-2008</w:t>
            </w:r>
          </w:p>
        </w:tc>
        <w:tc>
          <w:tcPr>
            <w:tcW w:w="1907" w:type="dxa"/>
            <w:noWrap w:val="0"/>
            <w:vAlign w:val="center"/>
          </w:tcPr>
          <w:p w14:paraId="123A5A6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E83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5050ED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77</w:t>
            </w:r>
          </w:p>
        </w:tc>
        <w:tc>
          <w:tcPr>
            <w:tcW w:w="7019" w:type="dxa"/>
            <w:noWrap w:val="0"/>
            <w:vAlign w:val="center"/>
          </w:tcPr>
          <w:p w14:paraId="7C6C288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《35kV～110kV变电站设计规范》GB 50059-2011</w:t>
            </w:r>
          </w:p>
        </w:tc>
        <w:tc>
          <w:tcPr>
            <w:tcW w:w="1907" w:type="dxa"/>
            <w:noWrap w:val="0"/>
            <w:vAlign w:val="center"/>
          </w:tcPr>
          <w:p w14:paraId="01546D0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B06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204D66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78</w:t>
            </w:r>
          </w:p>
        </w:tc>
        <w:tc>
          <w:tcPr>
            <w:tcW w:w="7019" w:type="dxa"/>
            <w:noWrap w:val="0"/>
            <w:vAlign w:val="center"/>
          </w:tcPr>
          <w:p w14:paraId="0E6459A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《66kV及以下架空电力线路设计规范》  GB 50061-2010</w:t>
            </w:r>
          </w:p>
        </w:tc>
        <w:tc>
          <w:tcPr>
            <w:tcW w:w="1907" w:type="dxa"/>
            <w:noWrap w:val="0"/>
            <w:vAlign w:val="center"/>
          </w:tcPr>
          <w:p w14:paraId="4E26A29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6D81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708821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79</w:t>
            </w:r>
          </w:p>
        </w:tc>
        <w:tc>
          <w:tcPr>
            <w:tcW w:w="7019" w:type="dxa"/>
            <w:noWrap w:val="0"/>
            <w:vAlign w:val="center"/>
          </w:tcPr>
          <w:p w14:paraId="44E8875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电网建设项目文件归档与档案整理规范DL/T1363-2014</w:t>
            </w:r>
          </w:p>
        </w:tc>
        <w:tc>
          <w:tcPr>
            <w:tcW w:w="1907" w:type="dxa"/>
            <w:noWrap w:val="0"/>
            <w:vAlign w:val="center"/>
          </w:tcPr>
          <w:p w14:paraId="2890D41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BDAD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13F8D16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80</w:t>
            </w:r>
          </w:p>
        </w:tc>
        <w:tc>
          <w:tcPr>
            <w:tcW w:w="7019" w:type="dxa"/>
            <w:noWrap w:val="0"/>
            <w:vAlign w:val="center"/>
          </w:tcPr>
          <w:p w14:paraId="7C1FC45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《变电站建筑结构设计技术规程》DL/T 5457-2012</w:t>
            </w:r>
          </w:p>
        </w:tc>
        <w:tc>
          <w:tcPr>
            <w:tcW w:w="1907" w:type="dxa"/>
            <w:noWrap w:val="0"/>
            <w:vAlign w:val="center"/>
          </w:tcPr>
          <w:p w14:paraId="0A1B732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297C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EC44A2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81</w:t>
            </w:r>
          </w:p>
        </w:tc>
        <w:tc>
          <w:tcPr>
            <w:tcW w:w="7019" w:type="dxa"/>
            <w:noWrap w:val="0"/>
            <w:vAlign w:val="center"/>
          </w:tcPr>
          <w:p w14:paraId="7AB550D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《变电站总布置设计技术规程》DL/T 5056-2007</w:t>
            </w:r>
          </w:p>
        </w:tc>
        <w:tc>
          <w:tcPr>
            <w:tcW w:w="1907" w:type="dxa"/>
            <w:noWrap w:val="0"/>
            <w:vAlign w:val="center"/>
          </w:tcPr>
          <w:p w14:paraId="4356D0A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80E4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AB0721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82</w:t>
            </w:r>
          </w:p>
        </w:tc>
        <w:tc>
          <w:tcPr>
            <w:tcW w:w="7019" w:type="dxa"/>
            <w:noWrap w:val="0"/>
            <w:vAlign w:val="center"/>
          </w:tcPr>
          <w:p w14:paraId="1D23C47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《110kV～750kV架空输电线路张力架线施工工艺导则》DL/T 5343-2018</w:t>
            </w:r>
          </w:p>
        </w:tc>
        <w:tc>
          <w:tcPr>
            <w:tcW w:w="1907" w:type="dxa"/>
            <w:noWrap w:val="0"/>
            <w:vAlign w:val="center"/>
          </w:tcPr>
          <w:p w14:paraId="16F0639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F8A5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16686E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83</w:t>
            </w:r>
          </w:p>
        </w:tc>
        <w:tc>
          <w:tcPr>
            <w:tcW w:w="7019" w:type="dxa"/>
            <w:noWrap w:val="0"/>
            <w:vAlign w:val="center"/>
          </w:tcPr>
          <w:p w14:paraId="4F377EF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《城市电力电缆线路设计技术规定》DL/T 5221-2016</w:t>
            </w:r>
          </w:p>
        </w:tc>
        <w:tc>
          <w:tcPr>
            <w:tcW w:w="1907" w:type="dxa"/>
            <w:noWrap w:val="0"/>
            <w:vAlign w:val="center"/>
          </w:tcPr>
          <w:p w14:paraId="360443D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EE9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C21034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84</w:t>
            </w:r>
          </w:p>
        </w:tc>
        <w:tc>
          <w:tcPr>
            <w:tcW w:w="7019" w:type="dxa"/>
            <w:noWrap w:val="0"/>
            <w:vAlign w:val="center"/>
          </w:tcPr>
          <w:p w14:paraId="4F734FB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《城市工程管线综合规划规范》  GB 50289-2016</w:t>
            </w:r>
          </w:p>
        </w:tc>
        <w:tc>
          <w:tcPr>
            <w:tcW w:w="1907" w:type="dxa"/>
            <w:noWrap w:val="0"/>
            <w:vAlign w:val="center"/>
          </w:tcPr>
          <w:p w14:paraId="47A212A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F7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897BD2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85</w:t>
            </w:r>
          </w:p>
        </w:tc>
        <w:tc>
          <w:tcPr>
            <w:tcW w:w="7019" w:type="dxa"/>
            <w:noWrap w:val="0"/>
            <w:vAlign w:val="center"/>
          </w:tcPr>
          <w:p w14:paraId="1BFD3CA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《导体和电器选择设计技术规定》DL/T 5222-2005</w:t>
            </w:r>
          </w:p>
        </w:tc>
        <w:tc>
          <w:tcPr>
            <w:tcW w:w="1907" w:type="dxa"/>
            <w:noWrap w:val="0"/>
            <w:vAlign w:val="center"/>
          </w:tcPr>
          <w:p w14:paraId="7D6E74E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A536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A215A5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86</w:t>
            </w:r>
          </w:p>
        </w:tc>
        <w:tc>
          <w:tcPr>
            <w:tcW w:w="7019" w:type="dxa"/>
            <w:noWrap w:val="0"/>
            <w:vAlign w:val="center"/>
          </w:tcPr>
          <w:p w14:paraId="1F46E00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《低合金高强度结构钢》GB/T 1591-2018</w:t>
            </w:r>
          </w:p>
        </w:tc>
        <w:tc>
          <w:tcPr>
            <w:tcW w:w="1907" w:type="dxa"/>
            <w:noWrap w:val="0"/>
            <w:vAlign w:val="center"/>
          </w:tcPr>
          <w:p w14:paraId="616DF1D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F17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BC426C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87</w:t>
            </w:r>
          </w:p>
        </w:tc>
        <w:tc>
          <w:tcPr>
            <w:tcW w:w="7019" w:type="dxa"/>
            <w:noWrap w:val="0"/>
            <w:vAlign w:val="center"/>
          </w:tcPr>
          <w:p w14:paraId="4C4E63D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《低压配电设计规范》GB 50054-2011</w:t>
            </w:r>
          </w:p>
        </w:tc>
        <w:tc>
          <w:tcPr>
            <w:tcW w:w="1907" w:type="dxa"/>
            <w:noWrap w:val="0"/>
            <w:vAlign w:val="center"/>
          </w:tcPr>
          <w:p w14:paraId="49FBA8D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A43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B91877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88</w:t>
            </w:r>
          </w:p>
        </w:tc>
        <w:tc>
          <w:tcPr>
            <w:tcW w:w="7019" w:type="dxa"/>
            <w:noWrap w:val="0"/>
            <w:vAlign w:val="center"/>
          </w:tcPr>
          <w:p w14:paraId="48CFDBA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《地下防水工程质量验收规范》GB 50208-2011</w:t>
            </w:r>
          </w:p>
        </w:tc>
        <w:tc>
          <w:tcPr>
            <w:tcW w:w="1907" w:type="dxa"/>
            <w:noWrap w:val="0"/>
            <w:vAlign w:val="center"/>
          </w:tcPr>
          <w:p w14:paraId="7DCCA77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81DF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FB82BC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89</w:t>
            </w:r>
          </w:p>
        </w:tc>
        <w:tc>
          <w:tcPr>
            <w:tcW w:w="7019" w:type="dxa"/>
            <w:noWrap w:val="0"/>
            <w:vAlign w:val="center"/>
          </w:tcPr>
          <w:p w14:paraId="37C62B0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《地下工程防水技术规范》GB 50108-2008</w:t>
            </w:r>
          </w:p>
        </w:tc>
        <w:tc>
          <w:tcPr>
            <w:tcW w:w="1907" w:type="dxa"/>
            <w:noWrap w:val="0"/>
            <w:vAlign w:val="center"/>
          </w:tcPr>
          <w:p w14:paraId="2680B4C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13B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D9EA82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90</w:t>
            </w:r>
          </w:p>
        </w:tc>
        <w:tc>
          <w:tcPr>
            <w:tcW w:w="7019" w:type="dxa"/>
            <w:noWrap w:val="0"/>
            <w:vAlign w:val="center"/>
          </w:tcPr>
          <w:p w14:paraId="7713C61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《电工圆铝线》GB/T 3955-2009</w:t>
            </w:r>
          </w:p>
        </w:tc>
        <w:tc>
          <w:tcPr>
            <w:tcW w:w="1907" w:type="dxa"/>
            <w:noWrap w:val="0"/>
            <w:vAlign w:val="center"/>
          </w:tcPr>
          <w:p w14:paraId="25ACDE5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232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80D1DA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91</w:t>
            </w:r>
          </w:p>
        </w:tc>
        <w:tc>
          <w:tcPr>
            <w:tcW w:w="7019" w:type="dxa"/>
            <w:noWrap w:val="0"/>
            <w:vAlign w:val="center"/>
          </w:tcPr>
          <w:p w14:paraId="108D701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《电工圆铜线》GB/T3953-2009</w:t>
            </w:r>
          </w:p>
        </w:tc>
        <w:tc>
          <w:tcPr>
            <w:tcW w:w="1907" w:type="dxa"/>
            <w:noWrap w:val="0"/>
            <w:vAlign w:val="center"/>
          </w:tcPr>
          <w:p w14:paraId="252927F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4D7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96E065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92</w:t>
            </w:r>
          </w:p>
        </w:tc>
        <w:tc>
          <w:tcPr>
            <w:tcW w:w="7019" w:type="dxa"/>
            <w:noWrap w:val="0"/>
            <w:vAlign w:val="center"/>
          </w:tcPr>
          <w:p w14:paraId="7C05A75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《电缆的导体》GB/T 3956-2008</w:t>
            </w:r>
          </w:p>
        </w:tc>
        <w:tc>
          <w:tcPr>
            <w:tcW w:w="1907" w:type="dxa"/>
            <w:noWrap w:val="0"/>
            <w:vAlign w:val="center"/>
          </w:tcPr>
          <w:p w14:paraId="1525AEB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914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000C55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93</w:t>
            </w:r>
          </w:p>
        </w:tc>
        <w:tc>
          <w:tcPr>
            <w:tcW w:w="7019" w:type="dxa"/>
            <w:noWrap w:val="0"/>
            <w:vAlign w:val="center"/>
          </w:tcPr>
          <w:p w14:paraId="66E877D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《电缆和光缆绝缘和护套材料通用试验方法》（GB/T 2951.11-2008、GB/T 2951.12-2008、GB/T 2951.13-2008、GB/T 2951.14-2008、GB/T 2951.21-2008、GB/T 2951.31-2008、GB/T 2951.32-2008、GB/T 2951.41-2008、GB/T 2951.42-2008、GB/T 2951.51-2008）</w:t>
            </w:r>
          </w:p>
        </w:tc>
        <w:tc>
          <w:tcPr>
            <w:tcW w:w="1907" w:type="dxa"/>
            <w:noWrap w:val="0"/>
            <w:vAlign w:val="center"/>
          </w:tcPr>
          <w:p w14:paraId="0498D9B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BE30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1DCDEB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94</w:t>
            </w:r>
          </w:p>
        </w:tc>
        <w:tc>
          <w:tcPr>
            <w:tcW w:w="7019" w:type="dxa"/>
            <w:noWrap w:val="0"/>
            <w:vAlign w:val="center"/>
          </w:tcPr>
          <w:p w14:paraId="38C531A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《电缆外护层》（GB /T 2952.1-2008、GB /T 2952.2-2008、GB /T 2952.3-2008）</w:t>
            </w:r>
          </w:p>
        </w:tc>
        <w:tc>
          <w:tcPr>
            <w:tcW w:w="1907" w:type="dxa"/>
            <w:noWrap w:val="0"/>
            <w:vAlign w:val="center"/>
          </w:tcPr>
          <w:p w14:paraId="17D9EC4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B69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0BAA41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95</w:t>
            </w:r>
          </w:p>
        </w:tc>
        <w:tc>
          <w:tcPr>
            <w:tcW w:w="7019" w:type="dxa"/>
            <w:noWrap w:val="0"/>
            <w:vAlign w:val="center"/>
          </w:tcPr>
          <w:p w14:paraId="188DC59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《电缆载流量计算》（JB/T 10181.11-2014、JB/T 10181.12-2014、JB/T 10181.21-2014、JB/T 10181.22-2014、JB/T 10181.31-2014、JB/T 10181.32-2014）</w:t>
            </w:r>
          </w:p>
        </w:tc>
        <w:tc>
          <w:tcPr>
            <w:tcW w:w="1907" w:type="dxa"/>
            <w:noWrap w:val="0"/>
            <w:vAlign w:val="center"/>
          </w:tcPr>
          <w:p w14:paraId="45530C0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5713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F20653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96</w:t>
            </w:r>
          </w:p>
        </w:tc>
        <w:tc>
          <w:tcPr>
            <w:tcW w:w="7019" w:type="dxa"/>
            <w:noWrap w:val="0"/>
            <w:vAlign w:val="center"/>
          </w:tcPr>
          <w:p w14:paraId="50E1BC2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《电力工程直流电源系统设计技术规程》 DL/T 5044-2014</w:t>
            </w:r>
          </w:p>
        </w:tc>
        <w:tc>
          <w:tcPr>
            <w:tcW w:w="1907" w:type="dxa"/>
            <w:noWrap w:val="0"/>
            <w:vAlign w:val="center"/>
          </w:tcPr>
          <w:p w14:paraId="3B503D5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A1D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5D31E1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97</w:t>
            </w:r>
          </w:p>
        </w:tc>
        <w:tc>
          <w:tcPr>
            <w:tcW w:w="7019" w:type="dxa"/>
            <w:noWrap w:val="0"/>
            <w:vAlign w:val="center"/>
          </w:tcPr>
          <w:p w14:paraId="5442FA8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《电力建设施工及验收技术规范》DJ 57-1979</w:t>
            </w:r>
          </w:p>
        </w:tc>
        <w:tc>
          <w:tcPr>
            <w:tcW w:w="1907" w:type="dxa"/>
            <w:noWrap w:val="0"/>
            <w:vAlign w:val="center"/>
          </w:tcPr>
          <w:p w14:paraId="5AC5DA0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AED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E1F35D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98</w:t>
            </w:r>
          </w:p>
        </w:tc>
        <w:tc>
          <w:tcPr>
            <w:tcW w:w="7019" w:type="dxa"/>
            <w:noWrap w:val="0"/>
            <w:vAlign w:val="center"/>
          </w:tcPr>
          <w:p w14:paraId="217A0AB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《电力设备典型消防规程》DL 5027-2015</w:t>
            </w:r>
          </w:p>
        </w:tc>
        <w:tc>
          <w:tcPr>
            <w:tcW w:w="1907" w:type="dxa"/>
            <w:noWrap w:val="0"/>
            <w:vAlign w:val="center"/>
          </w:tcPr>
          <w:p w14:paraId="1794E1D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B985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F52C25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99</w:t>
            </w:r>
          </w:p>
        </w:tc>
        <w:tc>
          <w:tcPr>
            <w:tcW w:w="7019" w:type="dxa"/>
            <w:noWrap w:val="0"/>
            <w:vAlign w:val="center"/>
          </w:tcPr>
          <w:p w14:paraId="2CDB1BB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《电力设施抗震设计规范》GB 50260-2013</w:t>
            </w:r>
          </w:p>
        </w:tc>
        <w:tc>
          <w:tcPr>
            <w:tcW w:w="1907" w:type="dxa"/>
            <w:noWrap w:val="0"/>
            <w:vAlign w:val="center"/>
          </w:tcPr>
          <w:p w14:paraId="7657A1D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C982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A05476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100</w:t>
            </w:r>
          </w:p>
        </w:tc>
        <w:tc>
          <w:tcPr>
            <w:tcW w:w="7019" w:type="dxa"/>
            <w:noWrap w:val="0"/>
            <w:vAlign w:val="center"/>
          </w:tcPr>
          <w:p w14:paraId="337045B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《电力系统安全稳定导则》DL 755-2001</w:t>
            </w:r>
          </w:p>
        </w:tc>
        <w:tc>
          <w:tcPr>
            <w:tcW w:w="1907" w:type="dxa"/>
            <w:noWrap w:val="0"/>
            <w:vAlign w:val="center"/>
          </w:tcPr>
          <w:p w14:paraId="67C5D11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B6D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C61CDC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101</w:t>
            </w:r>
          </w:p>
        </w:tc>
        <w:tc>
          <w:tcPr>
            <w:tcW w:w="7019" w:type="dxa"/>
            <w:noWrap w:val="0"/>
            <w:vAlign w:val="center"/>
          </w:tcPr>
          <w:p w14:paraId="6ADF980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《电力系统设计技术规程》DL/T 5429-2009</w:t>
            </w:r>
          </w:p>
        </w:tc>
        <w:tc>
          <w:tcPr>
            <w:tcW w:w="1907" w:type="dxa"/>
            <w:noWrap w:val="0"/>
            <w:vAlign w:val="center"/>
          </w:tcPr>
          <w:p w14:paraId="2AE0230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6A3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0CC178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102</w:t>
            </w:r>
          </w:p>
        </w:tc>
        <w:tc>
          <w:tcPr>
            <w:tcW w:w="7019" w:type="dxa"/>
            <w:noWrap w:val="0"/>
            <w:vAlign w:val="center"/>
          </w:tcPr>
          <w:p w14:paraId="0FB249E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《电力系统设计内容深度规定》DL/T 5444-2010</w:t>
            </w:r>
          </w:p>
        </w:tc>
        <w:tc>
          <w:tcPr>
            <w:tcW w:w="1907" w:type="dxa"/>
            <w:noWrap w:val="0"/>
            <w:vAlign w:val="center"/>
          </w:tcPr>
          <w:p w14:paraId="76ABFD3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99C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49CF71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103</w:t>
            </w:r>
          </w:p>
        </w:tc>
        <w:tc>
          <w:tcPr>
            <w:tcW w:w="7019" w:type="dxa"/>
            <w:noWrap w:val="0"/>
            <w:vAlign w:val="center"/>
          </w:tcPr>
          <w:p w14:paraId="4FBF210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高压电器施工及验收规范》GB 50147-2010</w:t>
            </w:r>
          </w:p>
        </w:tc>
        <w:tc>
          <w:tcPr>
            <w:tcW w:w="1907" w:type="dxa"/>
            <w:noWrap w:val="0"/>
            <w:vAlign w:val="center"/>
          </w:tcPr>
          <w:p w14:paraId="244477C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224E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8CD30A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104</w:t>
            </w:r>
          </w:p>
        </w:tc>
        <w:tc>
          <w:tcPr>
            <w:tcW w:w="7019" w:type="dxa"/>
            <w:noWrap w:val="0"/>
            <w:vAlign w:val="center"/>
          </w:tcPr>
          <w:p w14:paraId="0D46508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电力变压器、油浸电抗器、互感器施工及验收规范》GB 50148-2010</w:t>
            </w:r>
          </w:p>
        </w:tc>
        <w:tc>
          <w:tcPr>
            <w:tcW w:w="1907" w:type="dxa"/>
            <w:noWrap w:val="0"/>
            <w:vAlign w:val="center"/>
          </w:tcPr>
          <w:p w14:paraId="593807B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99A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DBFC6C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105</w:t>
            </w:r>
          </w:p>
        </w:tc>
        <w:tc>
          <w:tcPr>
            <w:tcW w:w="7019" w:type="dxa"/>
            <w:noWrap w:val="0"/>
            <w:vAlign w:val="center"/>
          </w:tcPr>
          <w:p w14:paraId="57B6B4D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母线装置施工及验收规范》GB 50149-2010</w:t>
            </w:r>
          </w:p>
        </w:tc>
        <w:tc>
          <w:tcPr>
            <w:tcW w:w="1907" w:type="dxa"/>
            <w:noWrap w:val="0"/>
            <w:vAlign w:val="center"/>
          </w:tcPr>
          <w:p w14:paraId="6099DFD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674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A393BE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106</w:t>
            </w:r>
          </w:p>
        </w:tc>
        <w:tc>
          <w:tcPr>
            <w:tcW w:w="7019" w:type="dxa"/>
            <w:noWrap w:val="0"/>
            <w:vAlign w:val="center"/>
          </w:tcPr>
          <w:p w14:paraId="6149AD9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电气设备交接试验标准》GB50150-2016</w:t>
            </w:r>
          </w:p>
        </w:tc>
        <w:tc>
          <w:tcPr>
            <w:tcW w:w="1907" w:type="dxa"/>
            <w:noWrap w:val="0"/>
            <w:vAlign w:val="center"/>
          </w:tcPr>
          <w:p w14:paraId="701A75F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E293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354F070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107</w:t>
            </w:r>
          </w:p>
        </w:tc>
        <w:tc>
          <w:tcPr>
            <w:tcW w:w="7019" w:type="dxa"/>
            <w:noWrap w:val="0"/>
            <w:vAlign w:val="center"/>
          </w:tcPr>
          <w:p w14:paraId="4C75D4F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《电气装置安装工程 电缆线路施工及验收规范 》GB50168-2018 </w:t>
            </w:r>
          </w:p>
        </w:tc>
        <w:tc>
          <w:tcPr>
            <w:tcW w:w="1907" w:type="dxa"/>
            <w:noWrap w:val="0"/>
            <w:vAlign w:val="center"/>
          </w:tcPr>
          <w:p w14:paraId="285C3E6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6603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E126A0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108</w:t>
            </w:r>
          </w:p>
        </w:tc>
        <w:tc>
          <w:tcPr>
            <w:tcW w:w="7019" w:type="dxa"/>
            <w:noWrap w:val="0"/>
            <w:vAlign w:val="center"/>
          </w:tcPr>
          <w:p w14:paraId="27149CD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接地装置施工及验收规范》GB 50169-2016</w:t>
            </w:r>
          </w:p>
        </w:tc>
        <w:tc>
          <w:tcPr>
            <w:tcW w:w="1907" w:type="dxa"/>
            <w:noWrap w:val="0"/>
            <w:vAlign w:val="center"/>
          </w:tcPr>
          <w:p w14:paraId="6C8B107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9A4C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31DF340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109</w:t>
            </w:r>
          </w:p>
        </w:tc>
        <w:tc>
          <w:tcPr>
            <w:tcW w:w="7019" w:type="dxa"/>
            <w:noWrap w:val="0"/>
            <w:vAlign w:val="center"/>
          </w:tcPr>
          <w:p w14:paraId="7CDBCAC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旋转电机施工及验收规范》 GB 50170-2018</w:t>
            </w:r>
          </w:p>
        </w:tc>
        <w:tc>
          <w:tcPr>
            <w:tcW w:w="1907" w:type="dxa"/>
            <w:noWrap w:val="0"/>
            <w:vAlign w:val="center"/>
          </w:tcPr>
          <w:p w14:paraId="03E6FA1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4D5E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60" w:type="dxa"/>
            <w:noWrap w:val="0"/>
            <w:vAlign w:val="center"/>
          </w:tcPr>
          <w:p w14:paraId="7DCCF28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110</w:t>
            </w:r>
          </w:p>
        </w:tc>
        <w:tc>
          <w:tcPr>
            <w:tcW w:w="7019" w:type="dxa"/>
            <w:noWrap w:val="0"/>
            <w:vAlign w:val="center"/>
          </w:tcPr>
          <w:p w14:paraId="1883CB1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盘、柜及二次回路接线施工及验收规范》GB 50171-2012</w:t>
            </w:r>
          </w:p>
        </w:tc>
        <w:tc>
          <w:tcPr>
            <w:tcW w:w="1907" w:type="dxa"/>
            <w:noWrap w:val="0"/>
            <w:vAlign w:val="center"/>
          </w:tcPr>
          <w:p w14:paraId="250F7B9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F31F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1612AE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111</w:t>
            </w:r>
          </w:p>
        </w:tc>
        <w:tc>
          <w:tcPr>
            <w:tcW w:w="7019" w:type="dxa"/>
            <w:noWrap w:val="0"/>
            <w:vAlign w:val="center"/>
          </w:tcPr>
          <w:p w14:paraId="0FFD3AD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蓄电池施工及验收规范》GB 50172-2012</w:t>
            </w:r>
          </w:p>
        </w:tc>
        <w:tc>
          <w:tcPr>
            <w:tcW w:w="1907" w:type="dxa"/>
            <w:noWrap w:val="0"/>
            <w:vAlign w:val="center"/>
          </w:tcPr>
          <w:p w14:paraId="5D7FD43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4F04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78A9B2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112</w:t>
            </w:r>
          </w:p>
        </w:tc>
        <w:tc>
          <w:tcPr>
            <w:tcW w:w="7019" w:type="dxa"/>
            <w:noWrap w:val="0"/>
            <w:vAlign w:val="center"/>
          </w:tcPr>
          <w:p w14:paraId="6886153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66kV及以下架空电力线路施工及验收规范》GB 50173-2014</w:t>
            </w:r>
          </w:p>
        </w:tc>
        <w:tc>
          <w:tcPr>
            <w:tcW w:w="1907" w:type="dxa"/>
            <w:noWrap w:val="0"/>
            <w:vAlign w:val="center"/>
          </w:tcPr>
          <w:p w14:paraId="3D50E5D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752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F375AD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113</w:t>
            </w:r>
          </w:p>
        </w:tc>
        <w:tc>
          <w:tcPr>
            <w:tcW w:w="7019" w:type="dxa"/>
            <w:noWrap w:val="0"/>
            <w:vAlign w:val="center"/>
          </w:tcPr>
          <w:p w14:paraId="12BF01C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低压电器施工及验收规范》GB 50254-2014</w:t>
            </w:r>
          </w:p>
        </w:tc>
        <w:tc>
          <w:tcPr>
            <w:tcW w:w="1907" w:type="dxa"/>
            <w:noWrap w:val="0"/>
            <w:vAlign w:val="center"/>
          </w:tcPr>
          <w:p w14:paraId="5267DF9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6A0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4EC708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114</w:t>
            </w:r>
          </w:p>
        </w:tc>
        <w:tc>
          <w:tcPr>
            <w:tcW w:w="7019" w:type="dxa"/>
            <w:noWrap w:val="0"/>
            <w:vAlign w:val="center"/>
          </w:tcPr>
          <w:p w14:paraId="7BC5354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电力变流设备施工及验收规范》GB 50255-2014</w:t>
            </w:r>
          </w:p>
        </w:tc>
        <w:tc>
          <w:tcPr>
            <w:tcW w:w="1907" w:type="dxa"/>
            <w:noWrap w:val="0"/>
            <w:vAlign w:val="center"/>
          </w:tcPr>
          <w:p w14:paraId="4E9EA6A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F38D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0756452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115</w:t>
            </w:r>
          </w:p>
        </w:tc>
        <w:tc>
          <w:tcPr>
            <w:tcW w:w="7019" w:type="dxa"/>
            <w:noWrap w:val="0"/>
            <w:vAlign w:val="center"/>
          </w:tcPr>
          <w:p w14:paraId="0D12BE3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起重机电气装置施工及验收规范》GB 50256-2014</w:t>
            </w:r>
          </w:p>
        </w:tc>
        <w:tc>
          <w:tcPr>
            <w:tcW w:w="1907" w:type="dxa"/>
            <w:noWrap w:val="0"/>
            <w:vAlign w:val="center"/>
          </w:tcPr>
          <w:p w14:paraId="4F90CB6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58C3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FCE0F7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116</w:t>
            </w:r>
          </w:p>
        </w:tc>
        <w:tc>
          <w:tcPr>
            <w:tcW w:w="7019" w:type="dxa"/>
            <w:noWrap w:val="0"/>
            <w:vAlign w:val="center"/>
          </w:tcPr>
          <w:p w14:paraId="6AD81FF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爆炸和火灾危险环境电气装置施工及验收规范》GB 50257-2014</w:t>
            </w:r>
          </w:p>
        </w:tc>
        <w:tc>
          <w:tcPr>
            <w:tcW w:w="1907" w:type="dxa"/>
            <w:noWrap w:val="0"/>
            <w:vAlign w:val="center"/>
          </w:tcPr>
          <w:p w14:paraId="1B85296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062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73987F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117</w:t>
            </w:r>
          </w:p>
        </w:tc>
        <w:tc>
          <w:tcPr>
            <w:tcW w:w="7019" w:type="dxa"/>
            <w:noWrap w:val="0"/>
            <w:vAlign w:val="center"/>
          </w:tcPr>
          <w:p w14:paraId="1697959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串联电容器补偿装置施工及验收规范》GB 51049-2014</w:t>
            </w:r>
          </w:p>
        </w:tc>
        <w:tc>
          <w:tcPr>
            <w:tcW w:w="1907" w:type="dxa"/>
            <w:noWrap w:val="0"/>
            <w:vAlign w:val="center"/>
          </w:tcPr>
          <w:p w14:paraId="403F466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CF49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5B5C48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118</w:t>
            </w:r>
          </w:p>
        </w:tc>
        <w:tc>
          <w:tcPr>
            <w:tcW w:w="7019" w:type="dxa"/>
            <w:noWrap w:val="0"/>
            <w:vAlign w:val="center"/>
          </w:tcPr>
          <w:p w14:paraId="197CA31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《1000kV系统电气装置安装工程电气设备交接试验标准》GB/T 50832-2013</w:t>
            </w:r>
          </w:p>
        </w:tc>
        <w:tc>
          <w:tcPr>
            <w:tcW w:w="1907" w:type="dxa"/>
            <w:noWrap w:val="0"/>
            <w:vAlign w:val="center"/>
          </w:tcPr>
          <w:p w14:paraId="783FE0A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51B4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D1EAB5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119</w:t>
            </w:r>
          </w:p>
        </w:tc>
        <w:tc>
          <w:tcPr>
            <w:tcW w:w="7019" w:type="dxa"/>
            <w:noWrap w:val="0"/>
            <w:vAlign w:val="center"/>
          </w:tcPr>
          <w:p w14:paraId="35F96C9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电气装置安装工程 质量检验及评定规程 DL/T 5161.1-2018～DL/T 5161.15-2018</w:t>
            </w:r>
          </w:p>
        </w:tc>
        <w:tc>
          <w:tcPr>
            <w:tcW w:w="1907" w:type="dxa"/>
            <w:noWrap w:val="0"/>
            <w:vAlign w:val="center"/>
          </w:tcPr>
          <w:p w14:paraId="7EC3CA7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4320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DDE93B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120</w:t>
            </w:r>
          </w:p>
        </w:tc>
        <w:tc>
          <w:tcPr>
            <w:tcW w:w="7019" w:type="dxa"/>
            <w:noWrap w:val="0"/>
            <w:vAlign w:val="center"/>
          </w:tcPr>
          <w:p w14:paraId="197716A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《电力装置电测量仪表装置设计规范》  GB/T50063-2017</w:t>
            </w:r>
          </w:p>
        </w:tc>
        <w:tc>
          <w:tcPr>
            <w:tcW w:w="1907" w:type="dxa"/>
            <w:noWrap w:val="0"/>
            <w:vAlign w:val="center"/>
          </w:tcPr>
          <w:p w14:paraId="6B44C78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0307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7B12F5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121</w:t>
            </w:r>
          </w:p>
        </w:tc>
        <w:tc>
          <w:tcPr>
            <w:tcW w:w="7019" w:type="dxa"/>
            <w:noWrap w:val="0"/>
            <w:vAlign w:val="center"/>
          </w:tcPr>
          <w:p w14:paraId="00BEB6E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《电力装置的继电保护和自动装置设计规范》  GB/T50062－2008</w:t>
            </w:r>
          </w:p>
        </w:tc>
        <w:tc>
          <w:tcPr>
            <w:tcW w:w="1907" w:type="dxa"/>
            <w:noWrap w:val="0"/>
            <w:vAlign w:val="center"/>
          </w:tcPr>
          <w:p w14:paraId="3319BE4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BB5D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213044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122</w:t>
            </w:r>
          </w:p>
        </w:tc>
        <w:tc>
          <w:tcPr>
            <w:tcW w:w="7019" w:type="dxa"/>
            <w:noWrap w:val="0"/>
            <w:vAlign w:val="center"/>
          </w:tcPr>
          <w:p w14:paraId="3C948EC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《电线电缆电性能试验方法》（GB/T 3048.1-2007、GB/T 3048.2-2007、GB/T 3048.3-2007、GB/T 3048.4-2007、GB/T 3048.5-2007、GB/T 3048.7-2007、GB/T 3048.8-2007、GB/T 3048.9-2007、GB/T 3048.10-2007、GB/T 3048.11-2007、GB/T 3048.12-2007）</w:t>
            </w:r>
          </w:p>
        </w:tc>
        <w:tc>
          <w:tcPr>
            <w:tcW w:w="1907" w:type="dxa"/>
            <w:noWrap w:val="0"/>
            <w:vAlign w:val="center"/>
          </w:tcPr>
          <w:p w14:paraId="42F3D5F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E6EB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A96E19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123</w:t>
            </w:r>
          </w:p>
        </w:tc>
        <w:tc>
          <w:tcPr>
            <w:tcW w:w="7019" w:type="dxa"/>
            <w:noWrap w:val="0"/>
            <w:vAlign w:val="center"/>
          </w:tcPr>
          <w:p w14:paraId="2EDB28E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《电线电缆交货盘》JB/T 8137.1-4-2013</w:t>
            </w:r>
          </w:p>
        </w:tc>
        <w:tc>
          <w:tcPr>
            <w:tcW w:w="1907" w:type="dxa"/>
            <w:noWrap w:val="0"/>
            <w:vAlign w:val="center"/>
          </w:tcPr>
          <w:p w14:paraId="661C5AC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84E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6E298C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124</w:t>
            </w:r>
          </w:p>
        </w:tc>
        <w:tc>
          <w:tcPr>
            <w:tcW w:w="7019" w:type="dxa"/>
            <w:noWrap w:val="0"/>
            <w:vAlign w:val="center"/>
          </w:tcPr>
          <w:p w14:paraId="6092368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《电线电缆识别标志方法》GB/T6995.1-5-2008</w:t>
            </w:r>
          </w:p>
        </w:tc>
        <w:tc>
          <w:tcPr>
            <w:tcW w:w="1907" w:type="dxa"/>
            <w:noWrap w:val="0"/>
            <w:vAlign w:val="center"/>
          </w:tcPr>
          <w:p w14:paraId="2DD6192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9B4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A15233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125</w:t>
            </w:r>
          </w:p>
        </w:tc>
        <w:tc>
          <w:tcPr>
            <w:tcW w:w="7019" w:type="dxa"/>
            <w:noWrap w:val="0"/>
            <w:vAlign w:val="center"/>
          </w:tcPr>
          <w:p w14:paraId="585DF80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《额定电压110kV（Um=126kV）交联聚乙烯绝缘电力电缆及其附件》（GB/T 11017.1-2014、GB/T 11017.2-2014、GB/T 11017.3-2014）</w:t>
            </w:r>
          </w:p>
        </w:tc>
        <w:tc>
          <w:tcPr>
            <w:tcW w:w="1907" w:type="dxa"/>
            <w:noWrap w:val="0"/>
            <w:vAlign w:val="center"/>
          </w:tcPr>
          <w:p w14:paraId="10515F0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DA3E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F66675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126</w:t>
            </w:r>
          </w:p>
        </w:tc>
        <w:tc>
          <w:tcPr>
            <w:tcW w:w="7019" w:type="dxa"/>
            <w:noWrap w:val="0"/>
            <w:vAlign w:val="center"/>
          </w:tcPr>
          <w:p w14:paraId="77552E1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《额定电压220kV(Um=252kV)交联聚乙烯绝缘电力电缆及其附件》GB/Z 18890.1-2015、GB/Z 18890.2-2015、GB/Z 18890.3-2015</w:t>
            </w:r>
          </w:p>
        </w:tc>
        <w:tc>
          <w:tcPr>
            <w:tcW w:w="1907" w:type="dxa"/>
            <w:noWrap w:val="0"/>
            <w:vAlign w:val="center"/>
          </w:tcPr>
          <w:p w14:paraId="2B4ADF2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7A0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4F481B2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127</w:t>
            </w:r>
          </w:p>
        </w:tc>
        <w:tc>
          <w:tcPr>
            <w:tcW w:w="7019" w:type="dxa"/>
            <w:noWrap w:val="0"/>
            <w:vAlign w:val="center"/>
          </w:tcPr>
          <w:p w14:paraId="3DE1D0B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《额定电压1kV(Um=1.2kV)到35kV(Um=40.5kV)挤包绝缘电力电缆及附件》GB/T 12706-2008</w:t>
            </w:r>
          </w:p>
        </w:tc>
        <w:tc>
          <w:tcPr>
            <w:tcW w:w="1907" w:type="dxa"/>
            <w:noWrap w:val="0"/>
            <w:vAlign w:val="center"/>
          </w:tcPr>
          <w:p w14:paraId="04017A8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8ED2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1DB9521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128</w:t>
            </w:r>
          </w:p>
        </w:tc>
        <w:tc>
          <w:tcPr>
            <w:tcW w:w="7019" w:type="dxa"/>
            <w:noWrap w:val="0"/>
            <w:vAlign w:val="center"/>
          </w:tcPr>
          <w:p w14:paraId="3FD7337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《额定电压6kV(Um=7.2kV)到35kV(Um=40.5kV)电力电缆附件试验方法》GB/T 18889-2002</w:t>
            </w:r>
          </w:p>
        </w:tc>
        <w:tc>
          <w:tcPr>
            <w:tcW w:w="1907" w:type="dxa"/>
            <w:noWrap w:val="0"/>
            <w:vAlign w:val="center"/>
          </w:tcPr>
          <w:p w14:paraId="5C4C2B9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88C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90AD30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129</w:t>
            </w:r>
          </w:p>
        </w:tc>
        <w:tc>
          <w:tcPr>
            <w:tcW w:w="7019" w:type="dxa"/>
            <w:noWrap w:val="0"/>
            <w:vAlign w:val="center"/>
          </w:tcPr>
          <w:p w14:paraId="6597766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《非合金钢及细晶粒钢焊条》GB/T 5117-2012</w:t>
            </w:r>
          </w:p>
        </w:tc>
        <w:tc>
          <w:tcPr>
            <w:tcW w:w="1907" w:type="dxa"/>
            <w:noWrap w:val="0"/>
            <w:vAlign w:val="center"/>
          </w:tcPr>
          <w:p w14:paraId="5BDF82B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373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64CD52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130</w:t>
            </w:r>
          </w:p>
        </w:tc>
        <w:tc>
          <w:tcPr>
            <w:tcW w:w="7019" w:type="dxa"/>
            <w:noWrap w:val="0"/>
            <w:vAlign w:val="center"/>
          </w:tcPr>
          <w:p w14:paraId="2F370C5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《钢结构高强度螺栓连接技术规程》JGJ 82-2011</w:t>
            </w:r>
          </w:p>
        </w:tc>
        <w:tc>
          <w:tcPr>
            <w:tcW w:w="1907" w:type="dxa"/>
            <w:noWrap w:val="0"/>
            <w:vAlign w:val="center"/>
          </w:tcPr>
          <w:p w14:paraId="31EB2CF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46E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28A8FEB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131</w:t>
            </w:r>
          </w:p>
        </w:tc>
        <w:tc>
          <w:tcPr>
            <w:tcW w:w="7019" w:type="dxa"/>
            <w:noWrap w:val="0"/>
            <w:vAlign w:val="center"/>
          </w:tcPr>
          <w:p w14:paraId="75D3E8B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《钢结构工程施工质量验收规范》  GB 50205-2001</w:t>
            </w:r>
          </w:p>
        </w:tc>
        <w:tc>
          <w:tcPr>
            <w:tcW w:w="1907" w:type="dxa"/>
            <w:noWrap w:val="0"/>
            <w:vAlign w:val="center"/>
          </w:tcPr>
          <w:p w14:paraId="0557F86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2BAB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DD5E1D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132</w:t>
            </w:r>
          </w:p>
        </w:tc>
        <w:tc>
          <w:tcPr>
            <w:tcW w:w="7019" w:type="dxa"/>
            <w:noWrap w:val="0"/>
            <w:vAlign w:val="center"/>
          </w:tcPr>
          <w:p w14:paraId="2C07EFE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《钢筋焊接及验收规程》JGJ 18-2012</w:t>
            </w:r>
          </w:p>
        </w:tc>
        <w:tc>
          <w:tcPr>
            <w:tcW w:w="1907" w:type="dxa"/>
            <w:noWrap w:val="0"/>
            <w:vAlign w:val="center"/>
          </w:tcPr>
          <w:p w14:paraId="470E9CB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2577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B90CD6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133</w:t>
            </w:r>
          </w:p>
        </w:tc>
        <w:tc>
          <w:tcPr>
            <w:tcW w:w="7019" w:type="dxa"/>
            <w:noWrap w:val="0"/>
            <w:vAlign w:val="center"/>
          </w:tcPr>
          <w:p w14:paraId="721FC5D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《钢结构设计标准》GB 50017-2017</w:t>
            </w:r>
          </w:p>
        </w:tc>
        <w:tc>
          <w:tcPr>
            <w:tcW w:w="1907" w:type="dxa"/>
            <w:noWrap w:val="0"/>
            <w:vAlign w:val="center"/>
          </w:tcPr>
          <w:p w14:paraId="5C6428A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99C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7FAD08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134</w:t>
            </w:r>
          </w:p>
        </w:tc>
        <w:tc>
          <w:tcPr>
            <w:tcW w:w="7019" w:type="dxa"/>
            <w:noWrap w:val="0"/>
            <w:vAlign w:val="center"/>
          </w:tcPr>
          <w:p w14:paraId="4A58F74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《混凝土结构设计规范》 GB 50010-2010</w:t>
            </w:r>
          </w:p>
        </w:tc>
        <w:tc>
          <w:tcPr>
            <w:tcW w:w="1907" w:type="dxa"/>
            <w:noWrap w:val="0"/>
            <w:vAlign w:val="center"/>
          </w:tcPr>
          <w:p w14:paraId="63CDC73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23D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18CAE74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135</w:t>
            </w:r>
          </w:p>
        </w:tc>
        <w:tc>
          <w:tcPr>
            <w:tcW w:w="7019" w:type="dxa"/>
            <w:noWrap w:val="0"/>
            <w:vAlign w:val="center"/>
          </w:tcPr>
          <w:p w14:paraId="0B5C0FB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《高压电缆选用导则》DL/T 401-2017</w:t>
            </w:r>
          </w:p>
        </w:tc>
        <w:tc>
          <w:tcPr>
            <w:tcW w:w="1907" w:type="dxa"/>
            <w:noWrap w:val="0"/>
            <w:vAlign w:val="center"/>
          </w:tcPr>
          <w:p w14:paraId="77C1D0A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5AC9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DEAB21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136</w:t>
            </w:r>
          </w:p>
        </w:tc>
        <w:tc>
          <w:tcPr>
            <w:tcW w:w="7019" w:type="dxa"/>
            <w:noWrap w:val="0"/>
            <w:vAlign w:val="center"/>
          </w:tcPr>
          <w:p w14:paraId="07B8F00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《高压绝缘子瓷件技术条件》GB/T 772-2005</w:t>
            </w:r>
          </w:p>
        </w:tc>
        <w:tc>
          <w:tcPr>
            <w:tcW w:w="1907" w:type="dxa"/>
            <w:noWrap w:val="0"/>
            <w:vAlign w:val="center"/>
          </w:tcPr>
          <w:p w14:paraId="451E901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96C7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424245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137</w:t>
            </w:r>
          </w:p>
        </w:tc>
        <w:tc>
          <w:tcPr>
            <w:tcW w:w="7019" w:type="dxa"/>
            <w:noWrap w:val="0"/>
            <w:vAlign w:val="center"/>
          </w:tcPr>
          <w:p w14:paraId="7631EE9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《工程测量规范(附条文说明)》GB 50026-2007</w:t>
            </w:r>
          </w:p>
        </w:tc>
        <w:tc>
          <w:tcPr>
            <w:tcW w:w="1907" w:type="dxa"/>
            <w:noWrap w:val="0"/>
            <w:vAlign w:val="center"/>
          </w:tcPr>
          <w:p w14:paraId="628A34D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9D1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38E31A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138</w:t>
            </w:r>
          </w:p>
        </w:tc>
        <w:tc>
          <w:tcPr>
            <w:tcW w:w="7019" w:type="dxa"/>
            <w:noWrap w:val="0"/>
            <w:vAlign w:val="center"/>
          </w:tcPr>
          <w:p w14:paraId="0D01F8D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《供配电系统设计规范》  GB50052-2009</w:t>
            </w:r>
          </w:p>
        </w:tc>
        <w:tc>
          <w:tcPr>
            <w:tcW w:w="1907" w:type="dxa"/>
            <w:noWrap w:val="0"/>
            <w:vAlign w:val="center"/>
          </w:tcPr>
          <w:p w14:paraId="0FF5C2D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2C67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34125E3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139</w:t>
            </w:r>
          </w:p>
        </w:tc>
        <w:tc>
          <w:tcPr>
            <w:tcW w:w="7019" w:type="dxa"/>
            <w:noWrap w:val="0"/>
            <w:vAlign w:val="center"/>
          </w:tcPr>
          <w:p w14:paraId="48E28C6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《灌注桩基础技术规程(附条文说明)》YSJ 212-1992</w:t>
            </w:r>
          </w:p>
        </w:tc>
        <w:tc>
          <w:tcPr>
            <w:tcW w:w="1907" w:type="dxa"/>
            <w:noWrap w:val="0"/>
            <w:vAlign w:val="center"/>
          </w:tcPr>
          <w:p w14:paraId="0B64C7A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E18C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13D3B7C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140</w:t>
            </w:r>
          </w:p>
        </w:tc>
        <w:tc>
          <w:tcPr>
            <w:tcW w:w="7019" w:type="dxa"/>
            <w:noWrap w:val="0"/>
            <w:vAlign w:val="center"/>
          </w:tcPr>
          <w:p w14:paraId="5653F27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《混凝土结构工程施工质量验收规范》GB 50204-2015</w:t>
            </w:r>
          </w:p>
        </w:tc>
        <w:tc>
          <w:tcPr>
            <w:tcW w:w="1907" w:type="dxa"/>
            <w:noWrap w:val="0"/>
            <w:vAlign w:val="center"/>
          </w:tcPr>
          <w:p w14:paraId="68CCDA4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220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D51191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141</w:t>
            </w:r>
          </w:p>
        </w:tc>
        <w:tc>
          <w:tcPr>
            <w:tcW w:w="7019" w:type="dxa"/>
            <w:noWrap w:val="0"/>
            <w:vAlign w:val="center"/>
          </w:tcPr>
          <w:p w14:paraId="2B9FDD3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《混凝土强度检验评定标准》GB/T 50107-2010</w:t>
            </w:r>
          </w:p>
        </w:tc>
        <w:tc>
          <w:tcPr>
            <w:tcW w:w="1907" w:type="dxa"/>
            <w:noWrap w:val="0"/>
            <w:vAlign w:val="center"/>
          </w:tcPr>
          <w:p w14:paraId="028BDCA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86E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6ACEE35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142</w:t>
            </w:r>
          </w:p>
        </w:tc>
        <w:tc>
          <w:tcPr>
            <w:tcW w:w="7019" w:type="dxa"/>
            <w:noWrap w:val="0"/>
            <w:vAlign w:val="center"/>
          </w:tcPr>
          <w:p w14:paraId="2935370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《混凝土质量控制标准》GB 50164-2011</w:t>
            </w:r>
          </w:p>
        </w:tc>
        <w:tc>
          <w:tcPr>
            <w:tcW w:w="1907" w:type="dxa"/>
            <w:noWrap w:val="0"/>
            <w:vAlign w:val="center"/>
          </w:tcPr>
          <w:p w14:paraId="3A1E1B4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A8EA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0B6AFF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143</w:t>
            </w:r>
          </w:p>
        </w:tc>
        <w:tc>
          <w:tcPr>
            <w:tcW w:w="7019" w:type="dxa"/>
            <w:noWrap w:val="0"/>
            <w:vAlign w:val="center"/>
          </w:tcPr>
          <w:p w14:paraId="5A8D023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《火力发电厂、变电站二次接线设计技术规程 》DL/T 5136-2012</w:t>
            </w:r>
          </w:p>
        </w:tc>
        <w:tc>
          <w:tcPr>
            <w:tcW w:w="1907" w:type="dxa"/>
            <w:noWrap w:val="0"/>
            <w:vAlign w:val="center"/>
          </w:tcPr>
          <w:p w14:paraId="0A73DE9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37E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FB7913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144</w:t>
            </w:r>
          </w:p>
        </w:tc>
        <w:tc>
          <w:tcPr>
            <w:tcW w:w="7019" w:type="dxa"/>
            <w:noWrap w:val="0"/>
            <w:vAlign w:val="center"/>
          </w:tcPr>
          <w:p w14:paraId="0A2FD02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《火力发电厂与变电站设计防火标准》GB 50229-2019</w:t>
            </w:r>
          </w:p>
        </w:tc>
        <w:tc>
          <w:tcPr>
            <w:tcW w:w="1907" w:type="dxa"/>
            <w:noWrap w:val="0"/>
            <w:vAlign w:val="center"/>
          </w:tcPr>
          <w:p w14:paraId="3511C79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254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66D67F0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145</w:t>
            </w:r>
          </w:p>
        </w:tc>
        <w:tc>
          <w:tcPr>
            <w:tcW w:w="7019" w:type="dxa"/>
            <w:noWrap w:val="0"/>
            <w:vAlign w:val="center"/>
          </w:tcPr>
          <w:p w14:paraId="71A4AB7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《继电保护和安全自动装置技术规程》GB/T 14285-2006</w:t>
            </w:r>
          </w:p>
        </w:tc>
        <w:tc>
          <w:tcPr>
            <w:tcW w:w="1907" w:type="dxa"/>
            <w:noWrap w:val="0"/>
            <w:vAlign w:val="center"/>
          </w:tcPr>
          <w:p w14:paraId="0CEF361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A94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628F080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146</w:t>
            </w:r>
          </w:p>
        </w:tc>
        <w:tc>
          <w:tcPr>
            <w:tcW w:w="7019" w:type="dxa"/>
            <w:noWrap w:val="0"/>
            <w:vAlign w:val="center"/>
          </w:tcPr>
          <w:p w14:paraId="029DB8C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《架空电力线路内爆压接施工工艺规程》SDJ 277-1990</w:t>
            </w:r>
          </w:p>
        </w:tc>
        <w:tc>
          <w:tcPr>
            <w:tcW w:w="1907" w:type="dxa"/>
            <w:noWrap w:val="0"/>
            <w:vAlign w:val="center"/>
          </w:tcPr>
          <w:p w14:paraId="3D3CDB1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9C8B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0D25DA6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147</w:t>
            </w:r>
          </w:p>
        </w:tc>
        <w:tc>
          <w:tcPr>
            <w:tcW w:w="7019" w:type="dxa"/>
            <w:noWrap w:val="0"/>
            <w:vAlign w:val="center"/>
          </w:tcPr>
          <w:p w14:paraId="5FF6560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《架空送电线路钢管杆设计技术规定》(DL/T5130一2001)</w:t>
            </w:r>
          </w:p>
        </w:tc>
        <w:tc>
          <w:tcPr>
            <w:tcW w:w="1907" w:type="dxa"/>
            <w:noWrap w:val="0"/>
            <w:vAlign w:val="center"/>
          </w:tcPr>
          <w:p w14:paraId="3138ABC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917C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4677A71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148</w:t>
            </w:r>
          </w:p>
        </w:tc>
        <w:tc>
          <w:tcPr>
            <w:tcW w:w="7019" w:type="dxa"/>
            <w:noWrap w:val="0"/>
            <w:vAlign w:val="center"/>
          </w:tcPr>
          <w:p w14:paraId="19BEC3E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《电力工程电缆设计标准》GB50217-2018</w:t>
            </w:r>
          </w:p>
        </w:tc>
        <w:tc>
          <w:tcPr>
            <w:tcW w:w="1907" w:type="dxa"/>
            <w:noWrap w:val="0"/>
            <w:vAlign w:val="center"/>
          </w:tcPr>
          <w:p w14:paraId="6013ACC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05F9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D8C6AB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149</w:t>
            </w:r>
          </w:p>
        </w:tc>
        <w:tc>
          <w:tcPr>
            <w:tcW w:w="7019" w:type="dxa"/>
            <w:noWrap w:val="0"/>
            <w:vAlign w:val="center"/>
          </w:tcPr>
          <w:p w14:paraId="1AB57FC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《建设工程监理规范》GB/T50319-2013</w:t>
            </w:r>
          </w:p>
        </w:tc>
        <w:tc>
          <w:tcPr>
            <w:tcW w:w="1907" w:type="dxa"/>
            <w:noWrap w:val="0"/>
            <w:vAlign w:val="center"/>
          </w:tcPr>
          <w:p w14:paraId="4E7ABC6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C21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02DE0D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150</w:t>
            </w:r>
          </w:p>
        </w:tc>
        <w:tc>
          <w:tcPr>
            <w:tcW w:w="7019" w:type="dxa"/>
            <w:noWrap w:val="0"/>
            <w:vAlign w:val="center"/>
          </w:tcPr>
          <w:p w14:paraId="728F888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《电力建设工程监理规范》(DL/T 5434-2009)</w:t>
            </w:r>
          </w:p>
        </w:tc>
        <w:tc>
          <w:tcPr>
            <w:tcW w:w="1907" w:type="dxa"/>
            <w:noWrap w:val="0"/>
            <w:vAlign w:val="center"/>
          </w:tcPr>
          <w:p w14:paraId="3B9B632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22E2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0FD6E5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151</w:t>
            </w:r>
          </w:p>
        </w:tc>
        <w:tc>
          <w:tcPr>
            <w:tcW w:w="7019" w:type="dxa"/>
            <w:noWrap w:val="0"/>
            <w:vAlign w:val="center"/>
          </w:tcPr>
          <w:p w14:paraId="3E890AA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《建筑工程施工质量验收统一标准》 GB 50300-2013</w:t>
            </w:r>
          </w:p>
        </w:tc>
        <w:tc>
          <w:tcPr>
            <w:tcW w:w="1907" w:type="dxa"/>
            <w:noWrap w:val="0"/>
            <w:vAlign w:val="center"/>
          </w:tcPr>
          <w:p w14:paraId="76819E7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DAE3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F6A119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152</w:t>
            </w:r>
          </w:p>
        </w:tc>
        <w:tc>
          <w:tcPr>
            <w:tcW w:w="7019" w:type="dxa"/>
            <w:noWrap w:val="0"/>
            <w:vAlign w:val="center"/>
          </w:tcPr>
          <w:p w14:paraId="13AF67B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《工程建设标准强制性条文》（房屋建筑部分）（2013版）</w:t>
            </w:r>
          </w:p>
        </w:tc>
        <w:tc>
          <w:tcPr>
            <w:tcW w:w="1907" w:type="dxa"/>
            <w:noWrap w:val="0"/>
            <w:vAlign w:val="center"/>
          </w:tcPr>
          <w:p w14:paraId="6E262C9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2B7D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49EC49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153</w:t>
            </w:r>
          </w:p>
        </w:tc>
        <w:tc>
          <w:tcPr>
            <w:tcW w:w="7019" w:type="dxa"/>
            <w:noWrap w:val="0"/>
            <w:vAlign w:val="center"/>
          </w:tcPr>
          <w:p w14:paraId="7C0253C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《建设工程项目管理规范》 GB/T 50326-2017</w:t>
            </w:r>
          </w:p>
        </w:tc>
        <w:tc>
          <w:tcPr>
            <w:tcW w:w="1907" w:type="dxa"/>
            <w:noWrap w:val="0"/>
            <w:vAlign w:val="center"/>
          </w:tcPr>
          <w:p w14:paraId="657D97C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5CF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B9EF73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154</w:t>
            </w:r>
          </w:p>
        </w:tc>
        <w:tc>
          <w:tcPr>
            <w:tcW w:w="7019" w:type="dxa"/>
            <w:noWrap w:val="0"/>
            <w:vAlign w:val="center"/>
          </w:tcPr>
          <w:p w14:paraId="25240E6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《建设工程文件归档规范》GB/T 50328-2014</w:t>
            </w:r>
          </w:p>
        </w:tc>
        <w:tc>
          <w:tcPr>
            <w:tcW w:w="1907" w:type="dxa"/>
            <w:noWrap w:val="0"/>
            <w:vAlign w:val="center"/>
          </w:tcPr>
          <w:p w14:paraId="4097E1E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AF6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05B75A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155</w:t>
            </w:r>
          </w:p>
        </w:tc>
        <w:tc>
          <w:tcPr>
            <w:tcW w:w="7019" w:type="dxa"/>
            <w:noWrap w:val="0"/>
            <w:vAlign w:val="center"/>
          </w:tcPr>
          <w:p w14:paraId="07C40C4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《建设项目档案管理规范》DA/T28-2018</w:t>
            </w:r>
          </w:p>
        </w:tc>
        <w:tc>
          <w:tcPr>
            <w:tcW w:w="1907" w:type="dxa"/>
            <w:noWrap w:val="0"/>
            <w:vAlign w:val="center"/>
          </w:tcPr>
          <w:p w14:paraId="618B078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E82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B78BA8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156</w:t>
            </w:r>
          </w:p>
        </w:tc>
        <w:tc>
          <w:tcPr>
            <w:tcW w:w="7019" w:type="dxa"/>
            <w:noWrap w:val="0"/>
            <w:vAlign w:val="center"/>
          </w:tcPr>
          <w:p w14:paraId="667B4D7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《建筑基桩检测技术规范》JGJ 106-2014</w:t>
            </w:r>
          </w:p>
        </w:tc>
        <w:tc>
          <w:tcPr>
            <w:tcW w:w="1907" w:type="dxa"/>
            <w:noWrap w:val="0"/>
            <w:vAlign w:val="center"/>
          </w:tcPr>
          <w:p w14:paraId="364FB1A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EDBC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5A2DCD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157</w:t>
            </w:r>
          </w:p>
        </w:tc>
        <w:tc>
          <w:tcPr>
            <w:tcW w:w="7019" w:type="dxa"/>
            <w:noWrap w:val="0"/>
            <w:vAlign w:val="center"/>
          </w:tcPr>
          <w:p w14:paraId="03081E7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《建筑地基处理技术规范》JGJ 79-2012</w:t>
            </w:r>
          </w:p>
        </w:tc>
        <w:tc>
          <w:tcPr>
            <w:tcW w:w="1907" w:type="dxa"/>
            <w:noWrap w:val="0"/>
            <w:vAlign w:val="center"/>
          </w:tcPr>
          <w:p w14:paraId="64702EA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232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E39F08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158</w:t>
            </w:r>
          </w:p>
        </w:tc>
        <w:tc>
          <w:tcPr>
            <w:tcW w:w="7019" w:type="dxa"/>
            <w:noWrap w:val="0"/>
            <w:vAlign w:val="center"/>
          </w:tcPr>
          <w:p w14:paraId="51B43D6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《建筑地基基础设计规范》GB 50027-2011</w:t>
            </w:r>
          </w:p>
        </w:tc>
        <w:tc>
          <w:tcPr>
            <w:tcW w:w="1907" w:type="dxa"/>
            <w:noWrap w:val="0"/>
            <w:vAlign w:val="center"/>
          </w:tcPr>
          <w:p w14:paraId="4C056EB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376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D0FE34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159</w:t>
            </w:r>
          </w:p>
        </w:tc>
        <w:tc>
          <w:tcPr>
            <w:tcW w:w="7019" w:type="dxa"/>
            <w:noWrap w:val="0"/>
            <w:vAlign w:val="center"/>
          </w:tcPr>
          <w:p w14:paraId="57C0752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《建筑地基基础工程施工质量验收标准》GB 50202-2018</w:t>
            </w:r>
          </w:p>
        </w:tc>
        <w:tc>
          <w:tcPr>
            <w:tcW w:w="1907" w:type="dxa"/>
            <w:noWrap w:val="0"/>
            <w:vAlign w:val="center"/>
          </w:tcPr>
          <w:p w14:paraId="0628D92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6F18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7FDFFB8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160</w:t>
            </w:r>
          </w:p>
        </w:tc>
        <w:tc>
          <w:tcPr>
            <w:tcW w:w="7019" w:type="dxa"/>
            <w:noWrap w:val="0"/>
            <w:vAlign w:val="center"/>
          </w:tcPr>
          <w:p w14:paraId="34E3F94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《建筑地面工程施工质量验收规范》 GB 50209-2010</w:t>
            </w:r>
          </w:p>
        </w:tc>
        <w:tc>
          <w:tcPr>
            <w:tcW w:w="1907" w:type="dxa"/>
            <w:noWrap w:val="0"/>
            <w:vAlign w:val="center"/>
          </w:tcPr>
          <w:p w14:paraId="1F29587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E6D3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012AC0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161</w:t>
            </w:r>
          </w:p>
        </w:tc>
        <w:tc>
          <w:tcPr>
            <w:tcW w:w="7019" w:type="dxa"/>
            <w:noWrap w:val="0"/>
            <w:vAlign w:val="center"/>
          </w:tcPr>
          <w:p w14:paraId="5774A8C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《建筑电气工程施工质量验收规范》GB50303-2015</w:t>
            </w:r>
          </w:p>
        </w:tc>
        <w:tc>
          <w:tcPr>
            <w:tcW w:w="1907" w:type="dxa"/>
            <w:noWrap w:val="0"/>
            <w:vAlign w:val="center"/>
          </w:tcPr>
          <w:p w14:paraId="3C1CE11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1A7F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5783DB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162</w:t>
            </w:r>
          </w:p>
        </w:tc>
        <w:tc>
          <w:tcPr>
            <w:tcW w:w="7019" w:type="dxa"/>
            <w:noWrap w:val="0"/>
            <w:vAlign w:val="center"/>
          </w:tcPr>
          <w:p w14:paraId="0EB42F6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《建筑电气工程施工质量验收规范》GB 50303-2015</w:t>
            </w:r>
          </w:p>
        </w:tc>
        <w:tc>
          <w:tcPr>
            <w:tcW w:w="1907" w:type="dxa"/>
            <w:noWrap w:val="0"/>
            <w:vAlign w:val="center"/>
          </w:tcPr>
          <w:p w14:paraId="5B3A961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2A03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6FEEB3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163</w:t>
            </w:r>
          </w:p>
        </w:tc>
        <w:tc>
          <w:tcPr>
            <w:tcW w:w="7019" w:type="dxa"/>
            <w:noWrap w:val="0"/>
            <w:vAlign w:val="center"/>
          </w:tcPr>
          <w:p w14:paraId="5AB3231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《建筑钢结构防火设计规程（附条文说明）》DG/TJ 08-20008-2000</w:t>
            </w:r>
          </w:p>
        </w:tc>
        <w:tc>
          <w:tcPr>
            <w:tcW w:w="1907" w:type="dxa"/>
            <w:noWrap w:val="0"/>
            <w:vAlign w:val="center"/>
          </w:tcPr>
          <w:p w14:paraId="21A1C16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960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EDE1EF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164</w:t>
            </w:r>
          </w:p>
        </w:tc>
        <w:tc>
          <w:tcPr>
            <w:tcW w:w="7019" w:type="dxa"/>
            <w:noWrap w:val="0"/>
            <w:vAlign w:val="center"/>
          </w:tcPr>
          <w:p w14:paraId="15CCEC3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《建筑给水排水及采暖工程施工质量验收规范》GB50242-2002</w:t>
            </w:r>
          </w:p>
        </w:tc>
        <w:tc>
          <w:tcPr>
            <w:tcW w:w="1907" w:type="dxa"/>
            <w:noWrap w:val="0"/>
            <w:vAlign w:val="center"/>
          </w:tcPr>
          <w:p w14:paraId="464B895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559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9FBDC8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165</w:t>
            </w:r>
          </w:p>
        </w:tc>
        <w:tc>
          <w:tcPr>
            <w:tcW w:w="7019" w:type="dxa"/>
            <w:noWrap w:val="0"/>
            <w:vAlign w:val="center"/>
          </w:tcPr>
          <w:p w14:paraId="23B5466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《建筑工程抗震设防分类标准》GB 50223-2008</w:t>
            </w:r>
          </w:p>
        </w:tc>
        <w:tc>
          <w:tcPr>
            <w:tcW w:w="1907" w:type="dxa"/>
            <w:noWrap w:val="0"/>
            <w:vAlign w:val="center"/>
          </w:tcPr>
          <w:p w14:paraId="68EB879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275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A1C28D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166</w:t>
            </w:r>
          </w:p>
        </w:tc>
        <w:tc>
          <w:tcPr>
            <w:tcW w:w="7019" w:type="dxa"/>
            <w:noWrap w:val="0"/>
            <w:vAlign w:val="center"/>
          </w:tcPr>
          <w:p w14:paraId="6BDE25C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《建筑结构荷载规范》GB 5009-2012</w:t>
            </w:r>
          </w:p>
        </w:tc>
        <w:tc>
          <w:tcPr>
            <w:tcW w:w="1907" w:type="dxa"/>
            <w:noWrap w:val="0"/>
            <w:vAlign w:val="center"/>
          </w:tcPr>
          <w:p w14:paraId="14871BD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25D6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CF84D4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167</w:t>
            </w:r>
          </w:p>
        </w:tc>
        <w:tc>
          <w:tcPr>
            <w:tcW w:w="7019" w:type="dxa"/>
            <w:noWrap w:val="0"/>
            <w:vAlign w:val="center"/>
          </w:tcPr>
          <w:p w14:paraId="4B5FB4E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《建筑结构检测技术标准》GB/T 50344-2004</w:t>
            </w:r>
          </w:p>
        </w:tc>
        <w:tc>
          <w:tcPr>
            <w:tcW w:w="1907" w:type="dxa"/>
            <w:noWrap w:val="0"/>
            <w:vAlign w:val="center"/>
          </w:tcPr>
          <w:p w14:paraId="793EC41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3156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B7971C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168</w:t>
            </w:r>
          </w:p>
        </w:tc>
        <w:tc>
          <w:tcPr>
            <w:tcW w:w="7019" w:type="dxa"/>
            <w:noWrap w:val="0"/>
            <w:vAlign w:val="center"/>
          </w:tcPr>
          <w:p w14:paraId="452F870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《建筑抗震设计规范（附条文说明）》GB 50011-2010</w:t>
            </w:r>
          </w:p>
        </w:tc>
        <w:tc>
          <w:tcPr>
            <w:tcW w:w="1907" w:type="dxa"/>
            <w:noWrap w:val="0"/>
            <w:vAlign w:val="center"/>
          </w:tcPr>
          <w:p w14:paraId="6BCC17C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C52D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7CF01E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169</w:t>
            </w:r>
          </w:p>
        </w:tc>
        <w:tc>
          <w:tcPr>
            <w:tcW w:w="7019" w:type="dxa"/>
            <w:noWrap w:val="0"/>
            <w:vAlign w:val="center"/>
          </w:tcPr>
          <w:p w14:paraId="69DFDBB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《建筑气象参数标准》JGJ 35-1987</w:t>
            </w:r>
          </w:p>
        </w:tc>
        <w:tc>
          <w:tcPr>
            <w:tcW w:w="1907" w:type="dxa"/>
            <w:noWrap w:val="0"/>
            <w:vAlign w:val="center"/>
          </w:tcPr>
          <w:p w14:paraId="61EB9DE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4FB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1B5D90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170</w:t>
            </w:r>
          </w:p>
        </w:tc>
        <w:tc>
          <w:tcPr>
            <w:tcW w:w="7019" w:type="dxa"/>
            <w:noWrap w:val="0"/>
            <w:vAlign w:val="center"/>
          </w:tcPr>
          <w:p w14:paraId="0342F49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《建筑设计防火规范》GB 50016-2014</w:t>
            </w:r>
          </w:p>
        </w:tc>
        <w:tc>
          <w:tcPr>
            <w:tcW w:w="1907" w:type="dxa"/>
            <w:noWrap w:val="0"/>
            <w:vAlign w:val="center"/>
          </w:tcPr>
          <w:p w14:paraId="0310E6F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5C0E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D9BF79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171</w:t>
            </w:r>
          </w:p>
        </w:tc>
        <w:tc>
          <w:tcPr>
            <w:tcW w:w="7019" w:type="dxa"/>
            <w:noWrap w:val="0"/>
            <w:vAlign w:val="center"/>
          </w:tcPr>
          <w:p w14:paraId="188FA2E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《建筑桩基技术规范》、《建筑地基基础设计规范》JGJ94-2008、GB50007-2011</w:t>
            </w:r>
          </w:p>
        </w:tc>
        <w:tc>
          <w:tcPr>
            <w:tcW w:w="1907" w:type="dxa"/>
            <w:noWrap w:val="0"/>
            <w:vAlign w:val="center"/>
          </w:tcPr>
          <w:p w14:paraId="2B0D751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FBC1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DFFF24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172</w:t>
            </w:r>
          </w:p>
        </w:tc>
        <w:tc>
          <w:tcPr>
            <w:tcW w:w="7019" w:type="dxa"/>
            <w:noWrap w:val="0"/>
            <w:vAlign w:val="center"/>
          </w:tcPr>
          <w:p w14:paraId="3EB58AD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《建筑装饰装修工程质量验收规范》GB 50210-2018</w:t>
            </w:r>
          </w:p>
        </w:tc>
        <w:tc>
          <w:tcPr>
            <w:tcW w:w="1907" w:type="dxa"/>
            <w:noWrap w:val="0"/>
            <w:vAlign w:val="center"/>
          </w:tcPr>
          <w:p w14:paraId="660443B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AF11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AC73A6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173</w:t>
            </w:r>
          </w:p>
        </w:tc>
        <w:tc>
          <w:tcPr>
            <w:tcW w:w="7019" w:type="dxa"/>
            <w:noWrap w:val="0"/>
            <w:vAlign w:val="center"/>
          </w:tcPr>
          <w:p w14:paraId="6EC717C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《建设用卵石、碎石》GB/T 14685-2011</w:t>
            </w:r>
          </w:p>
        </w:tc>
        <w:tc>
          <w:tcPr>
            <w:tcW w:w="1907" w:type="dxa"/>
            <w:noWrap w:val="0"/>
            <w:vAlign w:val="center"/>
          </w:tcPr>
          <w:p w14:paraId="56A6526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5159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2CCEA3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174</w:t>
            </w:r>
          </w:p>
        </w:tc>
        <w:tc>
          <w:tcPr>
            <w:tcW w:w="7019" w:type="dxa"/>
            <w:noWrap w:val="0"/>
            <w:vAlign w:val="center"/>
          </w:tcPr>
          <w:p w14:paraId="59D43D5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《建设用砂》GB/T 14684-2011</w:t>
            </w:r>
          </w:p>
        </w:tc>
        <w:tc>
          <w:tcPr>
            <w:tcW w:w="1907" w:type="dxa"/>
            <w:noWrap w:val="0"/>
            <w:vAlign w:val="center"/>
          </w:tcPr>
          <w:p w14:paraId="3DFF7CF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7F6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3813474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175</w:t>
            </w:r>
          </w:p>
        </w:tc>
        <w:tc>
          <w:tcPr>
            <w:tcW w:w="7019" w:type="dxa"/>
            <w:noWrap w:val="0"/>
            <w:vAlign w:val="center"/>
          </w:tcPr>
          <w:p w14:paraId="42FED94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《交流110kV交联聚乙烯绝缘电缆及其附件订货技术规范》DL 509-1993</w:t>
            </w:r>
          </w:p>
        </w:tc>
        <w:tc>
          <w:tcPr>
            <w:tcW w:w="1907" w:type="dxa"/>
            <w:noWrap w:val="0"/>
            <w:vAlign w:val="center"/>
          </w:tcPr>
          <w:p w14:paraId="2FA8ADE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BC17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B33101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176</w:t>
            </w:r>
          </w:p>
        </w:tc>
        <w:tc>
          <w:tcPr>
            <w:tcW w:w="7019" w:type="dxa"/>
            <w:noWrap w:val="0"/>
            <w:vAlign w:val="center"/>
          </w:tcPr>
          <w:p w14:paraId="15B1735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《紧固件机械性能》（GB/T 3098.1-2010、GB/T 3098.2-2015、GB/T 3098.3-2016、GB/T 3098.5-2016、GB/T 3098.6-2014、GB/T 3098.7-2000、GB/T 3098.8-2010、GB/T 3098.9-2010、GB/T 3098.10-1993、GB/T 3098.11-2002、GB/T 3098.12-1996、GB/T 3098.13-1996、GB/T 3098.14-2000、GB/T 3098.15-2014、GB/T 3098.16-2014、GB/T 3098.17-2000、GB/T 3098.18-2004、GB/T 3098.19-2004、GB/T 3098.20-2004、GB/T 3098.21-2014、GB/T 3098.22-2009）</w:t>
            </w:r>
          </w:p>
        </w:tc>
        <w:tc>
          <w:tcPr>
            <w:tcW w:w="1907" w:type="dxa"/>
            <w:noWrap w:val="0"/>
            <w:vAlign w:val="center"/>
          </w:tcPr>
          <w:p w14:paraId="358D30C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5B13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20FBBE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177</w:t>
            </w:r>
          </w:p>
        </w:tc>
        <w:tc>
          <w:tcPr>
            <w:tcW w:w="7019" w:type="dxa"/>
            <w:noWrap w:val="0"/>
            <w:vAlign w:val="center"/>
          </w:tcPr>
          <w:p w14:paraId="69B0C2F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《民用建筑电气设计规范(附条文说明[另册])》 JGJ 16-2008</w:t>
            </w:r>
          </w:p>
        </w:tc>
        <w:tc>
          <w:tcPr>
            <w:tcW w:w="1907" w:type="dxa"/>
            <w:noWrap w:val="0"/>
            <w:vAlign w:val="center"/>
          </w:tcPr>
          <w:p w14:paraId="4167A5B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28E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5DF8FC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178</w:t>
            </w:r>
          </w:p>
        </w:tc>
        <w:tc>
          <w:tcPr>
            <w:tcW w:w="7019" w:type="dxa"/>
            <w:noWrap w:val="0"/>
            <w:vAlign w:val="center"/>
          </w:tcPr>
          <w:p w14:paraId="61C3476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《木结构工程施工质量验收规范》 GB 50206-2012</w:t>
            </w:r>
          </w:p>
        </w:tc>
        <w:tc>
          <w:tcPr>
            <w:tcW w:w="1907" w:type="dxa"/>
            <w:noWrap w:val="0"/>
            <w:vAlign w:val="center"/>
          </w:tcPr>
          <w:p w14:paraId="1C89548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1A8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0C7E5F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179</w:t>
            </w:r>
          </w:p>
        </w:tc>
        <w:tc>
          <w:tcPr>
            <w:tcW w:w="7019" w:type="dxa"/>
            <w:noWrap w:val="0"/>
            <w:vAlign w:val="center"/>
          </w:tcPr>
          <w:p w14:paraId="293B881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《普通混凝土力学性能试验方法标准》GB/T 50081-2002</w:t>
            </w:r>
          </w:p>
        </w:tc>
        <w:tc>
          <w:tcPr>
            <w:tcW w:w="1907" w:type="dxa"/>
            <w:noWrap w:val="0"/>
            <w:vAlign w:val="center"/>
          </w:tcPr>
          <w:p w14:paraId="1FAC6E9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5783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07F62E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180</w:t>
            </w:r>
          </w:p>
        </w:tc>
        <w:tc>
          <w:tcPr>
            <w:tcW w:w="7019" w:type="dxa"/>
            <w:noWrap w:val="0"/>
            <w:vAlign w:val="center"/>
          </w:tcPr>
          <w:p w14:paraId="7A3686B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《普通混凝土配合比设计规程》JGJ 55-2011</w:t>
            </w:r>
          </w:p>
        </w:tc>
        <w:tc>
          <w:tcPr>
            <w:tcW w:w="1907" w:type="dxa"/>
            <w:noWrap w:val="0"/>
            <w:vAlign w:val="center"/>
          </w:tcPr>
          <w:p w14:paraId="7606F10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46E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F44DE7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181</w:t>
            </w:r>
          </w:p>
        </w:tc>
        <w:tc>
          <w:tcPr>
            <w:tcW w:w="7019" w:type="dxa"/>
            <w:noWrap w:val="0"/>
            <w:vAlign w:val="center"/>
          </w:tcPr>
          <w:p w14:paraId="0558ADF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《普通混凝土用砂、石质量及检验方法标准》JGJ 52-2006</w:t>
            </w:r>
          </w:p>
        </w:tc>
        <w:tc>
          <w:tcPr>
            <w:tcW w:w="1907" w:type="dxa"/>
            <w:noWrap w:val="0"/>
            <w:vAlign w:val="center"/>
          </w:tcPr>
          <w:p w14:paraId="2690FAF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88A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E73E1B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182</w:t>
            </w:r>
          </w:p>
        </w:tc>
        <w:tc>
          <w:tcPr>
            <w:tcW w:w="7019" w:type="dxa"/>
            <w:noWrap w:val="0"/>
            <w:vAlign w:val="center"/>
          </w:tcPr>
          <w:p w14:paraId="58362F0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《砌体结构工程施工质量验收规范 》GB 50203-2011</w:t>
            </w:r>
          </w:p>
        </w:tc>
        <w:tc>
          <w:tcPr>
            <w:tcW w:w="1907" w:type="dxa"/>
            <w:noWrap w:val="0"/>
            <w:vAlign w:val="center"/>
          </w:tcPr>
          <w:p w14:paraId="624C351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4A4B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BD4B7F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183</w:t>
            </w:r>
          </w:p>
        </w:tc>
        <w:tc>
          <w:tcPr>
            <w:tcW w:w="7019" w:type="dxa"/>
            <w:noWrap w:val="0"/>
            <w:vAlign w:val="center"/>
          </w:tcPr>
          <w:p w14:paraId="534C85C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《砌体结构设计规范》GB 50003-2011</w:t>
            </w:r>
          </w:p>
        </w:tc>
        <w:tc>
          <w:tcPr>
            <w:tcW w:w="1907" w:type="dxa"/>
            <w:noWrap w:val="0"/>
            <w:vAlign w:val="center"/>
          </w:tcPr>
          <w:p w14:paraId="41BECBF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ED8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D1CD55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184</w:t>
            </w:r>
          </w:p>
        </w:tc>
        <w:tc>
          <w:tcPr>
            <w:tcW w:w="7019" w:type="dxa"/>
            <w:noWrap w:val="0"/>
            <w:vAlign w:val="center"/>
          </w:tcPr>
          <w:p w14:paraId="1A25625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《砌筑砂浆配合比设计规程》JGJ/T 98-2010</w:t>
            </w:r>
          </w:p>
        </w:tc>
        <w:tc>
          <w:tcPr>
            <w:tcW w:w="1907" w:type="dxa"/>
            <w:noWrap w:val="0"/>
            <w:vAlign w:val="center"/>
          </w:tcPr>
          <w:p w14:paraId="2DAE9E4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1CB7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203ACF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185</w:t>
            </w:r>
          </w:p>
        </w:tc>
        <w:tc>
          <w:tcPr>
            <w:tcW w:w="7019" w:type="dxa"/>
            <w:noWrap w:val="0"/>
            <w:vAlign w:val="center"/>
          </w:tcPr>
          <w:p w14:paraId="377CA1E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《热强钢焊条》GB/T 5118-2012</w:t>
            </w:r>
          </w:p>
        </w:tc>
        <w:tc>
          <w:tcPr>
            <w:tcW w:w="1907" w:type="dxa"/>
            <w:noWrap w:val="0"/>
            <w:vAlign w:val="center"/>
          </w:tcPr>
          <w:p w14:paraId="1406CA3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DEDC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2D6ED7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186</w:t>
            </w:r>
          </w:p>
        </w:tc>
        <w:tc>
          <w:tcPr>
            <w:tcW w:w="7019" w:type="dxa"/>
            <w:noWrap w:val="0"/>
            <w:vAlign w:val="center"/>
          </w:tcPr>
          <w:p w14:paraId="68431A9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《输变电工程架空导线及地线液压压接工艺规程》DL/T 5285-2018</w:t>
            </w:r>
          </w:p>
        </w:tc>
        <w:tc>
          <w:tcPr>
            <w:tcW w:w="1907" w:type="dxa"/>
            <w:noWrap w:val="0"/>
            <w:vAlign w:val="center"/>
          </w:tcPr>
          <w:p w14:paraId="38EE0A7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781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3F627F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187</w:t>
            </w:r>
          </w:p>
        </w:tc>
        <w:tc>
          <w:tcPr>
            <w:tcW w:w="7019" w:type="dxa"/>
            <w:noWrap w:val="0"/>
            <w:vAlign w:val="center"/>
          </w:tcPr>
          <w:p w14:paraId="5126BBA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 xml:space="preserve">《架空输电线路施工机具基本技术要求》DL/T 875-2016 </w:t>
            </w:r>
          </w:p>
        </w:tc>
        <w:tc>
          <w:tcPr>
            <w:tcW w:w="1907" w:type="dxa"/>
            <w:noWrap w:val="0"/>
            <w:vAlign w:val="center"/>
          </w:tcPr>
          <w:p w14:paraId="3AA8BCA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7CE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45BB82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188</w:t>
            </w:r>
          </w:p>
        </w:tc>
        <w:tc>
          <w:tcPr>
            <w:tcW w:w="7019" w:type="dxa"/>
            <w:noWrap w:val="0"/>
            <w:vAlign w:val="center"/>
          </w:tcPr>
          <w:p w14:paraId="3132E4F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《输电线路铁塔制造技术条件》GB/T 2694-2018</w:t>
            </w:r>
          </w:p>
        </w:tc>
        <w:tc>
          <w:tcPr>
            <w:tcW w:w="1907" w:type="dxa"/>
            <w:noWrap w:val="0"/>
            <w:vAlign w:val="center"/>
          </w:tcPr>
          <w:p w14:paraId="5D4ABD0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653D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5812AA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189</w:t>
            </w:r>
          </w:p>
        </w:tc>
        <w:tc>
          <w:tcPr>
            <w:tcW w:w="7019" w:type="dxa"/>
            <w:noWrap w:val="0"/>
            <w:vAlign w:val="center"/>
          </w:tcPr>
          <w:p w14:paraId="7774CAE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《水泥混凝土路面施工及验收规范》 GBJ 97-1987</w:t>
            </w:r>
          </w:p>
        </w:tc>
        <w:tc>
          <w:tcPr>
            <w:tcW w:w="1907" w:type="dxa"/>
            <w:noWrap w:val="0"/>
            <w:vAlign w:val="center"/>
          </w:tcPr>
          <w:p w14:paraId="29BFF3A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204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68EF83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190</w:t>
            </w:r>
          </w:p>
        </w:tc>
        <w:tc>
          <w:tcPr>
            <w:tcW w:w="7019" w:type="dxa"/>
            <w:noWrap w:val="0"/>
            <w:vAlign w:val="center"/>
          </w:tcPr>
          <w:p w14:paraId="18B770C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《碳素结构钢》 GB/T 700-2006</w:t>
            </w:r>
          </w:p>
        </w:tc>
        <w:tc>
          <w:tcPr>
            <w:tcW w:w="1907" w:type="dxa"/>
            <w:noWrap w:val="0"/>
            <w:vAlign w:val="center"/>
          </w:tcPr>
          <w:p w14:paraId="1915B01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65F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E1A335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191</w:t>
            </w:r>
          </w:p>
        </w:tc>
        <w:tc>
          <w:tcPr>
            <w:tcW w:w="7019" w:type="dxa"/>
            <w:noWrap w:val="0"/>
            <w:vAlign w:val="center"/>
          </w:tcPr>
          <w:p w14:paraId="63DF02E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《通风与空调工程施工质量验收规范》GB50243-2016</w:t>
            </w:r>
          </w:p>
        </w:tc>
        <w:tc>
          <w:tcPr>
            <w:tcW w:w="1907" w:type="dxa"/>
            <w:noWrap w:val="0"/>
            <w:vAlign w:val="center"/>
          </w:tcPr>
          <w:p w14:paraId="0B49307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20D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6C868B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192</w:t>
            </w:r>
          </w:p>
        </w:tc>
        <w:tc>
          <w:tcPr>
            <w:tcW w:w="7019" w:type="dxa"/>
            <w:noWrap w:val="0"/>
            <w:vAlign w:val="center"/>
          </w:tcPr>
          <w:p w14:paraId="07D326C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《通用用电设备配电设计规范》 GB 50055-2011</w:t>
            </w:r>
          </w:p>
        </w:tc>
        <w:tc>
          <w:tcPr>
            <w:tcW w:w="1907" w:type="dxa"/>
            <w:noWrap w:val="0"/>
            <w:vAlign w:val="center"/>
          </w:tcPr>
          <w:p w14:paraId="3FEE3F9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4D97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614BF5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193</w:t>
            </w:r>
          </w:p>
        </w:tc>
        <w:tc>
          <w:tcPr>
            <w:tcW w:w="7019" w:type="dxa"/>
            <w:noWrap w:val="0"/>
            <w:vAlign w:val="center"/>
          </w:tcPr>
          <w:p w14:paraId="3D52B62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《土方与爆破工程施工及验收规范》GB 50201-2012</w:t>
            </w:r>
          </w:p>
        </w:tc>
        <w:tc>
          <w:tcPr>
            <w:tcW w:w="1907" w:type="dxa"/>
            <w:noWrap w:val="0"/>
            <w:vAlign w:val="center"/>
          </w:tcPr>
          <w:p w14:paraId="0DA51B9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D7A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C77AB8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194</w:t>
            </w:r>
          </w:p>
        </w:tc>
        <w:tc>
          <w:tcPr>
            <w:tcW w:w="7019" w:type="dxa"/>
            <w:noWrap w:val="0"/>
            <w:vAlign w:val="center"/>
          </w:tcPr>
          <w:p w14:paraId="2A3B772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《屋面工程质量验收规范》GB 50207-2012</w:t>
            </w:r>
          </w:p>
        </w:tc>
        <w:tc>
          <w:tcPr>
            <w:tcW w:w="1907" w:type="dxa"/>
            <w:noWrap w:val="0"/>
            <w:vAlign w:val="center"/>
          </w:tcPr>
          <w:p w14:paraId="3D88DCF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4D19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0" w:type="dxa"/>
            <w:noWrap w:val="0"/>
            <w:vAlign w:val="center"/>
          </w:tcPr>
          <w:p w14:paraId="62B8F1F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195</w:t>
            </w:r>
          </w:p>
        </w:tc>
        <w:tc>
          <w:tcPr>
            <w:tcW w:w="7019" w:type="dxa"/>
            <w:noWrap w:val="0"/>
            <w:vAlign w:val="center"/>
          </w:tcPr>
          <w:p w14:paraId="33AE56C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《岩土工程勘察规范》GB 50021-2001</w:t>
            </w:r>
          </w:p>
        </w:tc>
        <w:tc>
          <w:tcPr>
            <w:tcW w:w="1907" w:type="dxa"/>
            <w:noWrap w:val="0"/>
            <w:vAlign w:val="center"/>
          </w:tcPr>
          <w:p w14:paraId="1D5D04A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7BA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C704DA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196</w:t>
            </w:r>
          </w:p>
        </w:tc>
        <w:tc>
          <w:tcPr>
            <w:tcW w:w="7019" w:type="dxa"/>
            <w:noWrap w:val="0"/>
            <w:vAlign w:val="center"/>
          </w:tcPr>
          <w:p w14:paraId="7BAD090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《优质碳素结构钢》 GB/T 699-2015</w:t>
            </w:r>
          </w:p>
        </w:tc>
        <w:tc>
          <w:tcPr>
            <w:tcW w:w="1907" w:type="dxa"/>
            <w:noWrap w:val="0"/>
            <w:vAlign w:val="center"/>
          </w:tcPr>
          <w:p w14:paraId="77DD8E5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72E2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51472D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197</w:t>
            </w:r>
          </w:p>
        </w:tc>
        <w:tc>
          <w:tcPr>
            <w:tcW w:w="7019" w:type="dxa"/>
            <w:noWrap w:val="0"/>
            <w:vAlign w:val="center"/>
          </w:tcPr>
          <w:p w14:paraId="4A6876B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《远动设备及系统 第5101部分:传输规约 基本远动任务配套标准》DL/T 634.5101-2002</w:t>
            </w:r>
          </w:p>
        </w:tc>
        <w:tc>
          <w:tcPr>
            <w:tcW w:w="1907" w:type="dxa"/>
            <w:noWrap w:val="0"/>
            <w:vAlign w:val="center"/>
          </w:tcPr>
          <w:p w14:paraId="2057804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3EEE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32F11CB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198</w:t>
            </w:r>
          </w:p>
        </w:tc>
        <w:tc>
          <w:tcPr>
            <w:tcW w:w="7019" w:type="dxa"/>
            <w:noWrap w:val="0"/>
            <w:vAlign w:val="center"/>
          </w:tcPr>
          <w:p w14:paraId="59D372C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《远动设备及系统 第5-104部分：传输规约 采用标准传输协议集的IEC60870-5-101网络访问》 DL/T 634.5104-2009</w:t>
            </w:r>
          </w:p>
        </w:tc>
        <w:tc>
          <w:tcPr>
            <w:tcW w:w="1907" w:type="dxa"/>
            <w:noWrap w:val="0"/>
            <w:vAlign w:val="center"/>
          </w:tcPr>
          <w:p w14:paraId="4528651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C72B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FD61B3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199</w:t>
            </w:r>
          </w:p>
        </w:tc>
        <w:tc>
          <w:tcPr>
            <w:tcW w:w="7019" w:type="dxa"/>
            <w:noWrap w:val="0"/>
            <w:vAlign w:val="center"/>
          </w:tcPr>
          <w:p w14:paraId="5B90049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《中国地震动参数区划图》GB 18306-2015</w:t>
            </w:r>
          </w:p>
        </w:tc>
        <w:tc>
          <w:tcPr>
            <w:tcW w:w="1907" w:type="dxa"/>
            <w:noWrap w:val="0"/>
            <w:vAlign w:val="center"/>
          </w:tcPr>
          <w:p w14:paraId="695F679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E0B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384D75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200</w:t>
            </w:r>
          </w:p>
        </w:tc>
        <w:tc>
          <w:tcPr>
            <w:tcW w:w="7019" w:type="dxa"/>
            <w:noWrap w:val="0"/>
            <w:vAlign w:val="center"/>
          </w:tcPr>
          <w:p w14:paraId="645DA5B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《组合钢模板技术规范》 GB/T 50214-2013</w:t>
            </w:r>
          </w:p>
        </w:tc>
        <w:tc>
          <w:tcPr>
            <w:tcW w:w="1907" w:type="dxa"/>
            <w:noWrap w:val="0"/>
            <w:vAlign w:val="center"/>
          </w:tcPr>
          <w:p w14:paraId="7D7E95B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47E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B9C44C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201</w:t>
            </w:r>
          </w:p>
        </w:tc>
        <w:tc>
          <w:tcPr>
            <w:tcW w:w="7019" w:type="dxa"/>
            <w:noWrap w:val="0"/>
            <w:vAlign w:val="center"/>
          </w:tcPr>
          <w:p w14:paraId="0FCCC91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《电力建设工程质量监督检查典型大纲（火电、送变电部分）》（电建质监[2005]57号）</w:t>
            </w:r>
          </w:p>
        </w:tc>
        <w:tc>
          <w:tcPr>
            <w:tcW w:w="1907" w:type="dxa"/>
            <w:noWrap w:val="0"/>
            <w:vAlign w:val="center"/>
          </w:tcPr>
          <w:p w14:paraId="63BF919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337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328E59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202</w:t>
            </w:r>
          </w:p>
        </w:tc>
        <w:tc>
          <w:tcPr>
            <w:tcW w:w="7019" w:type="dxa"/>
            <w:noWrap w:val="0"/>
            <w:vAlign w:val="center"/>
          </w:tcPr>
          <w:p w14:paraId="16136A9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《电力建设施工质量验收及评价规程　第1部分：土建工程》 DL/T 5210.1-2012</w:t>
            </w:r>
          </w:p>
        </w:tc>
        <w:tc>
          <w:tcPr>
            <w:tcW w:w="1907" w:type="dxa"/>
            <w:noWrap w:val="0"/>
            <w:vAlign w:val="center"/>
          </w:tcPr>
          <w:p w14:paraId="0AC6E42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29C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15F126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203</w:t>
            </w:r>
          </w:p>
        </w:tc>
        <w:tc>
          <w:tcPr>
            <w:tcW w:w="7019" w:type="dxa"/>
            <w:noWrap w:val="0"/>
            <w:vAlign w:val="center"/>
          </w:tcPr>
          <w:p w14:paraId="037B1E2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建筑结构荷载规范GB 50009-2012</w:t>
            </w:r>
          </w:p>
        </w:tc>
        <w:tc>
          <w:tcPr>
            <w:tcW w:w="1907" w:type="dxa"/>
            <w:noWrap w:val="0"/>
            <w:vAlign w:val="center"/>
          </w:tcPr>
          <w:p w14:paraId="1C8CBE7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6B0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59C658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204</w:t>
            </w:r>
          </w:p>
        </w:tc>
        <w:tc>
          <w:tcPr>
            <w:tcW w:w="7019" w:type="dxa"/>
            <w:noWrap w:val="0"/>
            <w:vAlign w:val="center"/>
          </w:tcPr>
          <w:p w14:paraId="6CB65DB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建筑照明设计标准GB 50034-2013</w:t>
            </w:r>
          </w:p>
        </w:tc>
        <w:tc>
          <w:tcPr>
            <w:tcW w:w="1907" w:type="dxa"/>
            <w:noWrap w:val="0"/>
            <w:vAlign w:val="center"/>
          </w:tcPr>
          <w:p w14:paraId="667103D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74B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7B6BCE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205</w:t>
            </w:r>
          </w:p>
        </w:tc>
        <w:tc>
          <w:tcPr>
            <w:tcW w:w="7019" w:type="dxa"/>
            <w:noWrap w:val="0"/>
            <w:vAlign w:val="center"/>
          </w:tcPr>
          <w:p w14:paraId="2AF0A06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《钢筋混凝土用钢 第1部分 热轧光圆钢筋》GB 1499.1-2017</w:t>
            </w:r>
          </w:p>
        </w:tc>
        <w:tc>
          <w:tcPr>
            <w:tcW w:w="1907" w:type="dxa"/>
            <w:noWrap w:val="0"/>
            <w:vAlign w:val="center"/>
          </w:tcPr>
          <w:p w14:paraId="0DE7F7B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7A3F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D44314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206</w:t>
            </w:r>
          </w:p>
        </w:tc>
        <w:tc>
          <w:tcPr>
            <w:tcW w:w="7019" w:type="dxa"/>
            <w:noWrap w:val="0"/>
            <w:vAlign w:val="center"/>
          </w:tcPr>
          <w:p w14:paraId="27C9653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《钢筋混凝土用钢 第2部分 热轧带肋钢筋》GB 1499.2-2018</w:t>
            </w:r>
          </w:p>
        </w:tc>
        <w:tc>
          <w:tcPr>
            <w:tcW w:w="1907" w:type="dxa"/>
            <w:noWrap w:val="0"/>
            <w:vAlign w:val="center"/>
          </w:tcPr>
          <w:p w14:paraId="6C5B93BA">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ED9B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5A9024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207</w:t>
            </w:r>
          </w:p>
        </w:tc>
        <w:tc>
          <w:tcPr>
            <w:tcW w:w="7019" w:type="dxa"/>
            <w:noWrap w:val="0"/>
            <w:vAlign w:val="center"/>
          </w:tcPr>
          <w:p w14:paraId="18C3BDC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《通用硅酸盐水泥》GB 175-2007/XG2-2015</w:t>
            </w:r>
          </w:p>
        </w:tc>
        <w:tc>
          <w:tcPr>
            <w:tcW w:w="1907" w:type="dxa"/>
            <w:noWrap w:val="0"/>
            <w:vAlign w:val="center"/>
          </w:tcPr>
          <w:p w14:paraId="6F701D9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BB8E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810A72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208</w:t>
            </w:r>
          </w:p>
        </w:tc>
        <w:tc>
          <w:tcPr>
            <w:tcW w:w="7019" w:type="dxa"/>
            <w:noWrap w:val="0"/>
            <w:vAlign w:val="center"/>
          </w:tcPr>
          <w:p w14:paraId="0F1B85E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《外墙饰面砖工程施工及验收规程》 JGJ 126-2015</w:t>
            </w:r>
          </w:p>
        </w:tc>
        <w:tc>
          <w:tcPr>
            <w:tcW w:w="1907" w:type="dxa"/>
            <w:noWrap w:val="0"/>
            <w:vAlign w:val="center"/>
          </w:tcPr>
          <w:p w14:paraId="5D47436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439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433E62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209</w:t>
            </w:r>
          </w:p>
        </w:tc>
        <w:tc>
          <w:tcPr>
            <w:tcW w:w="7019" w:type="dxa"/>
            <w:noWrap w:val="0"/>
            <w:vAlign w:val="center"/>
          </w:tcPr>
          <w:p w14:paraId="550F71E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《水工混凝土施工规范》 DL/T 5144-2015</w:t>
            </w:r>
          </w:p>
        </w:tc>
        <w:tc>
          <w:tcPr>
            <w:tcW w:w="1907" w:type="dxa"/>
            <w:noWrap w:val="0"/>
            <w:vAlign w:val="center"/>
          </w:tcPr>
          <w:p w14:paraId="10A9A3E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C253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81C722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210</w:t>
            </w:r>
          </w:p>
        </w:tc>
        <w:tc>
          <w:tcPr>
            <w:tcW w:w="7019" w:type="dxa"/>
            <w:noWrap w:val="0"/>
            <w:vAlign w:val="center"/>
          </w:tcPr>
          <w:p w14:paraId="6AF1A5F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《现场绝缘试验实施导则》DL/T 474.1～4-2018</w:t>
            </w:r>
          </w:p>
        </w:tc>
        <w:tc>
          <w:tcPr>
            <w:tcW w:w="1907" w:type="dxa"/>
            <w:noWrap w:val="0"/>
            <w:vAlign w:val="center"/>
          </w:tcPr>
          <w:p w14:paraId="37E4756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169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A9DAF7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211</w:t>
            </w:r>
          </w:p>
        </w:tc>
        <w:tc>
          <w:tcPr>
            <w:tcW w:w="7019" w:type="dxa"/>
            <w:noWrap w:val="0"/>
            <w:vAlign w:val="center"/>
          </w:tcPr>
          <w:p w14:paraId="0309B8F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《光纤复合架空地线》 JB/T 8999-2014</w:t>
            </w:r>
          </w:p>
        </w:tc>
        <w:tc>
          <w:tcPr>
            <w:tcW w:w="1907" w:type="dxa"/>
            <w:noWrap w:val="0"/>
            <w:vAlign w:val="center"/>
          </w:tcPr>
          <w:p w14:paraId="037F1C9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70A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9299CC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212</w:t>
            </w:r>
          </w:p>
        </w:tc>
        <w:tc>
          <w:tcPr>
            <w:tcW w:w="7019" w:type="dxa"/>
            <w:noWrap w:val="0"/>
            <w:vAlign w:val="center"/>
          </w:tcPr>
          <w:p w14:paraId="433970A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《电磁环境控制限值》 GB 8702-2014</w:t>
            </w:r>
          </w:p>
        </w:tc>
        <w:tc>
          <w:tcPr>
            <w:tcW w:w="1907" w:type="dxa"/>
            <w:noWrap w:val="0"/>
            <w:vAlign w:val="center"/>
          </w:tcPr>
          <w:p w14:paraId="54075AD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CF1A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7F126F9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213</w:t>
            </w:r>
          </w:p>
        </w:tc>
        <w:tc>
          <w:tcPr>
            <w:tcW w:w="7019" w:type="dxa"/>
            <w:noWrap w:val="0"/>
            <w:vAlign w:val="center"/>
          </w:tcPr>
          <w:p w14:paraId="21EBFA6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《电力建设工程 工程量清单计价规范-输电线路工程》 DL/T 5205-2016</w:t>
            </w:r>
          </w:p>
        </w:tc>
        <w:tc>
          <w:tcPr>
            <w:tcW w:w="1907" w:type="dxa"/>
            <w:noWrap w:val="0"/>
            <w:vAlign w:val="center"/>
          </w:tcPr>
          <w:p w14:paraId="3809AB0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72904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747561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214</w:t>
            </w:r>
          </w:p>
        </w:tc>
        <w:tc>
          <w:tcPr>
            <w:tcW w:w="7019" w:type="dxa"/>
            <w:noWrap w:val="0"/>
            <w:vAlign w:val="center"/>
          </w:tcPr>
          <w:p w14:paraId="7D2E073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《电力建设工程 工程量清单计价规范-变电工程》 DL/T 5341-2016</w:t>
            </w:r>
          </w:p>
        </w:tc>
        <w:tc>
          <w:tcPr>
            <w:tcW w:w="1907" w:type="dxa"/>
            <w:noWrap w:val="0"/>
            <w:vAlign w:val="center"/>
          </w:tcPr>
          <w:p w14:paraId="6AED009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724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BDFBE9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215</w:t>
            </w:r>
          </w:p>
        </w:tc>
        <w:tc>
          <w:tcPr>
            <w:tcW w:w="7019" w:type="dxa"/>
            <w:noWrap w:val="0"/>
            <w:vAlign w:val="center"/>
          </w:tcPr>
          <w:p w14:paraId="417B34C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《20kV及以下配电网工程工程量清单计算规范》DL/T 5766-2018</w:t>
            </w:r>
          </w:p>
        </w:tc>
        <w:tc>
          <w:tcPr>
            <w:tcW w:w="1907" w:type="dxa"/>
            <w:noWrap w:val="0"/>
            <w:vAlign w:val="center"/>
          </w:tcPr>
          <w:p w14:paraId="14AB9B0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096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118ECC7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216</w:t>
            </w:r>
          </w:p>
        </w:tc>
        <w:tc>
          <w:tcPr>
            <w:tcW w:w="7019" w:type="dxa"/>
            <w:noWrap w:val="0"/>
            <w:vAlign w:val="center"/>
          </w:tcPr>
          <w:p w14:paraId="37D88CB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《电网工程建设预算编制与计算规定（2013年版）》（国能电力[2013]289号）</w:t>
            </w:r>
          </w:p>
        </w:tc>
        <w:tc>
          <w:tcPr>
            <w:tcW w:w="1907" w:type="dxa"/>
            <w:noWrap w:val="0"/>
            <w:vAlign w:val="center"/>
          </w:tcPr>
          <w:p w14:paraId="3651DDE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9AC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AF7A77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217</w:t>
            </w:r>
          </w:p>
        </w:tc>
        <w:tc>
          <w:tcPr>
            <w:tcW w:w="7019" w:type="dxa"/>
            <w:noWrap w:val="0"/>
            <w:vAlign w:val="center"/>
          </w:tcPr>
          <w:p w14:paraId="1A09750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《20kV及以下配电网工程建设预算编制与计算规定》（国能电力[2017]6号）</w:t>
            </w:r>
          </w:p>
        </w:tc>
        <w:tc>
          <w:tcPr>
            <w:tcW w:w="1907" w:type="dxa"/>
            <w:noWrap w:val="0"/>
            <w:vAlign w:val="center"/>
          </w:tcPr>
          <w:p w14:paraId="5A56956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4C50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2A49895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218</w:t>
            </w:r>
          </w:p>
        </w:tc>
        <w:tc>
          <w:tcPr>
            <w:tcW w:w="7019" w:type="dxa"/>
            <w:noWrap w:val="0"/>
            <w:vAlign w:val="center"/>
          </w:tcPr>
          <w:p w14:paraId="516D631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《国家能源局关于颁布2013版电力建设工程定额和费用计算规定的通知》（国能电力〔2013〕289号）</w:t>
            </w:r>
          </w:p>
        </w:tc>
        <w:tc>
          <w:tcPr>
            <w:tcW w:w="1907" w:type="dxa"/>
            <w:noWrap w:val="0"/>
            <w:vAlign w:val="center"/>
          </w:tcPr>
          <w:p w14:paraId="3A0627C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CBA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4FE0B0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219</w:t>
            </w:r>
          </w:p>
        </w:tc>
        <w:tc>
          <w:tcPr>
            <w:tcW w:w="7019" w:type="dxa"/>
            <w:noWrap w:val="0"/>
            <w:vAlign w:val="center"/>
          </w:tcPr>
          <w:p w14:paraId="460A1FE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《国家能源局关于颁布20千伏及以下配电网工程定额及费用标准（2016年版）的通知》（国能电力〔2017〕6号）</w:t>
            </w:r>
          </w:p>
        </w:tc>
        <w:tc>
          <w:tcPr>
            <w:tcW w:w="1907" w:type="dxa"/>
            <w:noWrap w:val="0"/>
            <w:vAlign w:val="center"/>
          </w:tcPr>
          <w:p w14:paraId="0D5A15D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466D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5394A59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220</w:t>
            </w:r>
          </w:p>
        </w:tc>
        <w:tc>
          <w:tcPr>
            <w:tcW w:w="7019" w:type="dxa"/>
            <w:noWrap w:val="0"/>
            <w:vAlign w:val="center"/>
          </w:tcPr>
          <w:p w14:paraId="63131B2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关于落实《国家发展改革委关于进一步放开建设项目专业服务价格的通知》（发改价格[2015]299号）的指导意见（中电联定额[2015]162号文）</w:t>
            </w:r>
          </w:p>
        </w:tc>
        <w:tc>
          <w:tcPr>
            <w:tcW w:w="1907" w:type="dxa"/>
            <w:noWrap w:val="0"/>
            <w:vAlign w:val="center"/>
          </w:tcPr>
          <w:p w14:paraId="79FB953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00940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94483D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221</w:t>
            </w:r>
          </w:p>
        </w:tc>
        <w:tc>
          <w:tcPr>
            <w:tcW w:w="7019" w:type="dxa"/>
            <w:noWrap w:val="0"/>
            <w:vAlign w:val="center"/>
          </w:tcPr>
          <w:p w14:paraId="10CD5A0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《220kV-500kV挤包固体绝缘电缆及附件试验方法要求》IEC 62067</w:t>
            </w:r>
          </w:p>
        </w:tc>
        <w:tc>
          <w:tcPr>
            <w:tcW w:w="1907" w:type="dxa"/>
            <w:noWrap w:val="0"/>
            <w:vAlign w:val="center"/>
          </w:tcPr>
          <w:p w14:paraId="7E431B4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13172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621B577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222</w:t>
            </w:r>
          </w:p>
        </w:tc>
        <w:tc>
          <w:tcPr>
            <w:tcW w:w="7019" w:type="dxa"/>
            <w:noWrap w:val="0"/>
            <w:vAlign w:val="center"/>
          </w:tcPr>
          <w:p w14:paraId="0B5301F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《30kV-150kV挤包固体绝缘电缆及附件试验方法要求》IEC 60840</w:t>
            </w:r>
          </w:p>
        </w:tc>
        <w:tc>
          <w:tcPr>
            <w:tcW w:w="1907" w:type="dxa"/>
            <w:noWrap w:val="0"/>
            <w:vAlign w:val="center"/>
          </w:tcPr>
          <w:p w14:paraId="1E5195B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50D6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A14A19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223</w:t>
            </w:r>
          </w:p>
        </w:tc>
        <w:tc>
          <w:tcPr>
            <w:tcW w:w="7019" w:type="dxa"/>
            <w:noWrap w:val="0"/>
            <w:vAlign w:val="center"/>
          </w:tcPr>
          <w:p w14:paraId="26BEF23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《电缆额定电流的计算》IEC 60287-1-1-2006</w:t>
            </w:r>
          </w:p>
        </w:tc>
        <w:tc>
          <w:tcPr>
            <w:tcW w:w="1907" w:type="dxa"/>
            <w:noWrap w:val="0"/>
            <w:vAlign w:val="center"/>
          </w:tcPr>
          <w:p w14:paraId="748C78B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F1E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4EE5415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224</w:t>
            </w:r>
          </w:p>
        </w:tc>
        <w:tc>
          <w:tcPr>
            <w:tcW w:w="7019" w:type="dxa"/>
            <w:noWrap w:val="0"/>
            <w:vAlign w:val="center"/>
          </w:tcPr>
          <w:p w14:paraId="40F7649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《电缆连续（100%负荷率）允许载流量计算》IEC287</w:t>
            </w:r>
          </w:p>
        </w:tc>
        <w:tc>
          <w:tcPr>
            <w:tcW w:w="1907" w:type="dxa"/>
            <w:noWrap w:val="0"/>
            <w:vAlign w:val="center"/>
          </w:tcPr>
          <w:p w14:paraId="2109FE5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4E4B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7DB26D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225</w:t>
            </w:r>
          </w:p>
        </w:tc>
        <w:tc>
          <w:tcPr>
            <w:tcW w:w="7019" w:type="dxa"/>
            <w:noWrap w:val="0"/>
            <w:vAlign w:val="center"/>
          </w:tcPr>
          <w:p w14:paraId="22E84B3F">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《电缆周期性和应急额定电流计算》IEC853-2</w:t>
            </w:r>
          </w:p>
        </w:tc>
        <w:tc>
          <w:tcPr>
            <w:tcW w:w="1907" w:type="dxa"/>
            <w:noWrap w:val="0"/>
            <w:vAlign w:val="center"/>
          </w:tcPr>
          <w:p w14:paraId="1FD2D526">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819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1C6E693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226</w:t>
            </w:r>
          </w:p>
        </w:tc>
        <w:tc>
          <w:tcPr>
            <w:tcW w:w="7019" w:type="dxa"/>
            <w:noWrap w:val="0"/>
            <w:vAlign w:val="center"/>
          </w:tcPr>
          <w:p w14:paraId="37BC0E1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《220kV电力电缆》CSBTS/TC213-01</w:t>
            </w:r>
          </w:p>
        </w:tc>
        <w:tc>
          <w:tcPr>
            <w:tcW w:w="1907" w:type="dxa"/>
            <w:noWrap w:val="0"/>
            <w:vAlign w:val="center"/>
          </w:tcPr>
          <w:p w14:paraId="51F74C0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6D28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0"/>
            <w:vAlign w:val="center"/>
          </w:tcPr>
          <w:p w14:paraId="231F8E5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227</w:t>
            </w:r>
          </w:p>
        </w:tc>
        <w:tc>
          <w:tcPr>
            <w:tcW w:w="7019" w:type="dxa"/>
            <w:noWrap w:val="0"/>
            <w:vAlign w:val="center"/>
          </w:tcPr>
          <w:p w14:paraId="41B9797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《220kV电力电缆附件》CSBTS/TC213-02</w:t>
            </w:r>
          </w:p>
        </w:tc>
        <w:tc>
          <w:tcPr>
            <w:tcW w:w="1907" w:type="dxa"/>
            <w:noWrap w:val="0"/>
            <w:vAlign w:val="center"/>
          </w:tcPr>
          <w:p w14:paraId="59A938B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2AC9D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31656E3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228</w:t>
            </w:r>
          </w:p>
        </w:tc>
        <w:tc>
          <w:tcPr>
            <w:tcW w:w="7019" w:type="dxa"/>
            <w:noWrap w:val="0"/>
            <w:vAlign w:val="center"/>
          </w:tcPr>
          <w:p w14:paraId="32BDFA9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《工程建设标准强制性条文》（电力工程部分）（2011版，中电联标准(2012)16号）</w:t>
            </w:r>
          </w:p>
        </w:tc>
        <w:tc>
          <w:tcPr>
            <w:tcW w:w="1907" w:type="dxa"/>
            <w:noWrap w:val="0"/>
            <w:vAlign w:val="center"/>
          </w:tcPr>
          <w:p w14:paraId="0A2669B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6F9F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60" w:type="dxa"/>
            <w:noWrap w:val="0"/>
            <w:vAlign w:val="center"/>
          </w:tcPr>
          <w:p w14:paraId="03D8B47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229</w:t>
            </w:r>
          </w:p>
        </w:tc>
        <w:tc>
          <w:tcPr>
            <w:tcW w:w="7019" w:type="dxa"/>
            <w:noWrap w:val="0"/>
            <w:vAlign w:val="center"/>
          </w:tcPr>
          <w:p w14:paraId="1E30D80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《电力建设工程施工安全监督管理办法》（国家发改委第28号令）</w:t>
            </w:r>
          </w:p>
        </w:tc>
        <w:tc>
          <w:tcPr>
            <w:tcW w:w="1907" w:type="dxa"/>
            <w:noWrap w:val="0"/>
            <w:vAlign w:val="center"/>
          </w:tcPr>
          <w:p w14:paraId="637D8C4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57E48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60" w:type="dxa"/>
            <w:noWrap w:val="0"/>
            <w:vAlign w:val="center"/>
          </w:tcPr>
          <w:p w14:paraId="7A81D4F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230</w:t>
            </w:r>
          </w:p>
        </w:tc>
        <w:tc>
          <w:tcPr>
            <w:tcW w:w="7019" w:type="dxa"/>
            <w:noWrap w:val="0"/>
            <w:vAlign w:val="center"/>
          </w:tcPr>
          <w:p w14:paraId="4CA0B7D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《输变电工程质量监督检查大纲》（2014版）</w:t>
            </w:r>
          </w:p>
        </w:tc>
        <w:tc>
          <w:tcPr>
            <w:tcW w:w="1907" w:type="dxa"/>
            <w:noWrap w:val="0"/>
            <w:vAlign w:val="center"/>
          </w:tcPr>
          <w:p w14:paraId="4368B66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国家/行业标准</w:t>
            </w:r>
          </w:p>
        </w:tc>
      </w:tr>
      <w:tr w14:paraId="38FE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686" w:type="dxa"/>
            <w:gridSpan w:val="3"/>
            <w:noWrap w:val="0"/>
            <w:vAlign w:val="center"/>
          </w:tcPr>
          <w:p w14:paraId="03C82AA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shd w:val="clear" w:color="auto" w:fill="auto"/>
              </w:rPr>
              <w:t>南方电网管理要求、企业标准</w:t>
            </w:r>
          </w:p>
        </w:tc>
      </w:tr>
      <w:tr w14:paraId="2DF6F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tcBorders>
              <w:top w:val="single" w:color="auto" w:sz="4" w:space="0"/>
              <w:left w:val="single" w:color="auto" w:sz="4" w:space="0"/>
              <w:bottom w:val="single" w:color="auto" w:sz="4" w:space="0"/>
              <w:right w:val="single" w:color="auto" w:sz="4" w:space="0"/>
            </w:tcBorders>
            <w:noWrap w:val="0"/>
            <w:vAlign w:val="center"/>
          </w:tcPr>
          <w:p w14:paraId="2146318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231</w:t>
            </w:r>
          </w:p>
        </w:tc>
        <w:tc>
          <w:tcPr>
            <w:tcW w:w="7019" w:type="dxa"/>
            <w:tcBorders>
              <w:top w:val="single" w:color="auto" w:sz="4" w:space="0"/>
              <w:left w:val="single" w:color="auto" w:sz="4" w:space="0"/>
              <w:bottom w:val="single" w:color="auto" w:sz="4" w:space="0"/>
              <w:right w:val="single" w:color="auto" w:sz="4" w:space="0"/>
            </w:tcBorders>
            <w:noWrap w:val="0"/>
            <w:vAlign w:val="bottom"/>
          </w:tcPr>
          <w:p w14:paraId="6AE619F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《关于印发&lt;标准设计和典型造价总体技术原则&gt;的通知》（南方电网基建[2013]16号）——《标准设计和典型造价总体技术原则》（Q/CSG11102001-2013）</w:t>
            </w:r>
          </w:p>
        </w:tc>
        <w:tc>
          <w:tcPr>
            <w:tcW w:w="1907" w:type="dxa"/>
            <w:tcBorders>
              <w:top w:val="single" w:color="auto" w:sz="4" w:space="0"/>
              <w:left w:val="single" w:color="auto" w:sz="4" w:space="0"/>
              <w:bottom w:val="single" w:color="auto" w:sz="4" w:space="0"/>
              <w:right w:val="single" w:color="auto" w:sz="4" w:space="0"/>
            </w:tcBorders>
            <w:noWrap w:val="0"/>
            <w:vAlign w:val="bottom"/>
          </w:tcPr>
          <w:p w14:paraId="16C73C4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246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08AEC86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232</w:t>
            </w:r>
          </w:p>
        </w:tc>
        <w:tc>
          <w:tcPr>
            <w:tcW w:w="7019" w:type="dxa"/>
            <w:noWrap w:val="0"/>
            <w:vAlign w:val="bottom"/>
          </w:tcPr>
          <w:p w14:paraId="5D2B77D2">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《中国南方电网有限责任公司安全生产问责管理规定》</w:t>
            </w:r>
          </w:p>
        </w:tc>
        <w:tc>
          <w:tcPr>
            <w:tcW w:w="1907" w:type="dxa"/>
            <w:noWrap w:val="0"/>
            <w:vAlign w:val="bottom"/>
          </w:tcPr>
          <w:p w14:paraId="576507B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E26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7827A5E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233</w:t>
            </w:r>
          </w:p>
        </w:tc>
        <w:tc>
          <w:tcPr>
            <w:tcW w:w="7019" w:type="dxa"/>
            <w:noWrap w:val="0"/>
            <w:vAlign w:val="bottom"/>
          </w:tcPr>
          <w:p w14:paraId="7B0B223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《中国南方电网有限责任公司电力安全工作规程》</w:t>
            </w:r>
          </w:p>
        </w:tc>
        <w:tc>
          <w:tcPr>
            <w:tcW w:w="1907" w:type="dxa"/>
            <w:noWrap w:val="0"/>
            <w:vAlign w:val="bottom"/>
          </w:tcPr>
          <w:p w14:paraId="4B46A8B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701A2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D89686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234</w:t>
            </w:r>
          </w:p>
        </w:tc>
        <w:tc>
          <w:tcPr>
            <w:tcW w:w="7019" w:type="dxa"/>
            <w:noWrap w:val="0"/>
            <w:vAlign w:val="bottom"/>
          </w:tcPr>
          <w:p w14:paraId="4A8FA184">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中国南方电网有限责任公司安全管理规定</w:t>
            </w:r>
          </w:p>
        </w:tc>
        <w:tc>
          <w:tcPr>
            <w:tcW w:w="1907" w:type="dxa"/>
            <w:noWrap w:val="0"/>
            <w:vAlign w:val="bottom"/>
          </w:tcPr>
          <w:p w14:paraId="6CD2F83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A8DD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13BC86E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235</w:t>
            </w:r>
          </w:p>
        </w:tc>
        <w:tc>
          <w:tcPr>
            <w:tcW w:w="7019" w:type="dxa"/>
            <w:noWrap w:val="0"/>
            <w:vAlign w:val="bottom"/>
          </w:tcPr>
          <w:p w14:paraId="4FD7B17B">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《中国南方电网有限责任公司安全监督工作规定》</w:t>
            </w:r>
          </w:p>
        </w:tc>
        <w:tc>
          <w:tcPr>
            <w:tcW w:w="1907" w:type="dxa"/>
            <w:noWrap w:val="0"/>
            <w:vAlign w:val="bottom"/>
          </w:tcPr>
          <w:p w14:paraId="77C91B6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6CD81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3A91BD9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236</w:t>
            </w:r>
          </w:p>
        </w:tc>
        <w:tc>
          <w:tcPr>
            <w:tcW w:w="7019" w:type="dxa"/>
            <w:noWrap w:val="0"/>
            <w:vAlign w:val="bottom"/>
          </w:tcPr>
          <w:p w14:paraId="6453F4D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《安全生产风险管理体系审核业务指导书》</w:t>
            </w:r>
          </w:p>
        </w:tc>
        <w:tc>
          <w:tcPr>
            <w:tcW w:w="1907" w:type="dxa"/>
            <w:noWrap w:val="0"/>
            <w:vAlign w:val="bottom"/>
          </w:tcPr>
          <w:p w14:paraId="2B1A4B2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28DF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719A905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237</w:t>
            </w:r>
          </w:p>
        </w:tc>
        <w:tc>
          <w:tcPr>
            <w:tcW w:w="7019" w:type="dxa"/>
            <w:noWrap w:val="0"/>
            <w:vAlign w:val="bottom"/>
          </w:tcPr>
          <w:p w14:paraId="172D6C5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中国南方电网有限责任公司安全工作规程考试管理业务指导书</w:t>
            </w:r>
          </w:p>
        </w:tc>
        <w:tc>
          <w:tcPr>
            <w:tcW w:w="1907" w:type="dxa"/>
            <w:noWrap w:val="0"/>
            <w:vAlign w:val="bottom"/>
          </w:tcPr>
          <w:p w14:paraId="0560D8A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460C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7E3D604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238</w:t>
            </w:r>
          </w:p>
        </w:tc>
        <w:tc>
          <w:tcPr>
            <w:tcW w:w="7019" w:type="dxa"/>
            <w:noWrap w:val="0"/>
            <w:vAlign w:val="bottom"/>
          </w:tcPr>
          <w:p w14:paraId="3BDAA81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中国南方电网有限责任公司安全生产风险管控监督业务指导书</w:t>
            </w:r>
          </w:p>
        </w:tc>
        <w:tc>
          <w:tcPr>
            <w:tcW w:w="1907" w:type="dxa"/>
            <w:noWrap w:val="0"/>
            <w:vAlign w:val="bottom"/>
          </w:tcPr>
          <w:p w14:paraId="2368828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7E806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578203A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239</w:t>
            </w:r>
          </w:p>
        </w:tc>
        <w:tc>
          <w:tcPr>
            <w:tcW w:w="7019" w:type="dxa"/>
            <w:noWrap w:val="0"/>
            <w:vAlign w:val="bottom"/>
          </w:tcPr>
          <w:p w14:paraId="6D13640D">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中国南方电网有限责任公司电力安全工器具管理业务指导书</w:t>
            </w:r>
          </w:p>
        </w:tc>
        <w:tc>
          <w:tcPr>
            <w:tcW w:w="1907" w:type="dxa"/>
            <w:noWrap w:val="0"/>
            <w:vAlign w:val="bottom"/>
          </w:tcPr>
          <w:p w14:paraId="668A6DC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6B0BE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3F6AF93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240</w:t>
            </w:r>
          </w:p>
        </w:tc>
        <w:tc>
          <w:tcPr>
            <w:tcW w:w="7019" w:type="dxa"/>
            <w:noWrap w:val="0"/>
            <w:vAlign w:val="bottom"/>
          </w:tcPr>
          <w:p w14:paraId="1737126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中国南方电网有限责任公司隐患治理监督和安全检查业务指导书</w:t>
            </w:r>
          </w:p>
        </w:tc>
        <w:tc>
          <w:tcPr>
            <w:tcW w:w="1907" w:type="dxa"/>
            <w:noWrap w:val="0"/>
            <w:vAlign w:val="bottom"/>
          </w:tcPr>
          <w:p w14:paraId="745B87A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62B8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3CA11E5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241</w:t>
            </w:r>
          </w:p>
        </w:tc>
        <w:tc>
          <w:tcPr>
            <w:tcW w:w="7019" w:type="dxa"/>
            <w:noWrap w:val="0"/>
            <w:vAlign w:val="bottom"/>
          </w:tcPr>
          <w:p w14:paraId="3BF86EE5">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中国南方电网有限责任公司基建项目作业环境管理（5S）工作指引</w:t>
            </w:r>
          </w:p>
        </w:tc>
        <w:tc>
          <w:tcPr>
            <w:tcW w:w="1907" w:type="dxa"/>
            <w:noWrap w:val="0"/>
            <w:vAlign w:val="bottom"/>
          </w:tcPr>
          <w:p w14:paraId="3E93559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634B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649A6E6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242</w:t>
            </w:r>
          </w:p>
        </w:tc>
        <w:tc>
          <w:tcPr>
            <w:tcW w:w="7019" w:type="dxa"/>
            <w:noWrap w:val="0"/>
            <w:vAlign w:val="bottom"/>
          </w:tcPr>
          <w:p w14:paraId="5B73262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中国南方电网有限责任公司基建项目承包商管理业务指导书</w:t>
            </w:r>
          </w:p>
        </w:tc>
        <w:tc>
          <w:tcPr>
            <w:tcW w:w="1907" w:type="dxa"/>
            <w:noWrap w:val="0"/>
            <w:vAlign w:val="bottom"/>
          </w:tcPr>
          <w:p w14:paraId="6FA9FE1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795E0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B3B2C8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243</w:t>
            </w:r>
          </w:p>
        </w:tc>
        <w:tc>
          <w:tcPr>
            <w:tcW w:w="7019" w:type="dxa"/>
            <w:noWrap w:val="0"/>
            <w:vAlign w:val="bottom"/>
          </w:tcPr>
          <w:p w14:paraId="537DF547">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《中国南方电网有限责任公司基建项目达标投产及工程评优管理业务指导书》（Q/CSG433016-2015）</w:t>
            </w:r>
          </w:p>
        </w:tc>
        <w:tc>
          <w:tcPr>
            <w:tcW w:w="1907" w:type="dxa"/>
            <w:noWrap w:val="0"/>
            <w:vAlign w:val="bottom"/>
          </w:tcPr>
          <w:p w14:paraId="4E4BC24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1376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6F550E7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244</w:t>
            </w:r>
          </w:p>
        </w:tc>
        <w:tc>
          <w:tcPr>
            <w:tcW w:w="7019" w:type="dxa"/>
            <w:noWrap w:val="0"/>
            <w:vAlign w:val="bottom"/>
          </w:tcPr>
          <w:p w14:paraId="54523658">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中国南方电网有限责任公司保供电管理规定(Q/CSG210004—2014)</w:t>
            </w:r>
          </w:p>
        </w:tc>
        <w:tc>
          <w:tcPr>
            <w:tcW w:w="1907" w:type="dxa"/>
            <w:noWrap w:val="0"/>
            <w:vAlign w:val="bottom"/>
          </w:tcPr>
          <w:p w14:paraId="1878947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3A0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5852CC9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245</w:t>
            </w:r>
          </w:p>
        </w:tc>
        <w:tc>
          <w:tcPr>
            <w:tcW w:w="7019" w:type="dxa"/>
            <w:noWrap w:val="0"/>
            <w:vAlign w:val="bottom"/>
          </w:tcPr>
          <w:p w14:paraId="037A11A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中国南方电网有限责任公司应急管理规定(Q/CSG210003-2014)</w:t>
            </w:r>
          </w:p>
        </w:tc>
        <w:tc>
          <w:tcPr>
            <w:tcW w:w="1907" w:type="dxa"/>
            <w:noWrap w:val="0"/>
            <w:vAlign w:val="bottom"/>
          </w:tcPr>
          <w:p w14:paraId="5592616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165F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7D8325D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246</w:t>
            </w:r>
          </w:p>
        </w:tc>
        <w:tc>
          <w:tcPr>
            <w:tcW w:w="7019" w:type="dxa"/>
            <w:noWrap w:val="0"/>
            <w:vAlign w:val="bottom"/>
          </w:tcPr>
          <w:p w14:paraId="6756A48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中国南方电网有限责任公司应急预案与演练管理办法</w:t>
            </w:r>
          </w:p>
        </w:tc>
        <w:tc>
          <w:tcPr>
            <w:tcW w:w="1907" w:type="dxa"/>
            <w:noWrap w:val="0"/>
            <w:vAlign w:val="bottom"/>
          </w:tcPr>
          <w:p w14:paraId="68CEE03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4DD89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32A3B4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247</w:t>
            </w:r>
          </w:p>
        </w:tc>
        <w:tc>
          <w:tcPr>
            <w:tcW w:w="7019" w:type="dxa"/>
            <w:noWrap w:val="0"/>
            <w:vAlign w:val="bottom"/>
          </w:tcPr>
          <w:p w14:paraId="15EA0F9C">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中国南方电网有限责任公司应急预警与响应管理办法</w:t>
            </w:r>
          </w:p>
        </w:tc>
        <w:tc>
          <w:tcPr>
            <w:tcW w:w="1907" w:type="dxa"/>
            <w:noWrap w:val="0"/>
            <w:vAlign w:val="bottom"/>
          </w:tcPr>
          <w:p w14:paraId="6BC93BE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29BE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08F84EA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248</w:t>
            </w:r>
          </w:p>
        </w:tc>
        <w:tc>
          <w:tcPr>
            <w:tcW w:w="7019" w:type="dxa"/>
            <w:noWrap w:val="0"/>
            <w:vAlign w:val="bottom"/>
          </w:tcPr>
          <w:p w14:paraId="484FDA8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中国南方电网有限责任公司配电自动化规划导则</w:t>
            </w:r>
          </w:p>
        </w:tc>
        <w:tc>
          <w:tcPr>
            <w:tcW w:w="1907" w:type="dxa"/>
            <w:noWrap w:val="0"/>
            <w:vAlign w:val="bottom"/>
          </w:tcPr>
          <w:p w14:paraId="6BEDC2B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1E75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2136B4F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249</w:t>
            </w:r>
          </w:p>
        </w:tc>
        <w:tc>
          <w:tcPr>
            <w:tcW w:w="7019" w:type="dxa"/>
            <w:noWrap w:val="0"/>
            <w:vAlign w:val="bottom"/>
          </w:tcPr>
          <w:p w14:paraId="4A850D3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《南方电网公司基建项目造价信息化规约（电网工程部分）》（基建[2013]50号）</w:t>
            </w:r>
          </w:p>
        </w:tc>
        <w:tc>
          <w:tcPr>
            <w:tcW w:w="1907" w:type="dxa"/>
            <w:noWrap w:val="0"/>
            <w:vAlign w:val="bottom"/>
          </w:tcPr>
          <w:p w14:paraId="460EBF8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5DD1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5B5B538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250</w:t>
            </w:r>
          </w:p>
        </w:tc>
        <w:tc>
          <w:tcPr>
            <w:tcW w:w="7019" w:type="dxa"/>
            <w:noWrap w:val="0"/>
            <w:vAlign w:val="bottom"/>
          </w:tcPr>
          <w:p w14:paraId="3C926CD1">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《南方电网公司基建项目造价信息化规约（2013）》（南方电网基建[2014]60号）</w:t>
            </w:r>
          </w:p>
        </w:tc>
        <w:tc>
          <w:tcPr>
            <w:tcW w:w="1907" w:type="dxa"/>
            <w:noWrap w:val="0"/>
            <w:vAlign w:val="bottom"/>
          </w:tcPr>
          <w:p w14:paraId="6F5F9E9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4F60A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18E8698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251</w:t>
            </w:r>
          </w:p>
        </w:tc>
        <w:tc>
          <w:tcPr>
            <w:tcW w:w="7019" w:type="dxa"/>
            <w:noWrap w:val="0"/>
            <w:vAlign w:val="bottom"/>
          </w:tcPr>
          <w:p w14:paraId="109B6720">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《基建前期继电保护相关技术问题专题会会议纪要》（系统[2012]第56期）</w:t>
            </w:r>
          </w:p>
        </w:tc>
        <w:tc>
          <w:tcPr>
            <w:tcW w:w="1907" w:type="dxa"/>
            <w:noWrap w:val="0"/>
            <w:vAlign w:val="bottom"/>
          </w:tcPr>
          <w:p w14:paraId="736DACE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7AE1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D175F5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252</w:t>
            </w:r>
          </w:p>
        </w:tc>
        <w:tc>
          <w:tcPr>
            <w:tcW w:w="7019" w:type="dxa"/>
            <w:noWrap w:val="0"/>
            <w:vAlign w:val="bottom"/>
          </w:tcPr>
          <w:p w14:paraId="7D6F9AA9">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《转发中国电力企业联合会关于落实进一步放开建设项目专业服务价格指导意见的通知》（南方电网定额〔2015〕12号）</w:t>
            </w:r>
          </w:p>
        </w:tc>
        <w:tc>
          <w:tcPr>
            <w:tcW w:w="1907" w:type="dxa"/>
            <w:noWrap w:val="0"/>
            <w:vAlign w:val="bottom"/>
          </w:tcPr>
          <w:p w14:paraId="6BE1552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26EB8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21E7FBD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253</w:t>
            </w:r>
          </w:p>
        </w:tc>
        <w:tc>
          <w:tcPr>
            <w:tcW w:w="7019" w:type="dxa"/>
            <w:noWrap w:val="0"/>
            <w:vAlign w:val="bottom"/>
          </w:tcPr>
          <w:p w14:paraId="73D68E39">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公司基建工程质量控制（WHS）标准（2017年版）</w:t>
            </w:r>
          </w:p>
        </w:tc>
        <w:tc>
          <w:tcPr>
            <w:tcW w:w="1907" w:type="dxa"/>
            <w:noWrap w:val="0"/>
            <w:vAlign w:val="bottom"/>
          </w:tcPr>
          <w:p w14:paraId="52EAF38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4452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1C76699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254</w:t>
            </w:r>
          </w:p>
        </w:tc>
        <w:tc>
          <w:tcPr>
            <w:tcW w:w="7019" w:type="dxa"/>
            <w:noWrap w:val="0"/>
            <w:vAlign w:val="bottom"/>
          </w:tcPr>
          <w:p w14:paraId="3796BC17">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中国南方电网有限责任公司基建管理规定</w:t>
            </w:r>
          </w:p>
        </w:tc>
        <w:tc>
          <w:tcPr>
            <w:tcW w:w="1907" w:type="dxa"/>
            <w:noWrap w:val="0"/>
            <w:vAlign w:val="bottom"/>
          </w:tcPr>
          <w:p w14:paraId="761FFDA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66B0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CF8C9A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255</w:t>
            </w:r>
          </w:p>
        </w:tc>
        <w:tc>
          <w:tcPr>
            <w:tcW w:w="7019" w:type="dxa"/>
            <w:noWrap w:val="0"/>
            <w:vAlign w:val="bottom"/>
          </w:tcPr>
          <w:p w14:paraId="3FFF4625">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中国南方电网有限责任公司投资管理规定</w:t>
            </w:r>
          </w:p>
        </w:tc>
        <w:tc>
          <w:tcPr>
            <w:tcW w:w="1907" w:type="dxa"/>
            <w:noWrap w:val="0"/>
            <w:vAlign w:val="bottom"/>
          </w:tcPr>
          <w:p w14:paraId="53E7783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035F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0296024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256</w:t>
            </w:r>
          </w:p>
        </w:tc>
        <w:tc>
          <w:tcPr>
            <w:tcW w:w="7019" w:type="dxa"/>
            <w:noWrap w:val="0"/>
            <w:vAlign w:val="bottom"/>
          </w:tcPr>
          <w:p w14:paraId="453FADA8">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中国南方电网有限责任公司采购计划与需求管理办法(2017)(修订)</w:t>
            </w:r>
          </w:p>
        </w:tc>
        <w:tc>
          <w:tcPr>
            <w:tcW w:w="1907" w:type="dxa"/>
            <w:noWrap w:val="0"/>
            <w:vAlign w:val="bottom"/>
          </w:tcPr>
          <w:p w14:paraId="7589DA2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4C76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3932AF6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257</w:t>
            </w:r>
          </w:p>
        </w:tc>
        <w:tc>
          <w:tcPr>
            <w:tcW w:w="7019" w:type="dxa"/>
            <w:noWrap w:val="0"/>
            <w:vAlign w:val="bottom"/>
          </w:tcPr>
          <w:p w14:paraId="5E572A4B">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中国南方电网有限责任公司仓储配送管理办法（2017）(修订)</w:t>
            </w:r>
          </w:p>
        </w:tc>
        <w:tc>
          <w:tcPr>
            <w:tcW w:w="1907" w:type="dxa"/>
            <w:noWrap w:val="0"/>
            <w:vAlign w:val="bottom"/>
          </w:tcPr>
          <w:p w14:paraId="0096C54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52180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380427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258</w:t>
            </w:r>
          </w:p>
        </w:tc>
        <w:tc>
          <w:tcPr>
            <w:tcW w:w="7019" w:type="dxa"/>
            <w:noWrap w:val="0"/>
            <w:vAlign w:val="bottom"/>
          </w:tcPr>
          <w:p w14:paraId="75126B39">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中国南方电网有限责任公司电力行业统计管理办法(修订)</w:t>
            </w:r>
          </w:p>
        </w:tc>
        <w:tc>
          <w:tcPr>
            <w:tcW w:w="1907" w:type="dxa"/>
            <w:noWrap w:val="0"/>
            <w:vAlign w:val="bottom"/>
          </w:tcPr>
          <w:p w14:paraId="765D31B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25D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67530C8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259</w:t>
            </w:r>
          </w:p>
        </w:tc>
        <w:tc>
          <w:tcPr>
            <w:tcW w:w="7019" w:type="dxa"/>
            <w:noWrap w:val="0"/>
            <w:vAlign w:val="bottom"/>
          </w:tcPr>
          <w:p w14:paraId="17075624">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中国南方电网有限责任公司非招标采购方式管理办法(2017)(修订)</w:t>
            </w:r>
          </w:p>
        </w:tc>
        <w:tc>
          <w:tcPr>
            <w:tcW w:w="1907" w:type="dxa"/>
            <w:noWrap w:val="0"/>
            <w:vAlign w:val="bottom"/>
          </w:tcPr>
          <w:p w14:paraId="0B5D173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0B9C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39634E2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260</w:t>
            </w:r>
          </w:p>
        </w:tc>
        <w:tc>
          <w:tcPr>
            <w:tcW w:w="7019" w:type="dxa"/>
            <w:noWrap w:val="0"/>
            <w:vAlign w:val="bottom"/>
          </w:tcPr>
          <w:p w14:paraId="0927EA0F">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中国南方电网有限责任公司工程交接验收管理办法</w:t>
            </w:r>
          </w:p>
        </w:tc>
        <w:tc>
          <w:tcPr>
            <w:tcW w:w="1907" w:type="dxa"/>
            <w:noWrap w:val="0"/>
            <w:vAlign w:val="bottom"/>
          </w:tcPr>
          <w:p w14:paraId="48B2539D">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1A45D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5DAD044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261</w:t>
            </w:r>
          </w:p>
        </w:tc>
        <w:tc>
          <w:tcPr>
            <w:tcW w:w="7019" w:type="dxa"/>
            <w:noWrap w:val="0"/>
            <w:vAlign w:val="bottom"/>
          </w:tcPr>
          <w:p w14:paraId="4CC2B289">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中国南方电网有限责任公司供货商扣分处罚实施细则</w:t>
            </w:r>
          </w:p>
        </w:tc>
        <w:tc>
          <w:tcPr>
            <w:tcW w:w="1907" w:type="dxa"/>
            <w:noWrap w:val="0"/>
            <w:vAlign w:val="bottom"/>
          </w:tcPr>
          <w:p w14:paraId="3E33923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4DA21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6BBCD922">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262</w:t>
            </w:r>
          </w:p>
        </w:tc>
        <w:tc>
          <w:tcPr>
            <w:tcW w:w="7019" w:type="dxa"/>
            <w:noWrap w:val="0"/>
            <w:vAlign w:val="bottom"/>
          </w:tcPr>
          <w:p w14:paraId="3E1D82ED">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中国南方电网有限责任公司供应商管理办法(2017)(修订)</w:t>
            </w:r>
          </w:p>
        </w:tc>
        <w:tc>
          <w:tcPr>
            <w:tcW w:w="1907" w:type="dxa"/>
            <w:noWrap w:val="0"/>
            <w:vAlign w:val="bottom"/>
          </w:tcPr>
          <w:p w14:paraId="73E4B36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5C941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3950EA8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263</w:t>
            </w:r>
          </w:p>
        </w:tc>
        <w:tc>
          <w:tcPr>
            <w:tcW w:w="7019" w:type="dxa"/>
            <w:noWrap w:val="0"/>
            <w:vAlign w:val="bottom"/>
          </w:tcPr>
          <w:p w14:paraId="70EA7D2B">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中国南方电网有限责任公司环境保护风险监督管理办法</w:t>
            </w:r>
          </w:p>
        </w:tc>
        <w:tc>
          <w:tcPr>
            <w:tcW w:w="1907" w:type="dxa"/>
            <w:noWrap w:val="0"/>
            <w:vAlign w:val="bottom"/>
          </w:tcPr>
          <w:p w14:paraId="58F698C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4AAE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193959B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264</w:t>
            </w:r>
          </w:p>
        </w:tc>
        <w:tc>
          <w:tcPr>
            <w:tcW w:w="7019" w:type="dxa"/>
            <w:noWrap w:val="0"/>
            <w:vAlign w:val="bottom"/>
          </w:tcPr>
          <w:p w14:paraId="039C0EEF">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中国南方电网有限责任公司基建安全管理办法</w:t>
            </w:r>
          </w:p>
        </w:tc>
        <w:tc>
          <w:tcPr>
            <w:tcW w:w="1907" w:type="dxa"/>
            <w:noWrap w:val="0"/>
            <w:vAlign w:val="bottom"/>
          </w:tcPr>
          <w:p w14:paraId="40E47ED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2C13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7EA4AEF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265</w:t>
            </w:r>
          </w:p>
        </w:tc>
        <w:tc>
          <w:tcPr>
            <w:tcW w:w="7019" w:type="dxa"/>
            <w:noWrap w:val="0"/>
            <w:vAlign w:val="bottom"/>
          </w:tcPr>
          <w:p w14:paraId="46EB1A69">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中国南方电网有限责任公司基建工程验收管理办法</w:t>
            </w:r>
          </w:p>
        </w:tc>
        <w:tc>
          <w:tcPr>
            <w:tcW w:w="1907" w:type="dxa"/>
            <w:noWrap w:val="0"/>
            <w:vAlign w:val="bottom"/>
          </w:tcPr>
          <w:p w14:paraId="33596A6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12289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13669F3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266</w:t>
            </w:r>
          </w:p>
        </w:tc>
        <w:tc>
          <w:tcPr>
            <w:tcW w:w="7019" w:type="dxa"/>
            <w:noWrap w:val="0"/>
            <w:vAlign w:val="bottom"/>
          </w:tcPr>
          <w:p w14:paraId="4E840010">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中国南方电网有限责任公司基建技术管理办法</w:t>
            </w:r>
          </w:p>
        </w:tc>
        <w:tc>
          <w:tcPr>
            <w:tcW w:w="1907" w:type="dxa"/>
            <w:noWrap w:val="0"/>
            <w:vAlign w:val="bottom"/>
          </w:tcPr>
          <w:p w14:paraId="65E94B8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6DD9C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9ADF08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267</w:t>
            </w:r>
          </w:p>
        </w:tc>
        <w:tc>
          <w:tcPr>
            <w:tcW w:w="7019" w:type="dxa"/>
            <w:noWrap w:val="0"/>
            <w:vAlign w:val="bottom"/>
          </w:tcPr>
          <w:p w14:paraId="502D8EDA">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中国南方电网有限责任公司基建设计管理办法</w:t>
            </w:r>
          </w:p>
        </w:tc>
        <w:tc>
          <w:tcPr>
            <w:tcW w:w="1907" w:type="dxa"/>
            <w:noWrap w:val="0"/>
            <w:vAlign w:val="bottom"/>
          </w:tcPr>
          <w:p w14:paraId="6220F7D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0286F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382A87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268</w:t>
            </w:r>
          </w:p>
        </w:tc>
        <w:tc>
          <w:tcPr>
            <w:tcW w:w="7019" w:type="dxa"/>
            <w:noWrap w:val="0"/>
            <w:vAlign w:val="bottom"/>
          </w:tcPr>
          <w:p w14:paraId="542783E3">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中国南方电网有限责任公司基建项目进度管理办法</w:t>
            </w:r>
          </w:p>
        </w:tc>
        <w:tc>
          <w:tcPr>
            <w:tcW w:w="1907" w:type="dxa"/>
            <w:noWrap w:val="0"/>
            <w:vAlign w:val="bottom"/>
          </w:tcPr>
          <w:p w14:paraId="718254F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5818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0960111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269</w:t>
            </w:r>
          </w:p>
        </w:tc>
        <w:tc>
          <w:tcPr>
            <w:tcW w:w="7019" w:type="dxa"/>
            <w:noWrap w:val="0"/>
            <w:vAlign w:val="bottom"/>
          </w:tcPr>
          <w:p w14:paraId="36FF2EF4">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中国南方电网有限责任公司基建项目投资管控业务指导书</w:t>
            </w:r>
          </w:p>
        </w:tc>
        <w:tc>
          <w:tcPr>
            <w:tcW w:w="1907" w:type="dxa"/>
            <w:noWrap w:val="0"/>
            <w:vAlign w:val="bottom"/>
          </w:tcPr>
          <w:p w14:paraId="484AD94A">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6C5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929FBAE">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270</w:t>
            </w:r>
          </w:p>
        </w:tc>
        <w:tc>
          <w:tcPr>
            <w:tcW w:w="7019" w:type="dxa"/>
            <w:noWrap w:val="0"/>
            <w:vAlign w:val="bottom"/>
          </w:tcPr>
          <w:p w14:paraId="467A9918">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中国南方电网有限责任公司基建造价管理办法</w:t>
            </w:r>
          </w:p>
        </w:tc>
        <w:tc>
          <w:tcPr>
            <w:tcW w:w="1907" w:type="dxa"/>
            <w:noWrap w:val="0"/>
            <w:vAlign w:val="bottom"/>
          </w:tcPr>
          <w:p w14:paraId="6B4C03E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46BD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094B615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271</w:t>
            </w:r>
          </w:p>
        </w:tc>
        <w:tc>
          <w:tcPr>
            <w:tcW w:w="7019" w:type="dxa"/>
            <w:noWrap w:val="0"/>
            <w:vAlign w:val="bottom"/>
          </w:tcPr>
          <w:p w14:paraId="63B44289">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中国南方电网有限责任公司基建质量管理办法</w:t>
            </w:r>
          </w:p>
        </w:tc>
        <w:tc>
          <w:tcPr>
            <w:tcW w:w="1907" w:type="dxa"/>
            <w:noWrap w:val="0"/>
            <w:vAlign w:val="bottom"/>
          </w:tcPr>
          <w:p w14:paraId="284887B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0CFF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5E7F68C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272</w:t>
            </w:r>
          </w:p>
        </w:tc>
        <w:tc>
          <w:tcPr>
            <w:tcW w:w="7019" w:type="dxa"/>
            <w:noWrap w:val="0"/>
            <w:vAlign w:val="bottom"/>
          </w:tcPr>
          <w:p w14:paraId="53E09E3B">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中国南方电网有限责任公司技术监督管理规定</w:t>
            </w:r>
          </w:p>
        </w:tc>
        <w:tc>
          <w:tcPr>
            <w:tcW w:w="1907" w:type="dxa"/>
            <w:noWrap w:val="0"/>
            <w:vAlign w:val="bottom"/>
          </w:tcPr>
          <w:p w14:paraId="38156F5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2767D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7D015E29">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273</w:t>
            </w:r>
          </w:p>
        </w:tc>
        <w:tc>
          <w:tcPr>
            <w:tcW w:w="7019" w:type="dxa"/>
            <w:noWrap w:val="0"/>
            <w:vAlign w:val="bottom"/>
          </w:tcPr>
          <w:p w14:paraId="63D26BC5">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中国南方电网有限责任公司生产设备选型管理办法</w:t>
            </w:r>
          </w:p>
        </w:tc>
        <w:tc>
          <w:tcPr>
            <w:tcW w:w="1907" w:type="dxa"/>
            <w:noWrap w:val="0"/>
            <w:vAlign w:val="bottom"/>
          </w:tcPr>
          <w:p w14:paraId="75BC5B3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1D32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9AD9A7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274</w:t>
            </w:r>
          </w:p>
        </w:tc>
        <w:tc>
          <w:tcPr>
            <w:tcW w:w="7019" w:type="dxa"/>
            <w:noWrap w:val="0"/>
            <w:vAlign w:val="bottom"/>
          </w:tcPr>
          <w:p w14:paraId="706F728D">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中国南方电网有限责任公司新技术推广应用管理规定</w:t>
            </w:r>
          </w:p>
        </w:tc>
        <w:tc>
          <w:tcPr>
            <w:tcW w:w="1907" w:type="dxa"/>
            <w:noWrap w:val="0"/>
            <w:vAlign w:val="bottom"/>
          </w:tcPr>
          <w:p w14:paraId="256660B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2A29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0B8BAE8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275</w:t>
            </w:r>
          </w:p>
        </w:tc>
        <w:tc>
          <w:tcPr>
            <w:tcW w:w="7019" w:type="dxa"/>
            <w:noWrap w:val="0"/>
            <w:vAlign w:val="bottom"/>
          </w:tcPr>
          <w:p w14:paraId="26DD9FC9">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中国南方电网有限责任公司招标管理规定(2017)(修订)</w:t>
            </w:r>
          </w:p>
        </w:tc>
        <w:tc>
          <w:tcPr>
            <w:tcW w:w="1907" w:type="dxa"/>
            <w:noWrap w:val="0"/>
            <w:vAlign w:val="bottom"/>
          </w:tcPr>
          <w:p w14:paraId="7B06F7C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29832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18B9F06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276</w:t>
            </w:r>
          </w:p>
        </w:tc>
        <w:tc>
          <w:tcPr>
            <w:tcW w:w="7019" w:type="dxa"/>
            <w:noWrap w:val="0"/>
            <w:vAlign w:val="bottom"/>
          </w:tcPr>
          <w:p w14:paraId="2FE191E3">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关于印发工程领域违法转分包专项治理措施的通知（南方电网基建[2019]18号）</w:t>
            </w:r>
          </w:p>
        </w:tc>
        <w:tc>
          <w:tcPr>
            <w:tcW w:w="1907" w:type="dxa"/>
            <w:noWrap w:val="0"/>
            <w:vAlign w:val="bottom"/>
          </w:tcPr>
          <w:p w14:paraId="2C29865E">
            <w:pPr>
              <w:pageBreakBefore w:val="0"/>
              <w:widowControl/>
              <w:kinsoku/>
              <w:wordWrap/>
              <w:overflowPunct/>
              <w:topLinePunct w:val="0"/>
              <w:bidi w:val="0"/>
              <w:spacing w:line="540" w:lineRule="exact"/>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1FE3F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CB4ED3F">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277</w:t>
            </w:r>
          </w:p>
        </w:tc>
        <w:tc>
          <w:tcPr>
            <w:tcW w:w="7019" w:type="dxa"/>
            <w:noWrap w:val="0"/>
            <w:vAlign w:val="bottom"/>
          </w:tcPr>
          <w:p w14:paraId="5E0305E6">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中国南方电网有限责任公司基建工程监理工作典型表式（2015年版）</w:t>
            </w:r>
          </w:p>
        </w:tc>
        <w:tc>
          <w:tcPr>
            <w:tcW w:w="1907" w:type="dxa"/>
            <w:noWrap w:val="0"/>
            <w:vAlign w:val="bottom"/>
          </w:tcPr>
          <w:p w14:paraId="5A579884">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34FA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E643CD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278</w:t>
            </w:r>
          </w:p>
        </w:tc>
        <w:tc>
          <w:tcPr>
            <w:tcW w:w="7019" w:type="dxa"/>
            <w:noWrap w:val="0"/>
            <w:vAlign w:val="bottom"/>
          </w:tcPr>
          <w:p w14:paraId="1D56B462">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中国南方电网有限责任公司监理项目部工作手册</w:t>
            </w:r>
          </w:p>
        </w:tc>
        <w:tc>
          <w:tcPr>
            <w:tcW w:w="1907" w:type="dxa"/>
            <w:noWrap w:val="0"/>
            <w:vAlign w:val="bottom"/>
          </w:tcPr>
          <w:p w14:paraId="6B6EC7C7">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1089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39493910">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279</w:t>
            </w:r>
          </w:p>
        </w:tc>
        <w:tc>
          <w:tcPr>
            <w:tcW w:w="7019" w:type="dxa"/>
            <w:noWrap w:val="0"/>
            <w:vAlign w:val="center"/>
          </w:tcPr>
          <w:p w14:paraId="404AAC34">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bookmarkStart w:id="36" w:name="RANGE!B287"/>
            <w:r>
              <w:rPr>
                <w:rFonts w:hint="eastAsia" w:ascii="宋体" w:hAnsi="宋体" w:eastAsia="宋体" w:cs="宋体"/>
                <w:color w:val="auto"/>
                <w:kern w:val="0"/>
                <w:sz w:val="28"/>
                <w:szCs w:val="28"/>
                <w:highlight w:val="none"/>
                <w:shd w:val="clear" w:color="auto" w:fill="auto"/>
              </w:rPr>
              <w:t>中国南方电网有限责任公司基建承包商违章扣分实施指南（2019版）</w:t>
            </w:r>
            <w:bookmarkEnd w:id="36"/>
          </w:p>
        </w:tc>
        <w:tc>
          <w:tcPr>
            <w:tcW w:w="1907" w:type="dxa"/>
            <w:noWrap w:val="0"/>
            <w:vAlign w:val="bottom"/>
          </w:tcPr>
          <w:p w14:paraId="2804CBA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579F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3A973C2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280</w:t>
            </w:r>
          </w:p>
        </w:tc>
        <w:tc>
          <w:tcPr>
            <w:tcW w:w="7019" w:type="dxa"/>
            <w:noWrap w:val="0"/>
            <w:vAlign w:val="center"/>
          </w:tcPr>
          <w:p w14:paraId="5A403166">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中国南方电网有限责任公司基建项目承包商评价标准</w:t>
            </w:r>
          </w:p>
        </w:tc>
        <w:tc>
          <w:tcPr>
            <w:tcW w:w="1907" w:type="dxa"/>
            <w:noWrap w:val="0"/>
            <w:vAlign w:val="bottom"/>
          </w:tcPr>
          <w:p w14:paraId="4F003631">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4758F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1A19DED3">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281</w:t>
            </w:r>
          </w:p>
        </w:tc>
        <w:tc>
          <w:tcPr>
            <w:tcW w:w="7019" w:type="dxa"/>
            <w:noWrap w:val="0"/>
            <w:vAlign w:val="center"/>
          </w:tcPr>
          <w:p w14:paraId="4A52A730">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《中国南方电网有限责任公司工程项目质量保证金管理工作指引》（南方电网基建〔2019〕10号）</w:t>
            </w:r>
          </w:p>
        </w:tc>
        <w:tc>
          <w:tcPr>
            <w:tcW w:w="1907" w:type="dxa"/>
            <w:noWrap w:val="0"/>
            <w:vAlign w:val="bottom"/>
          </w:tcPr>
          <w:p w14:paraId="56E5F2E5">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50617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4F69F747">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282</w:t>
            </w:r>
          </w:p>
        </w:tc>
        <w:tc>
          <w:tcPr>
            <w:tcW w:w="7019" w:type="dxa"/>
            <w:noWrap w:val="0"/>
            <w:vAlign w:val="bottom"/>
          </w:tcPr>
          <w:p w14:paraId="48BD1705">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《中国南方电网有限责任公司设备缺陷定级标准》（基建分册）、《中国南方电网有限责任公司缺陷标准库》（基建分册）</w:t>
            </w:r>
          </w:p>
        </w:tc>
        <w:tc>
          <w:tcPr>
            <w:tcW w:w="1907" w:type="dxa"/>
            <w:noWrap w:val="0"/>
            <w:vAlign w:val="bottom"/>
          </w:tcPr>
          <w:p w14:paraId="418160D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58E5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18FB5616">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283</w:t>
            </w:r>
          </w:p>
        </w:tc>
        <w:tc>
          <w:tcPr>
            <w:tcW w:w="7019" w:type="dxa"/>
            <w:noWrap w:val="0"/>
            <w:vAlign w:val="bottom"/>
          </w:tcPr>
          <w:p w14:paraId="5A2BC606">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《南方电网公司基建项目造价信息化规约（20kV及以下配网工程2016定额版）》（基建〔2017〕46号）</w:t>
            </w:r>
          </w:p>
        </w:tc>
        <w:tc>
          <w:tcPr>
            <w:tcW w:w="1907" w:type="dxa"/>
            <w:noWrap w:val="0"/>
            <w:vAlign w:val="bottom"/>
          </w:tcPr>
          <w:p w14:paraId="54E779B8">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南方电网管理要求</w:t>
            </w:r>
          </w:p>
        </w:tc>
      </w:tr>
      <w:tr w14:paraId="0ED9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0" w:type="dxa"/>
            <w:noWrap w:val="0"/>
            <w:vAlign w:val="center"/>
          </w:tcPr>
          <w:p w14:paraId="06A336DC">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284</w:t>
            </w:r>
          </w:p>
        </w:tc>
        <w:tc>
          <w:tcPr>
            <w:tcW w:w="7019" w:type="dxa"/>
            <w:noWrap w:val="0"/>
            <w:vAlign w:val="bottom"/>
          </w:tcPr>
          <w:p w14:paraId="74034182">
            <w:pPr>
              <w:pageBreakBefore w:val="0"/>
              <w:widowControl/>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《南方电网公司技术标准体系表（2019版）》</w:t>
            </w:r>
          </w:p>
        </w:tc>
        <w:tc>
          <w:tcPr>
            <w:tcW w:w="1907" w:type="dxa"/>
            <w:noWrap w:val="0"/>
            <w:vAlign w:val="bottom"/>
          </w:tcPr>
          <w:p w14:paraId="53AF4B3B">
            <w:pPr>
              <w:pageBreakBefore w:val="0"/>
              <w:widowControl/>
              <w:kinsoku/>
              <w:wordWrap/>
              <w:overflowPunct/>
              <w:topLinePunct w:val="0"/>
              <w:bidi w:val="0"/>
              <w:spacing w:line="540" w:lineRule="exact"/>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南方电网企业标准</w:t>
            </w:r>
          </w:p>
        </w:tc>
      </w:tr>
    </w:tbl>
    <w:p w14:paraId="4DF50E3E">
      <w:pPr>
        <w:pageBreakBefore w:val="0"/>
        <w:widowControl/>
        <w:kinsoku/>
        <w:wordWrap/>
        <w:overflowPunct/>
        <w:topLinePunct w:val="0"/>
        <w:autoSpaceDE w:val="0"/>
        <w:autoSpaceDN w:val="0"/>
        <w:bidi w:val="0"/>
        <w:adjustRightInd w:val="0"/>
        <w:spacing w:line="540" w:lineRule="exact"/>
        <w:ind w:firstLine="560" w:firstLineChars="200"/>
        <w:jc w:val="lef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以上所列的主要技术标准和规范，如未能达到国际和国内最新标准时，投标方应使用符合最近的国际、国内标准，并提供采用的标准、规范和所应用的最新版本的有关技术依据资料。</w:t>
      </w:r>
    </w:p>
    <w:p w14:paraId="57C1EA2E">
      <w:pPr>
        <w:pStyle w:val="22"/>
        <w:pageBreakBefore w:val="0"/>
        <w:kinsoku/>
        <w:wordWrap/>
        <w:overflowPunct/>
        <w:topLinePunct w:val="0"/>
        <w:bidi w:val="0"/>
        <w:spacing w:line="540" w:lineRule="exact"/>
        <w:jc w:val="center"/>
        <w:rPr>
          <w:rFonts w:hint="eastAsia" w:ascii="宋体" w:hAnsi="宋体" w:eastAsia="宋体" w:cs="宋体"/>
          <w:color w:val="auto"/>
          <w:sz w:val="28"/>
          <w:szCs w:val="28"/>
          <w:highlight w:val="none"/>
          <w:shd w:val="clear" w:color="auto" w:fill="auto"/>
        </w:rPr>
      </w:pPr>
    </w:p>
    <w:p w14:paraId="415B2157">
      <w:pPr>
        <w:pageBreakBefore w:val="0"/>
        <w:kinsoku/>
        <w:wordWrap/>
        <w:overflowPunct/>
        <w:topLinePunct w:val="0"/>
        <w:autoSpaceDE w:val="0"/>
        <w:autoSpaceDN w:val="0"/>
        <w:bidi w:val="0"/>
        <w:spacing w:line="540" w:lineRule="exact"/>
        <w:ind w:left="-420" w:leftChars="-20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14:paraId="566F600C">
      <w:pPr>
        <w:pStyle w:val="6"/>
        <w:pageBreakBefore w:val="0"/>
        <w:kinsoku/>
        <w:wordWrap/>
        <w:overflowPunct/>
        <w:topLinePunct w:val="0"/>
        <w:bidi w:val="0"/>
        <w:spacing w:before="0" w:after="0" w:line="540" w:lineRule="exact"/>
        <w:ind w:firstLine="137"/>
        <w:rPr>
          <w:rFonts w:hint="eastAsia" w:ascii="宋体" w:hAnsi="宋体" w:eastAsia="宋体" w:cs="宋体"/>
          <w:color w:val="auto"/>
          <w:sz w:val="28"/>
          <w:szCs w:val="28"/>
          <w:highlight w:val="none"/>
          <w:shd w:val="clear" w:color="auto" w:fill="auto"/>
        </w:rPr>
      </w:pPr>
      <w:bookmarkStart w:id="37" w:name="_Toc22126"/>
      <w:bookmarkStart w:id="38" w:name="_Toc26098"/>
      <w:r>
        <w:rPr>
          <w:rFonts w:hint="eastAsia" w:ascii="宋体" w:hAnsi="宋体" w:eastAsia="宋体" w:cs="宋体"/>
          <w:color w:val="auto"/>
          <w:sz w:val="28"/>
          <w:szCs w:val="28"/>
          <w:highlight w:val="none"/>
          <w:shd w:val="clear" w:color="auto" w:fill="auto"/>
        </w:rPr>
        <w:t>附件六：联合体协议书（如有）</w:t>
      </w:r>
      <w:bookmarkEnd w:id="37"/>
      <w:bookmarkEnd w:id="38"/>
    </w:p>
    <w:permEnd w:id="86"/>
    <w:p w14:paraId="6ABF70C9">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bookmarkEnd w:id="5"/>
    <w:bookmarkEnd w:id="6"/>
    <w:bookmarkEnd w:id="7"/>
    <w:bookmarkEnd w:id="8"/>
    <w:bookmarkEnd w:id="9"/>
    <w:bookmarkEnd w:id="10"/>
    <w:bookmarkEnd w:id="11"/>
    <w:bookmarkEnd w:id="28"/>
    <w:bookmarkEnd w:id="29"/>
    <w:bookmarkEnd w:id="30"/>
    <w:bookmarkEnd w:id="31"/>
    <w:bookmarkEnd w:id="32"/>
    <w:bookmarkEnd w:id="33"/>
    <w:p w14:paraId="53579AC1">
      <w:pPr>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sectPr>
      <w:pgSz w:w="12240" w:h="15840"/>
      <w:pgMar w:top="1440" w:right="1800" w:bottom="1440" w:left="1800"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ˎ̥">
    <w:altName w:val="思源宋体 CN"/>
    <w:panose1 w:val="00000000000000000000"/>
    <w:charset w:val="00"/>
    <w:family w:val="roman"/>
    <w:pitch w:val="default"/>
    <w:sig w:usb0="00000000" w:usb1="00000000" w:usb2="00000000" w:usb3="00000000" w:csb0="00040001" w:csb1="00000000"/>
  </w:font>
  <w:font w:name="思源黑体 CN">
    <w:altName w:val="黑体"/>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Calisto MT">
    <w:panose1 w:val="02040603050505030304"/>
    <w:charset w:val="00"/>
    <w:family w:val="roman"/>
    <w:pitch w:val="default"/>
    <w:sig w:usb0="00000003" w:usb1="00000000" w:usb2="00000000" w:usb3="00000000" w:csb0="2000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12856">
    <w:pPr>
      <w:pStyle w:val="27"/>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CC6A2D">
                          <w:pPr>
                            <w:pStyle w:val="27"/>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C1ufMgBAACZ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Jl&#10;lqcPUGPWQ8C8NNz5AZdm9gM6M+tBRZu/yIdgHMU9X8WVQyIiP1qv1usKQwJj8wXx2ePzECG9ld6S&#10;bDQ04vSKqPz0HtKYOqfkas7fa2PKBI37y4GY2cNy72OP2UrDfpgI7X17Rj49Dr6hDvecEvPOoa55&#10;R2YjzsZ+No4h6kNXlijXg3B7TNhE6S1XGGGnwjixwm7arrwSf95L1uMf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AtbnzIAQAAmQMAAA4AAAAAAAAAAQAgAAAAHgEAAGRycy9lMm9Eb2Mu&#10;eG1sUEsFBgAAAAAGAAYAWQEAAFgFAAAAAA==&#10;">
              <v:fill on="f" focussize="0,0"/>
              <v:stroke on="f"/>
              <v:imagedata o:title=""/>
              <o:lock v:ext="edit" aspectratio="f"/>
              <v:textbox inset="0mm,0mm,0mm,0mm" style="mso-fit-shape-to-text:t;">
                <w:txbxContent>
                  <w:p w14:paraId="5BCC6A2D">
                    <w:pPr>
                      <w:pStyle w:val="27"/>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r>
                      <w:rPr>
                        <w:rFonts w:hint="eastAsia"/>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585638"/>
    <w:multiLevelType w:val="singleLevel"/>
    <w:tmpl w:val="5A585638"/>
    <w:lvl w:ilvl="0" w:tentative="0">
      <w:start w:val="4"/>
      <w:numFmt w:val="decimal"/>
      <w:suff w:val="space"/>
      <w:lvlText w:val="%1."/>
      <w:lvlJc w:val="left"/>
    </w:lvl>
  </w:abstractNum>
  <w:abstractNum w:abstractNumId="1">
    <w:nsid w:val="5A5BFCE5"/>
    <w:multiLevelType w:val="singleLevel"/>
    <w:tmpl w:val="5A5BFCE5"/>
    <w:lvl w:ilvl="0" w:tentative="0">
      <w:start w:val="1"/>
      <w:numFmt w:val="decimal"/>
      <w:pStyle w:val="93"/>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s>
  <w:rsids>
    <w:rsidRoot w:val="00172A27"/>
    <w:rsid w:val="00002A60"/>
    <w:rsid w:val="00004603"/>
    <w:rsid w:val="00007319"/>
    <w:rsid w:val="000106AE"/>
    <w:rsid w:val="00011D02"/>
    <w:rsid w:val="00012703"/>
    <w:rsid w:val="000129D7"/>
    <w:rsid w:val="0001485E"/>
    <w:rsid w:val="00020140"/>
    <w:rsid w:val="00021BFE"/>
    <w:rsid w:val="00024B18"/>
    <w:rsid w:val="000250D6"/>
    <w:rsid w:val="00025980"/>
    <w:rsid w:val="00025ACC"/>
    <w:rsid w:val="00026171"/>
    <w:rsid w:val="000316F2"/>
    <w:rsid w:val="00032762"/>
    <w:rsid w:val="000351AE"/>
    <w:rsid w:val="00036642"/>
    <w:rsid w:val="00037A43"/>
    <w:rsid w:val="00043778"/>
    <w:rsid w:val="000452CE"/>
    <w:rsid w:val="000453B3"/>
    <w:rsid w:val="0005229A"/>
    <w:rsid w:val="00055BAD"/>
    <w:rsid w:val="00062AC6"/>
    <w:rsid w:val="00065A9E"/>
    <w:rsid w:val="000668F1"/>
    <w:rsid w:val="00067035"/>
    <w:rsid w:val="00071337"/>
    <w:rsid w:val="000752F3"/>
    <w:rsid w:val="00077D16"/>
    <w:rsid w:val="0008132B"/>
    <w:rsid w:val="00081360"/>
    <w:rsid w:val="0008253E"/>
    <w:rsid w:val="00084830"/>
    <w:rsid w:val="00087558"/>
    <w:rsid w:val="0009240C"/>
    <w:rsid w:val="000943B0"/>
    <w:rsid w:val="00094C66"/>
    <w:rsid w:val="000A16FC"/>
    <w:rsid w:val="000A1AB2"/>
    <w:rsid w:val="000A287B"/>
    <w:rsid w:val="000A5C81"/>
    <w:rsid w:val="000A76B3"/>
    <w:rsid w:val="000B65E2"/>
    <w:rsid w:val="000B676B"/>
    <w:rsid w:val="000C0018"/>
    <w:rsid w:val="000C1A9B"/>
    <w:rsid w:val="000C2AB5"/>
    <w:rsid w:val="000C4323"/>
    <w:rsid w:val="000C45BF"/>
    <w:rsid w:val="000C4710"/>
    <w:rsid w:val="000D0812"/>
    <w:rsid w:val="000D3DD3"/>
    <w:rsid w:val="000D4336"/>
    <w:rsid w:val="000D49B4"/>
    <w:rsid w:val="000D7260"/>
    <w:rsid w:val="000E08CB"/>
    <w:rsid w:val="000E1602"/>
    <w:rsid w:val="000E5673"/>
    <w:rsid w:val="000E5E77"/>
    <w:rsid w:val="000E7256"/>
    <w:rsid w:val="000F2186"/>
    <w:rsid w:val="000F2A12"/>
    <w:rsid w:val="000F2ECC"/>
    <w:rsid w:val="000F3757"/>
    <w:rsid w:val="000F7A0C"/>
    <w:rsid w:val="00100EF3"/>
    <w:rsid w:val="001011FC"/>
    <w:rsid w:val="00102618"/>
    <w:rsid w:val="00102F0B"/>
    <w:rsid w:val="00105423"/>
    <w:rsid w:val="00110431"/>
    <w:rsid w:val="001119B6"/>
    <w:rsid w:val="00111BC8"/>
    <w:rsid w:val="001122DE"/>
    <w:rsid w:val="00115124"/>
    <w:rsid w:val="00117629"/>
    <w:rsid w:val="00117A4F"/>
    <w:rsid w:val="00117F0F"/>
    <w:rsid w:val="001202A6"/>
    <w:rsid w:val="00120A52"/>
    <w:rsid w:val="00120DBF"/>
    <w:rsid w:val="00124337"/>
    <w:rsid w:val="0012552C"/>
    <w:rsid w:val="00132D26"/>
    <w:rsid w:val="001373A8"/>
    <w:rsid w:val="0014098E"/>
    <w:rsid w:val="00141621"/>
    <w:rsid w:val="00144A65"/>
    <w:rsid w:val="00151C4B"/>
    <w:rsid w:val="00152FFB"/>
    <w:rsid w:val="001530C6"/>
    <w:rsid w:val="00163567"/>
    <w:rsid w:val="001639B6"/>
    <w:rsid w:val="00170389"/>
    <w:rsid w:val="00171218"/>
    <w:rsid w:val="001729B8"/>
    <w:rsid w:val="00172A27"/>
    <w:rsid w:val="001735B4"/>
    <w:rsid w:val="001748A3"/>
    <w:rsid w:val="001770DF"/>
    <w:rsid w:val="00182B11"/>
    <w:rsid w:val="00183AEA"/>
    <w:rsid w:val="00183B4A"/>
    <w:rsid w:val="00186361"/>
    <w:rsid w:val="00187146"/>
    <w:rsid w:val="00193C1D"/>
    <w:rsid w:val="00194127"/>
    <w:rsid w:val="00196EED"/>
    <w:rsid w:val="001A093D"/>
    <w:rsid w:val="001A0C52"/>
    <w:rsid w:val="001A0CCF"/>
    <w:rsid w:val="001A2D03"/>
    <w:rsid w:val="001A2E05"/>
    <w:rsid w:val="001A4491"/>
    <w:rsid w:val="001A4684"/>
    <w:rsid w:val="001B0A20"/>
    <w:rsid w:val="001B1289"/>
    <w:rsid w:val="001B5478"/>
    <w:rsid w:val="001B7FEF"/>
    <w:rsid w:val="001C0EB5"/>
    <w:rsid w:val="001C133B"/>
    <w:rsid w:val="001C30C7"/>
    <w:rsid w:val="001D033C"/>
    <w:rsid w:val="001D30B6"/>
    <w:rsid w:val="001D3BE0"/>
    <w:rsid w:val="001D58C8"/>
    <w:rsid w:val="001E0901"/>
    <w:rsid w:val="001E1056"/>
    <w:rsid w:val="001E1433"/>
    <w:rsid w:val="001F1B9C"/>
    <w:rsid w:val="001F2208"/>
    <w:rsid w:val="001F2752"/>
    <w:rsid w:val="001F285E"/>
    <w:rsid w:val="001F2D26"/>
    <w:rsid w:val="001F4134"/>
    <w:rsid w:val="001F45EE"/>
    <w:rsid w:val="001F4850"/>
    <w:rsid w:val="001F4A49"/>
    <w:rsid w:val="001F6870"/>
    <w:rsid w:val="00204444"/>
    <w:rsid w:val="00204A5C"/>
    <w:rsid w:val="00206384"/>
    <w:rsid w:val="002063D8"/>
    <w:rsid w:val="00207739"/>
    <w:rsid w:val="00207A0B"/>
    <w:rsid w:val="00207FB1"/>
    <w:rsid w:val="00212A53"/>
    <w:rsid w:val="0021322F"/>
    <w:rsid w:val="00213B90"/>
    <w:rsid w:val="00214661"/>
    <w:rsid w:val="00215412"/>
    <w:rsid w:val="00215AF0"/>
    <w:rsid w:val="002229E2"/>
    <w:rsid w:val="0022434B"/>
    <w:rsid w:val="00233ADF"/>
    <w:rsid w:val="0023423F"/>
    <w:rsid w:val="002349F6"/>
    <w:rsid w:val="00235A2C"/>
    <w:rsid w:val="00237B0E"/>
    <w:rsid w:val="002430C2"/>
    <w:rsid w:val="00244E70"/>
    <w:rsid w:val="002454BD"/>
    <w:rsid w:val="002472BF"/>
    <w:rsid w:val="00250CB7"/>
    <w:rsid w:val="0025135E"/>
    <w:rsid w:val="00251A49"/>
    <w:rsid w:val="002521B3"/>
    <w:rsid w:val="00252893"/>
    <w:rsid w:val="00253B41"/>
    <w:rsid w:val="0025460A"/>
    <w:rsid w:val="00255D0D"/>
    <w:rsid w:val="00260C77"/>
    <w:rsid w:val="00261352"/>
    <w:rsid w:val="00263F0B"/>
    <w:rsid w:val="0026441A"/>
    <w:rsid w:val="00264EB1"/>
    <w:rsid w:val="0026505A"/>
    <w:rsid w:val="00273794"/>
    <w:rsid w:val="0027678C"/>
    <w:rsid w:val="00276C71"/>
    <w:rsid w:val="00281526"/>
    <w:rsid w:val="00285406"/>
    <w:rsid w:val="002875E7"/>
    <w:rsid w:val="00290A02"/>
    <w:rsid w:val="0029129F"/>
    <w:rsid w:val="00293C0C"/>
    <w:rsid w:val="002A0C76"/>
    <w:rsid w:val="002A33B3"/>
    <w:rsid w:val="002A552C"/>
    <w:rsid w:val="002A6152"/>
    <w:rsid w:val="002A65ED"/>
    <w:rsid w:val="002A74F3"/>
    <w:rsid w:val="002B2B5B"/>
    <w:rsid w:val="002C0C29"/>
    <w:rsid w:val="002C1B66"/>
    <w:rsid w:val="002C31DD"/>
    <w:rsid w:val="002C3CD8"/>
    <w:rsid w:val="002C4ACF"/>
    <w:rsid w:val="002C7B9B"/>
    <w:rsid w:val="002D2B90"/>
    <w:rsid w:val="002D6F32"/>
    <w:rsid w:val="002D7B78"/>
    <w:rsid w:val="002E1C97"/>
    <w:rsid w:val="002E1DAC"/>
    <w:rsid w:val="002E6D05"/>
    <w:rsid w:val="002E76C7"/>
    <w:rsid w:val="002F077E"/>
    <w:rsid w:val="002F4FD3"/>
    <w:rsid w:val="002F72A0"/>
    <w:rsid w:val="00311324"/>
    <w:rsid w:val="003122C4"/>
    <w:rsid w:val="00315B0D"/>
    <w:rsid w:val="00316B28"/>
    <w:rsid w:val="0032031D"/>
    <w:rsid w:val="003214BA"/>
    <w:rsid w:val="00321647"/>
    <w:rsid w:val="00321989"/>
    <w:rsid w:val="00321DDA"/>
    <w:rsid w:val="003243EC"/>
    <w:rsid w:val="003247CD"/>
    <w:rsid w:val="003279BD"/>
    <w:rsid w:val="003362AD"/>
    <w:rsid w:val="00342688"/>
    <w:rsid w:val="0034440E"/>
    <w:rsid w:val="00344FE2"/>
    <w:rsid w:val="00347899"/>
    <w:rsid w:val="003518D6"/>
    <w:rsid w:val="00354B7A"/>
    <w:rsid w:val="00363966"/>
    <w:rsid w:val="00364943"/>
    <w:rsid w:val="003701CE"/>
    <w:rsid w:val="0037172D"/>
    <w:rsid w:val="003741B0"/>
    <w:rsid w:val="00375481"/>
    <w:rsid w:val="003766FB"/>
    <w:rsid w:val="0037688E"/>
    <w:rsid w:val="0038240C"/>
    <w:rsid w:val="0038359A"/>
    <w:rsid w:val="0038499D"/>
    <w:rsid w:val="00386AA0"/>
    <w:rsid w:val="00387996"/>
    <w:rsid w:val="0039022C"/>
    <w:rsid w:val="00391F03"/>
    <w:rsid w:val="00392926"/>
    <w:rsid w:val="0039407B"/>
    <w:rsid w:val="00394F29"/>
    <w:rsid w:val="00396A68"/>
    <w:rsid w:val="003A0C6B"/>
    <w:rsid w:val="003A2368"/>
    <w:rsid w:val="003A593E"/>
    <w:rsid w:val="003A6775"/>
    <w:rsid w:val="003B02F9"/>
    <w:rsid w:val="003B1B15"/>
    <w:rsid w:val="003B2287"/>
    <w:rsid w:val="003B7203"/>
    <w:rsid w:val="003C083C"/>
    <w:rsid w:val="003C0ADF"/>
    <w:rsid w:val="003C0D7D"/>
    <w:rsid w:val="003C3B81"/>
    <w:rsid w:val="003C4858"/>
    <w:rsid w:val="003C5BB3"/>
    <w:rsid w:val="003C66EB"/>
    <w:rsid w:val="003D1170"/>
    <w:rsid w:val="003D1B8E"/>
    <w:rsid w:val="003D2D72"/>
    <w:rsid w:val="003D36EE"/>
    <w:rsid w:val="003D402C"/>
    <w:rsid w:val="003D6546"/>
    <w:rsid w:val="003D6E0A"/>
    <w:rsid w:val="003D7915"/>
    <w:rsid w:val="003E2C4E"/>
    <w:rsid w:val="003E56F5"/>
    <w:rsid w:val="003F3518"/>
    <w:rsid w:val="003F504F"/>
    <w:rsid w:val="003F5B69"/>
    <w:rsid w:val="004105EF"/>
    <w:rsid w:val="00412171"/>
    <w:rsid w:val="00415A1A"/>
    <w:rsid w:val="0042326A"/>
    <w:rsid w:val="004238AC"/>
    <w:rsid w:val="00423F96"/>
    <w:rsid w:val="00427C4D"/>
    <w:rsid w:val="00431F4F"/>
    <w:rsid w:val="00432518"/>
    <w:rsid w:val="0043351E"/>
    <w:rsid w:val="00433676"/>
    <w:rsid w:val="00436504"/>
    <w:rsid w:val="004405C7"/>
    <w:rsid w:val="00441D39"/>
    <w:rsid w:val="00442AF8"/>
    <w:rsid w:val="00442B41"/>
    <w:rsid w:val="0044514A"/>
    <w:rsid w:val="00447E59"/>
    <w:rsid w:val="00456BA4"/>
    <w:rsid w:val="00457DC2"/>
    <w:rsid w:val="00463001"/>
    <w:rsid w:val="00466309"/>
    <w:rsid w:val="00466339"/>
    <w:rsid w:val="004729B9"/>
    <w:rsid w:val="004733D3"/>
    <w:rsid w:val="00476673"/>
    <w:rsid w:val="00476828"/>
    <w:rsid w:val="00487315"/>
    <w:rsid w:val="00490E43"/>
    <w:rsid w:val="00490F92"/>
    <w:rsid w:val="00494530"/>
    <w:rsid w:val="00494624"/>
    <w:rsid w:val="00495001"/>
    <w:rsid w:val="004A112E"/>
    <w:rsid w:val="004A20AC"/>
    <w:rsid w:val="004A289F"/>
    <w:rsid w:val="004A76F2"/>
    <w:rsid w:val="004B51E3"/>
    <w:rsid w:val="004B6ED7"/>
    <w:rsid w:val="004B7926"/>
    <w:rsid w:val="004C5E8A"/>
    <w:rsid w:val="004C625D"/>
    <w:rsid w:val="004D0C9D"/>
    <w:rsid w:val="004D1209"/>
    <w:rsid w:val="004D1ADB"/>
    <w:rsid w:val="004D361D"/>
    <w:rsid w:val="004D3DEA"/>
    <w:rsid w:val="004D422A"/>
    <w:rsid w:val="004D4247"/>
    <w:rsid w:val="004D7237"/>
    <w:rsid w:val="004D794D"/>
    <w:rsid w:val="004D7FCB"/>
    <w:rsid w:val="004E0C05"/>
    <w:rsid w:val="004E0EFF"/>
    <w:rsid w:val="004E3473"/>
    <w:rsid w:val="004E5FCD"/>
    <w:rsid w:val="004F0052"/>
    <w:rsid w:val="004F1425"/>
    <w:rsid w:val="004F2BD3"/>
    <w:rsid w:val="004F3309"/>
    <w:rsid w:val="005034E3"/>
    <w:rsid w:val="00503D63"/>
    <w:rsid w:val="00506A2D"/>
    <w:rsid w:val="0050739A"/>
    <w:rsid w:val="005100DC"/>
    <w:rsid w:val="00511660"/>
    <w:rsid w:val="0051272A"/>
    <w:rsid w:val="00512A0D"/>
    <w:rsid w:val="00517CCE"/>
    <w:rsid w:val="005229A0"/>
    <w:rsid w:val="00522D50"/>
    <w:rsid w:val="00527D92"/>
    <w:rsid w:val="00531BAF"/>
    <w:rsid w:val="00533F95"/>
    <w:rsid w:val="00537781"/>
    <w:rsid w:val="005409DB"/>
    <w:rsid w:val="005410AB"/>
    <w:rsid w:val="00542C62"/>
    <w:rsid w:val="0054326D"/>
    <w:rsid w:val="00543F5F"/>
    <w:rsid w:val="00545698"/>
    <w:rsid w:val="00546149"/>
    <w:rsid w:val="005510C3"/>
    <w:rsid w:val="00553331"/>
    <w:rsid w:val="00555089"/>
    <w:rsid w:val="005565F1"/>
    <w:rsid w:val="00562259"/>
    <w:rsid w:val="005655BD"/>
    <w:rsid w:val="00566AB8"/>
    <w:rsid w:val="00572ADB"/>
    <w:rsid w:val="00573B46"/>
    <w:rsid w:val="00573C8F"/>
    <w:rsid w:val="00576C5E"/>
    <w:rsid w:val="00577C17"/>
    <w:rsid w:val="00580957"/>
    <w:rsid w:val="005810CA"/>
    <w:rsid w:val="005824FB"/>
    <w:rsid w:val="005827A7"/>
    <w:rsid w:val="00583DBF"/>
    <w:rsid w:val="00585B39"/>
    <w:rsid w:val="00586041"/>
    <w:rsid w:val="00586955"/>
    <w:rsid w:val="00587411"/>
    <w:rsid w:val="0059030C"/>
    <w:rsid w:val="00592372"/>
    <w:rsid w:val="00594EAE"/>
    <w:rsid w:val="005955BA"/>
    <w:rsid w:val="005A0B59"/>
    <w:rsid w:val="005A245A"/>
    <w:rsid w:val="005A2C7B"/>
    <w:rsid w:val="005A328C"/>
    <w:rsid w:val="005A4B80"/>
    <w:rsid w:val="005A5F20"/>
    <w:rsid w:val="005A697C"/>
    <w:rsid w:val="005B0F9A"/>
    <w:rsid w:val="005B1A42"/>
    <w:rsid w:val="005B46BD"/>
    <w:rsid w:val="005B4DB1"/>
    <w:rsid w:val="005B4E5B"/>
    <w:rsid w:val="005B6D33"/>
    <w:rsid w:val="005C162E"/>
    <w:rsid w:val="005C1B19"/>
    <w:rsid w:val="005C417A"/>
    <w:rsid w:val="005C7507"/>
    <w:rsid w:val="005D22FC"/>
    <w:rsid w:val="005D3D41"/>
    <w:rsid w:val="005D736F"/>
    <w:rsid w:val="005E4F70"/>
    <w:rsid w:val="005E7CE8"/>
    <w:rsid w:val="005F162E"/>
    <w:rsid w:val="005F16C3"/>
    <w:rsid w:val="005F328B"/>
    <w:rsid w:val="005F74F3"/>
    <w:rsid w:val="0060161F"/>
    <w:rsid w:val="006026CE"/>
    <w:rsid w:val="006038CA"/>
    <w:rsid w:val="00605A28"/>
    <w:rsid w:val="006126DA"/>
    <w:rsid w:val="00614E98"/>
    <w:rsid w:val="00615987"/>
    <w:rsid w:val="00615CC9"/>
    <w:rsid w:val="00621D6C"/>
    <w:rsid w:val="0062261D"/>
    <w:rsid w:val="0062295C"/>
    <w:rsid w:val="00623AD2"/>
    <w:rsid w:val="0062437A"/>
    <w:rsid w:val="006254F0"/>
    <w:rsid w:val="006319DE"/>
    <w:rsid w:val="00632467"/>
    <w:rsid w:val="00632B51"/>
    <w:rsid w:val="00633021"/>
    <w:rsid w:val="00636962"/>
    <w:rsid w:val="00636B86"/>
    <w:rsid w:val="00644C71"/>
    <w:rsid w:val="006462FA"/>
    <w:rsid w:val="00653BCA"/>
    <w:rsid w:val="0065601C"/>
    <w:rsid w:val="00660EBB"/>
    <w:rsid w:val="00663AB4"/>
    <w:rsid w:val="00663BF4"/>
    <w:rsid w:val="00663CC5"/>
    <w:rsid w:val="00666E8E"/>
    <w:rsid w:val="0067054F"/>
    <w:rsid w:val="00670660"/>
    <w:rsid w:val="00671F1A"/>
    <w:rsid w:val="0067588F"/>
    <w:rsid w:val="00680905"/>
    <w:rsid w:val="00680AC7"/>
    <w:rsid w:val="0068475E"/>
    <w:rsid w:val="00684D69"/>
    <w:rsid w:val="006867B4"/>
    <w:rsid w:val="00686AF3"/>
    <w:rsid w:val="006928F3"/>
    <w:rsid w:val="006952F5"/>
    <w:rsid w:val="00696FBE"/>
    <w:rsid w:val="006A03B5"/>
    <w:rsid w:val="006A1B2F"/>
    <w:rsid w:val="006A350C"/>
    <w:rsid w:val="006A5596"/>
    <w:rsid w:val="006A79FA"/>
    <w:rsid w:val="006A7D10"/>
    <w:rsid w:val="006B4620"/>
    <w:rsid w:val="006B6E3B"/>
    <w:rsid w:val="006C1B42"/>
    <w:rsid w:val="006C549C"/>
    <w:rsid w:val="006C56C9"/>
    <w:rsid w:val="006D144F"/>
    <w:rsid w:val="006D2431"/>
    <w:rsid w:val="006D567B"/>
    <w:rsid w:val="006D72C7"/>
    <w:rsid w:val="006D72CF"/>
    <w:rsid w:val="006D7C98"/>
    <w:rsid w:val="006E01B4"/>
    <w:rsid w:val="006E04C8"/>
    <w:rsid w:val="006E0B76"/>
    <w:rsid w:val="006E1CF0"/>
    <w:rsid w:val="006E2EB3"/>
    <w:rsid w:val="006E3EAB"/>
    <w:rsid w:val="006E521B"/>
    <w:rsid w:val="006E798E"/>
    <w:rsid w:val="006F30B4"/>
    <w:rsid w:val="006F3A43"/>
    <w:rsid w:val="006F3F8C"/>
    <w:rsid w:val="006F46C3"/>
    <w:rsid w:val="006F5383"/>
    <w:rsid w:val="006F6E12"/>
    <w:rsid w:val="006F713A"/>
    <w:rsid w:val="007009AA"/>
    <w:rsid w:val="00701A84"/>
    <w:rsid w:val="007026E3"/>
    <w:rsid w:val="007036C3"/>
    <w:rsid w:val="00705859"/>
    <w:rsid w:val="00705FBD"/>
    <w:rsid w:val="00706041"/>
    <w:rsid w:val="00710CAF"/>
    <w:rsid w:val="007123AF"/>
    <w:rsid w:val="00712A96"/>
    <w:rsid w:val="00713F61"/>
    <w:rsid w:val="007169EC"/>
    <w:rsid w:val="00721056"/>
    <w:rsid w:val="00722501"/>
    <w:rsid w:val="00725C94"/>
    <w:rsid w:val="00726A6C"/>
    <w:rsid w:val="00726B23"/>
    <w:rsid w:val="00726DB7"/>
    <w:rsid w:val="00727E29"/>
    <w:rsid w:val="00733083"/>
    <w:rsid w:val="00741FC2"/>
    <w:rsid w:val="00742B21"/>
    <w:rsid w:val="00744517"/>
    <w:rsid w:val="00747254"/>
    <w:rsid w:val="00750137"/>
    <w:rsid w:val="0075115C"/>
    <w:rsid w:val="007525B7"/>
    <w:rsid w:val="00752BB4"/>
    <w:rsid w:val="00753BB7"/>
    <w:rsid w:val="00755157"/>
    <w:rsid w:val="00756C67"/>
    <w:rsid w:val="00766147"/>
    <w:rsid w:val="00766DD4"/>
    <w:rsid w:val="00770518"/>
    <w:rsid w:val="007724D2"/>
    <w:rsid w:val="00772E30"/>
    <w:rsid w:val="007769FC"/>
    <w:rsid w:val="00780470"/>
    <w:rsid w:val="00782413"/>
    <w:rsid w:val="00787D38"/>
    <w:rsid w:val="00790A94"/>
    <w:rsid w:val="007911B2"/>
    <w:rsid w:val="00792DDB"/>
    <w:rsid w:val="00797ACE"/>
    <w:rsid w:val="007A08F7"/>
    <w:rsid w:val="007A1E5B"/>
    <w:rsid w:val="007A36C9"/>
    <w:rsid w:val="007A5188"/>
    <w:rsid w:val="007A6512"/>
    <w:rsid w:val="007A67FD"/>
    <w:rsid w:val="007B27B1"/>
    <w:rsid w:val="007B3D71"/>
    <w:rsid w:val="007B5213"/>
    <w:rsid w:val="007B5482"/>
    <w:rsid w:val="007B55D1"/>
    <w:rsid w:val="007B5AE0"/>
    <w:rsid w:val="007B7DDF"/>
    <w:rsid w:val="007C047C"/>
    <w:rsid w:val="007C292F"/>
    <w:rsid w:val="007C3698"/>
    <w:rsid w:val="007C4C24"/>
    <w:rsid w:val="007C642C"/>
    <w:rsid w:val="007C73A4"/>
    <w:rsid w:val="007C749A"/>
    <w:rsid w:val="007D07A2"/>
    <w:rsid w:val="007D16DC"/>
    <w:rsid w:val="007D4C26"/>
    <w:rsid w:val="007D5CBB"/>
    <w:rsid w:val="007D6572"/>
    <w:rsid w:val="007D7CE8"/>
    <w:rsid w:val="007E0563"/>
    <w:rsid w:val="007E6590"/>
    <w:rsid w:val="007E6DB4"/>
    <w:rsid w:val="007E78FD"/>
    <w:rsid w:val="007F33A5"/>
    <w:rsid w:val="007F43B1"/>
    <w:rsid w:val="007F4E04"/>
    <w:rsid w:val="007F4E75"/>
    <w:rsid w:val="007F5833"/>
    <w:rsid w:val="007F6A96"/>
    <w:rsid w:val="008016DA"/>
    <w:rsid w:val="00803D1B"/>
    <w:rsid w:val="00804854"/>
    <w:rsid w:val="00805D01"/>
    <w:rsid w:val="008119E7"/>
    <w:rsid w:val="0081489C"/>
    <w:rsid w:val="00814ACE"/>
    <w:rsid w:val="00817ED4"/>
    <w:rsid w:val="00822B05"/>
    <w:rsid w:val="00823971"/>
    <w:rsid w:val="008250EC"/>
    <w:rsid w:val="00826534"/>
    <w:rsid w:val="00826C28"/>
    <w:rsid w:val="008331F8"/>
    <w:rsid w:val="00833E5B"/>
    <w:rsid w:val="00841EEB"/>
    <w:rsid w:val="00842D0A"/>
    <w:rsid w:val="0084602F"/>
    <w:rsid w:val="00847755"/>
    <w:rsid w:val="00851FB3"/>
    <w:rsid w:val="0085267C"/>
    <w:rsid w:val="008567AE"/>
    <w:rsid w:val="008602E0"/>
    <w:rsid w:val="00860649"/>
    <w:rsid w:val="008625DD"/>
    <w:rsid w:val="008631FE"/>
    <w:rsid w:val="00865A18"/>
    <w:rsid w:val="00867646"/>
    <w:rsid w:val="00867C03"/>
    <w:rsid w:val="008702EF"/>
    <w:rsid w:val="008736FF"/>
    <w:rsid w:val="00874DAC"/>
    <w:rsid w:val="00876D34"/>
    <w:rsid w:val="00877B50"/>
    <w:rsid w:val="00880C4E"/>
    <w:rsid w:val="00881D81"/>
    <w:rsid w:val="008827C4"/>
    <w:rsid w:val="00884568"/>
    <w:rsid w:val="0088620C"/>
    <w:rsid w:val="00886D39"/>
    <w:rsid w:val="0089100D"/>
    <w:rsid w:val="008936E5"/>
    <w:rsid w:val="0089400B"/>
    <w:rsid w:val="008946EA"/>
    <w:rsid w:val="008A0C4A"/>
    <w:rsid w:val="008A3781"/>
    <w:rsid w:val="008A4337"/>
    <w:rsid w:val="008A4F8A"/>
    <w:rsid w:val="008A6265"/>
    <w:rsid w:val="008B13F4"/>
    <w:rsid w:val="008B382C"/>
    <w:rsid w:val="008B4958"/>
    <w:rsid w:val="008B51D6"/>
    <w:rsid w:val="008C3B4C"/>
    <w:rsid w:val="008C4D93"/>
    <w:rsid w:val="008D02D6"/>
    <w:rsid w:val="008D0EA5"/>
    <w:rsid w:val="008D1879"/>
    <w:rsid w:val="008D2B4F"/>
    <w:rsid w:val="008D3603"/>
    <w:rsid w:val="008D4E0B"/>
    <w:rsid w:val="008D7D07"/>
    <w:rsid w:val="008E0053"/>
    <w:rsid w:val="008E0C18"/>
    <w:rsid w:val="008E4CFA"/>
    <w:rsid w:val="008E773D"/>
    <w:rsid w:val="008F2DB6"/>
    <w:rsid w:val="008F6AF6"/>
    <w:rsid w:val="008F78BF"/>
    <w:rsid w:val="0090152F"/>
    <w:rsid w:val="00905AE6"/>
    <w:rsid w:val="009102B1"/>
    <w:rsid w:val="009117AF"/>
    <w:rsid w:val="00913DA9"/>
    <w:rsid w:val="00915BD0"/>
    <w:rsid w:val="009165B6"/>
    <w:rsid w:val="0091764F"/>
    <w:rsid w:val="00920216"/>
    <w:rsid w:val="00922D1D"/>
    <w:rsid w:val="009233CB"/>
    <w:rsid w:val="009252E9"/>
    <w:rsid w:val="0092577B"/>
    <w:rsid w:val="00926831"/>
    <w:rsid w:val="00926EEB"/>
    <w:rsid w:val="0093186F"/>
    <w:rsid w:val="00937163"/>
    <w:rsid w:val="00940EBA"/>
    <w:rsid w:val="00942FF5"/>
    <w:rsid w:val="00943B39"/>
    <w:rsid w:val="00943F58"/>
    <w:rsid w:val="0094443B"/>
    <w:rsid w:val="0094469F"/>
    <w:rsid w:val="0094784E"/>
    <w:rsid w:val="0094793B"/>
    <w:rsid w:val="00952E3F"/>
    <w:rsid w:val="00953D09"/>
    <w:rsid w:val="00956336"/>
    <w:rsid w:val="00956DB3"/>
    <w:rsid w:val="0096197F"/>
    <w:rsid w:val="00964882"/>
    <w:rsid w:val="009678EF"/>
    <w:rsid w:val="00972737"/>
    <w:rsid w:val="00972D10"/>
    <w:rsid w:val="00972F1D"/>
    <w:rsid w:val="00973F9A"/>
    <w:rsid w:val="00975DA5"/>
    <w:rsid w:val="00976838"/>
    <w:rsid w:val="00976894"/>
    <w:rsid w:val="0098095B"/>
    <w:rsid w:val="00981293"/>
    <w:rsid w:val="009816BB"/>
    <w:rsid w:val="00984168"/>
    <w:rsid w:val="0098447C"/>
    <w:rsid w:val="0098473F"/>
    <w:rsid w:val="0098548A"/>
    <w:rsid w:val="009857A5"/>
    <w:rsid w:val="00986B3E"/>
    <w:rsid w:val="00987946"/>
    <w:rsid w:val="009914DB"/>
    <w:rsid w:val="00993DD3"/>
    <w:rsid w:val="0099765D"/>
    <w:rsid w:val="009A0515"/>
    <w:rsid w:val="009A21F7"/>
    <w:rsid w:val="009A6828"/>
    <w:rsid w:val="009B115E"/>
    <w:rsid w:val="009B54E6"/>
    <w:rsid w:val="009B5735"/>
    <w:rsid w:val="009C1900"/>
    <w:rsid w:val="009C28A9"/>
    <w:rsid w:val="009C42F0"/>
    <w:rsid w:val="009C5BB4"/>
    <w:rsid w:val="009C5D2B"/>
    <w:rsid w:val="009D0A6C"/>
    <w:rsid w:val="009D2615"/>
    <w:rsid w:val="009D4779"/>
    <w:rsid w:val="009E280D"/>
    <w:rsid w:val="009E42EB"/>
    <w:rsid w:val="009E77CE"/>
    <w:rsid w:val="009F0176"/>
    <w:rsid w:val="009F1AC6"/>
    <w:rsid w:val="009F2027"/>
    <w:rsid w:val="009F3D52"/>
    <w:rsid w:val="009F46DE"/>
    <w:rsid w:val="009F54BB"/>
    <w:rsid w:val="009F7053"/>
    <w:rsid w:val="00A00218"/>
    <w:rsid w:val="00A01041"/>
    <w:rsid w:val="00A013E6"/>
    <w:rsid w:val="00A059CF"/>
    <w:rsid w:val="00A1079F"/>
    <w:rsid w:val="00A11B75"/>
    <w:rsid w:val="00A14161"/>
    <w:rsid w:val="00A1421E"/>
    <w:rsid w:val="00A161A9"/>
    <w:rsid w:val="00A20C87"/>
    <w:rsid w:val="00A214E6"/>
    <w:rsid w:val="00A21E6F"/>
    <w:rsid w:val="00A2348C"/>
    <w:rsid w:val="00A236AA"/>
    <w:rsid w:val="00A239C4"/>
    <w:rsid w:val="00A24A30"/>
    <w:rsid w:val="00A24AE5"/>
    <w:rsid w:val="00A27544"/>
    <w:rsid w:val="00A27AD2"/>
    <w:rsid w:val="00A30ACF"/>
    <w:rsid w:val="00A31684"/>
    <w:rsid w:val="00A31FBE"/>
    <w:rsid w:val="00A37C1C"/>
    <w:rsid w:val="00A40975"/>
    <w:rsid w:val="00A42546"/>
    <w:rsid w:val="00A443E0"/>
    <w:rsid w:val="00A51D94"/>
    <w:rsid w:val="00A54915"/>
    <w:rsid w:val="00A549E2"/>
    <w:rsid w:val="00A575A3"/>
    <w:rsid w:val="00A60D27"/>
    <w:rsid w:val="00A61259"/>
    <w:rsid w:val="00A63845"/>
    <w:rsid w:val="00A64CFB"/>
    <w:rsid w:val="00A660F9"/>
    <w:rsid w:val="00A661B6"/>
    <w:rsid w:val="00A7108D"/>
    <w:rsid w:val="00A71821"/>
    <w:rsid w:val="00A74B5E"/>
    <w:rsid w:val="00A75A0E"/>
    <w:rsid w:val="00A75AAB"/>
    <w:rsid w:val="00A77C2A"/>
    <w:rsid w:val="00A814E9"/>
    <w:rsid w:val="00A8150A"/>
    <w:rsid w:val="00A8366F"/>
    <w:rsid w:val="00A86BC1"/>
    <w:rsid w:val="00A909F4"/>
    <w:rsid w:val="00A90FFC"/>
    <w:rsid w:val="00A93CEE"/>
    <w:rsid w:val="00A94DA7"/>
    <w:rsid w:val="00A95DBF"/>
    <w:rsid w:val="00A97ECB"/>
    <w:rsid w:val="00AA44DC"/>
    <w:rsid w:val="00AA77E6"/>
    <w:rsid w:val="00AA78EE"/>
    <w:rsid w:val="00AB22FD"/>
    <w:rsid w:val="00AB249C"/>
    <w:rsid w:val="00AB3141"/>
    <w:rsid w:val="00AB5EF7"/>
    <w:rsid w:val="00AB609D"/>
    <w:rsid w:val="00AB66B8"/>
    <w:rsid w:val="00AB6EDE"/>
    <w:rsid w:val="00AC077B"/>
    <w:rsid w:val="00AC12CA"/>
    <w:rsid w:val="00AC2268"/>
    <w:rsid w:val="00AC6253"/>
    <w:rsid w:val="00AD0AA2"/>
    <w:rsid w:val="00AD44D7"/>
    <w:rsid w:val="00AD75D8"/>
    <w:rsid w:val="00AD7CAC"/>
    <w:rsid w:val="00AD7DE4"/>
    <w:rsid w:val="00AE3D01"/>
    <w:rsid w:val="00AE4A58"/>
    <w:rsid w:val="00AE4FC4"/>
    <w:rsid w:val="00AE5260"/>
    <w:rsid w:val="00AE5CF7"/>
    <w:rsid w:val="00AE67B6"/>
    <w:rsid w:val="00AF08A4"/>
    <w:rsid w:val="00AF0D29"/>
    <w:rsid w:val="00AF324E"/>
    <w:rsid w:val="00AF3442"/>
    <w:rsid w:val="00AF49A0"/>
    <w:rsid w:val="00AF5D13"/>
    <w:rsid w:val="00AF70D5"/>
    <w:rsid w:val="00AF7CFA"/>
    <w:rsid w:val="00B0423C"/>
    <w:rsid w:val="00B0526E"/>
    <w:rsid w:val="00B05EB7"/>
    <w:rsid w:val="00B0641E"/>
    <w:rsid w:val="00B07C93"/>
    <w:rsid w:val="00B11FE4"/>
    <w:rsid w:val="00B132F2"/>
    <w:rsid w:val="00B158CB"/>
    <w:rsid w:val="00B17226"/>
    <w:rsid w:val="00B1739F"/>
    <w:rsid w:val="00B20435"/>
    <w:rsid w:val="00B2193F"/>
    <w:rsid w:val="00B22D70"/>
    <w:rsid w:val="00B34169"/>
    <w:rsid w:val="00B40AC5"/>
    <w:rsid w:val="00B40DB4"/>
    <w:rsid w:val="00B43529"/>
    <w:rsid w:val="00B45828"/>
    <w:rsid w:val="00B470CF"/>
    <w:rsid w:val="00B51807"/>
    <w:rsid w:val="00B51D11"/>
    <w:rsid w:val="00B52304"/>
    <w:rsid w:val="00B556AB"/>
    <w:rsid w:val="00B568D1"/>
    <w:rsid w:val="00B56F9E"/>
    <w:rsid w:val="00B6040F"/>
    <w:rsid w:val="00B60576"/>
    <w:rsid w:val="00B60D18"/>
    <w:rsid w:val="00B70AB4"/>
    <w:rsid w:val="00B743C4"/>
    <w:rsid w:val="00B8102D"/>
    <w:rsid w:val="00B82CF7"/>
    <w:rsid w:val="00B82E6C"/>
    <w:rsid w:val="00B83E5B"/>
    <w:rsid w:val="00B840FF"/>
    <w:rsid w:val="00B84A8B"/>
    <w:rsid w:val="00B850F5"/>
    <w:rsid w:val="00B86412"/>
    <w:rsid w:val="00B8792A"/>
    <w:rsid w:val="00B87E1C"/>
    <w:rsid w:val="00B87E24"/>
    <w:rsid w:val="00B923D8"/>
    <w:rsid w:val="00B924CB"/>
    <w:rsid w:val="00B9299E"/>
    <w:rsid w:val="00B9460B"/>
    <w:rsid w:val="00B96FEB"/>
    <w:rsid w:val="00BA1742"/>
    <w:rsid w:val="00BA4A15"/>
    <w:rsid w:val="00BA6A1E"/>
    <w:rsid w:val="00BA779B"/>
    <w:rsid w:val="00BB14E3"/>
    <w:rsid w:val="00BB3C2E"/>
    <w:rsid w:val="00BB6955"/>
    <w:rsid w:val="00BC2D2B"/>
    <w:rsid w:val="00BC31D7"/>
    <w:rsid w:val="00BC69F6"/>
    <w:rsid w:val="00BC7BDB"/>
    <w:rsid w:val="00BD0888"/>
    <w:rsid w:val="00BD16CC"/>
    <w:rsid w:val="00BD2382"/>
    <w:rsid w:val="00BD38A7"/>
    <w:rsid w:val="00BD4CB1"/>
    <w:rsid w:val="00BD4F92"/>
    <w:rsid w:val="00BD5685"/>
    <w:rsid w:val="00BD58EC"/>
    <w:rsid w:val="00BD6AE4"/>
    <w:rsid w:val="00BD6C5E"/>
    <w:rsid w:val="00BD7122"/>
    <w:rsid w:val="00BE1F7A"/>
    <w:rsid w:val="00BE3696"/>
    <w:rsid w:val="00BE52C6"/>
    <w:rsid w:val="00BF10E3"/>
    <w:rsid w:val="00BF1EA6"/>
    <w:rsid w:val="00BF1F32"/>
    <w:rsid w:val="00BF2A1B"/>
    <w:rsid w:val="00BF4EBD"/>
    <w:rsid w:val="00BF5EC0"/>
    <w:rsid w:val="00BF7CA8"/>
    <w:rsid w:val="00C000E6"/>
    <w:rsid w:val="00C01E68"/>
    <w:rsid w:val="00C10A53"/>
    <w:rsid w:val="00C11B1A"/>
    <w:rsid w:val="00C136A3"/>
    <w:rsid w:val="00C13F58"/>
    <w:rsid w:val="00C1558A"/>
    <w:rsid w:val="00C16E65"/>
    <w:rsid w:val="00C2467E"/>
    <w:rsid w:val="00C33549"/>
    <w:rsid w:val="00C368F9"/>
    <w:rsid w:val="00C409F2"/>
    <w:rsid w:val="00C40EFF"/>
    <w:rsid w:val="00C41015"/>
    <w:rsid w:val="00C426BD"/>
    <w:rsid w:val="00C473A5"/>
    <w:rsid w:val="00C50F27"/>
    <w:rsid w:val="00C548F8"/>
    <w:rsid w:val="00C561A1"/>
    <w:rsid w:val="00C57185"/>
    <w:rsid w:val="00C60374"/>
    <w:rsid w:val="00C65F10"/>
    <w:rsid w:val="00C71195"/>
    <w:rsid w:val="00C737B4"/>
    <w:rsid w:val="00C74CE6"/>
    <w:rsid w:val="00C750F1"/>
    <w:rsid w:val="00C75D0D"/>
    <w:rsid w:val="00C77D07"/>
    <w:rsid w:val="00C8014F"/>
    <w:rsid w:val="00C81B27"/>
    <w:rsid w:val="00C8383B"/>
    <w:rsid w:val="00C8459E"/>
    <w:rsid w:val="00C857A7"/>
    <w:rsid w:val="00C9312C"/>
    <w:rsid w:val="00C97B27"/>
    <w:rsid w:val="00CA039A"/>
    <w:rsid w:val="00CA0BC9"/>
    <w:rsid w:val="00CA54D2"/>
    <w:rsid w:val="00CB2000"/>
    <w:rsid w:val="00CB2025"/>
    <w:rsid w:val="00CB48A6"/>
    <w:rsid w:val="00CB5687"/>
    <w:rsid w:val="00CB621C"/>
    <w:rsid w:val="00CB6493"/>
    <w:rsid w:val="00CB684E"/>
    <w:rsid w:val="00CB7E0D"/>
    <w:rsid w:val="00CC02F2"/>
    <w:rsid w:val="00CC167A"/>
    <w:rsid w:val="00CC69FA"/>
    <w:rsid w:val="00CC6B34"/>
    <w:rsid w:val="00CD09B4"/>
    <w:rsid w:val="00CD54AC"/>
    <w:rsid w:val="00CD6EE8"/>
    <w:rsid w:val="00CD737F"/>
    <w:rsid w:val="00CD7773"/>
    <w:rsid w:val="00CE691B"/>
    <w:rsid w:val="00CE78B9"/>
    <w:rsid w:val="00CF1B82"/>
    <w:rsid w:val="00CF2DD6"/>
    <w:rsid w:val="00CF48A1"/>
    <w:rsid w:val="00CF540C"/>
    <w:rsid w:val="00CF5CD9"/>
    <w:rsid w:val="00CF67F1"/>
    <w:rsid w:val="00CF7789"/>
    <w:rsid w:val="00D01E73"/>
    <w:rsid w:val="00D02F71"/>
    <w:rsid w:val="00D0314D"/>
    <w:rsid w:val="00D0437A"/>
    <w:rsid w:val="00D05F0E"/>
    <w:rsid w:val="00D132EA"/>
    <w:rsid w:val="00D13DA8"/>
    <w:rsid w:val="00D17D84"/>
    <w:rsid w:val="00D20184"/>
    <w:rsid w:val="00D2193C"/>
    <w:rsid w:val="00D2665C"/>
    <w:rsid w:val="00D302FA"/>
    <w:rsid w:val="00D31229"/>
    <w:rsid w:val="00D31A22"/>
    <w:rsid w:val="00D32CD6"/>
    <w:rsid w:val="00D3347A"/>
    <w:rsid w:val="00D34EDB"/>
    <w:rsid w:val="00D355AF"/>
    <w:rsid w:val="00D362C9"/>
    <w:rsid w:val="00D4185E"/>
    <w:rsid w:val="00D424F4"/>
    <w:rsid w:val="00D5039B"/>
    <w:rsid w:val="00D57F85"/>
    <w:rsid w:val="00D61E00"/>
    <w:rsid w:val="00D63B31"/>
    <w:rsid w:val="00D64F39"/>
    <w:rsid w:val="00D70B9C"/>
    <w:rsid w:val="00D71AF2"/>
    <w:rsid w:val="00D73671"/>
    <w:rsid w:val="00D74914"/>
    <w:rsid w:val="00D7651E"/>
    <w:rsid w:val="00D765FC"/>
    <w:rsid w:val="00D769EB"/>
    <w:rsid w:val="00D774EA"/>
    <w:rsid w:val="00D80CDC"/>
    <w:rsid w:val="00D8264B"/>
    <w:rsid w:val="00D8422D"/>
    <w:rsid w:val="00D879E6"/>
    <w:rsid w:val="00D9028D"/>
    <w:rsid w:val="00D90E2B"/>
    <w:rsid w:val="00D91F21"/>
    <w:rsid w:val="00D930A2"/>
    <w:rsid w:val="00D935CD"/>
    <w:rsid w:val="00D94273"/>
    <w:rsid w:val="00D944A0"/>
    <w:rsid w:val="00D946E9"/>
    <w:rsid w:val="00DA3EE7"/>
    <w:rsid w:val="00DA47F3"/>
    <w:rsid w:val="00DA7EB6"/>
    <w:rsid w:val="00DB2502"/>
    <w:rsid w:val="00DB45CC"/>
    <w:rsid w:val="00DB7E41"/>
    <w:rsid w:val="00DC1BF6"/>
    <w:rsid w:val="00DC3A4D"/>
    <w:rsid w:val="00DC4022"/>
    <w:rsid w:val="00DC4FA6"/>
    <w:rsid w:val="00DC500F"/>
    <w:rsid w:val="00DC76AE"/>
    <w:rsid w:val="00DD0476"/>
    <w:rsid w:val="00DD18DE"/>
    <w:rsid w:val="00DD230C"/>
    <w:rsid w:val="00DD2358"/>
    <w:rsid w:val="00DD4D0C"/>
    <w:rsid w:val="00DE0C34"/>
    <w:rsid w:val="00DE2DF3"/>
    <w:rsid w:val="00DE3B31"/>
    <w:rsid w:val="00DE7014"/>
    <w:rsid w:val="00DF1FFA"/>
    <w:rsid w:val="00DF677B"/>
    <w:rsid w:val="00E00B48"/>
    <w:rsid w:val="00E01702"/>
    <w:rsid w:val="00E027C9"/>
    <w:rsid w:val="00E02F47"/>
    <w:rsid w:val="00E030EE"/>
    <w:rsid w:val="00E05423"/>
    <w:rsid w:val="00E0646B"/>
    <w:rsid w:val="00E0723B"/>
    <w:rsid w:val="00E108C3"/>
    <w:rsid w:val="00E11F03"/>
    <w:rsid w:val="00E120B9"/>
    <w:rsid w:val="00E13758"/>
    <w:rsid w:val="00E148F3"/>
    <w:rsid w:val="00E151DA"/>
    <w:rsid w:val="00E15382"/>
    <w:rsid w:val="00E20944"/>
    <w:rsid w:val="00E22006"/>
    <w:rsid w:val="00E238A2"/>
    <w:rsid w:val="00E23DCD"/>
    <w:rsid w:val="00E241E7"/>
    <w:rsid w:val="00E2758F"/>
    <w:rsid w:val="00E3243B"/>
    <w:rsid w:val="00E335D8"/>
    <w:rsid w:val="00E33707"/>
    <w:rsid w:val="00E33A55"/>
    <w:rsid w:val="00E34005"/>
    <w:rsid w:val="00E34DA9"/>
    <w:rsid w:val="00E35FAE"/>
    <w:rsid w:val="00E413AB"/>
    <w:rsid w:val="00E43274"/>
    <w:rsid w:val="00E453B5"/>
    <w:rsid w:val="00E459CF"/>
    <w:rsid w:val="00E4665E"/>
    <w:rsid w:val="00E5076B"/>
    <w:rsid w:val="00E53F38"/>
    <w:rsid w:val="00E57045"/>
    <w:rsid w:val="00E60CDF"/>
    <w:rsid w:val="00E64E71"/>
    <w:rsid w:val="00E70312"/>
    <w:rsid w:val="00E73E35"/>
    <w:rsid w:val="00E740D3"/>
    <w:rsid w:val="00E807BA"/>
    <w:rsid w:val="00E80F7E"/>
    <w:rsid w:val="00E8164C"/>
    <w:rsid w:val="00E82B5F"/>
    <w:rsid w:val="00E85FFA"/>
    <w:rsid w:val="00E879C9"/>
    <w:rsid w:val="00E9070C"/>
    <w:rsid w:val="00E90D94"/>
    <w:rsid w:val="00E95194"/>
    <w:rsid w:val="00E96F65"/>
    <w:rsid w:val="00EA019B"/>
    <w:rsid w:val="00EA26FB"/>
    <w:rsid w:val="00EA5BBB"/>
    <w:rsid w:val="00EA7212"/>
    <w:rsid w:val="00EB10A7"/>
    <w:rsid w:val="00EB2328"/>
    <w:rsid w:val="00EB48A2"/>
    <w:rsid w:val="00EB494C"/>
    <w:rsid w:val="00EB6DE7"/>
    <w:rsid w:val="00EB71F5"/>
    <w:rsid w:val="00EC3656"/>
    <w:rsid w:val="00EC6890"/>
    <w:rsid w:val="00EC72A4"/>
    <w:rsid w:val="00ED2CF2"/>
    <w:rsid w:val="00ED694A"/>
    <w:rsid w:val="00ED76D9"/>
    <w:rsid w:val="00EE0169"/>
    <w:rsid w:val="00EE1FD3"/>
    <w:rsid w:val="00EE4722"/>
    <w:rsid w:val="00F0019C"/>
    <w:rsid w:val="00F006BB"/>
    <w:rsid w:val="00F060A4"/>
    <w:rsid w:val="00F06124"/>
    <w:rsid w:val="00F06F4B"/>
    <w:rsid w:val="00F07523"/>
    <w:rsid w:val="00F10055"/>
    <w:rsid w:val="00F10837"/>
    <w:rsid w:val="00F1326E"/>
    <w:rsid w:val="00F155B4"/>
    <w:rsid w:val="00F15D39"/>
    <w:rsid w:val="00F16B10"/>
    <w:rsid w:val="00F16E76"/>
    <w:rsid w:val="00F205D9"/>
    <w:rsid w:val="00F22898"/>
    <w:rsid w:val="00F231AB"/>
    <w:rsid w:val="00F24BB1"/>
    <w:rsid w:val="00F26054"/>
    <w:rsid w:val="00F27C44"/>
    <w:rsid w:val="00F304EE"/>
    <w:rsid w:val="00F31887"/>
    <w:rsid w:val="00F35671"/>
    <w:rsid w:val="00F400C4"/>
    <w:rsid w:val="00F41E90"/>
    <w:rsid w:val="00F4710F"/>
    <w:rsid w:val="00F507C9"/>
    <w:rsid w:val="00F53A81"/>
    <w:rsid w:val="00F53FAE"/>
    <w:rsid w:val="00F57D8D"/>
    <w:rsid w:val="00F60AAC"/>
    <w:rsid w:val="00F60E88"/>
    <w:rsid w:val="00F6324E"/>
    <w:rsid w:val="00F667DA"/>
    <w:rsid w:val="00F67288"/>
    <w:rsid w:val="00F7182B"/>
    <w:rsid w:val="00F73B29"/>
    <w:rsid w:val="00F757F6"/>
    <w:rsid w:val="00F7632F"/>
    <w:rsid w:val="00F8168D"/>
    <w:rsid w:val="00F823B7"/>
    <w:rsid w:val="00F82B69"/>
    <w:rsid w:val="00F86321"/>
    <w:rsid w:val="00F90B43"/>
    <w:rsid w:val="00F91143"/>
    <w:rsid w:val="00F91188"/>
    <w:rsid w:val="00F9546C"/>
    <w:rsid w:val="00F95A5F"/>
    <w:rsid w:val="00F96CF9"/>
    <w:rsid w:val="00F974A1"/>
    <w:rsid w:val="00F97B72"/>
    <w:rsid w:val="00FA10A8"/>
    <w:rsid w:val="00FA1427"/>
    <w:rsid w:val="00FA1505"/>
    <w:rsid w:val="00FA3291"/>
    <w:rsid w:val="00FA45BA"/>
    <w:rsid w:val="00FA5296"/>
    <w:rsid w:val="00FB1F93"/>
    <w:rsid w:val="00FB455F"/>
    <w:rsid w:val="00FB48DF"/>
    <w:rsid w:val="00FB5972"/>
    <w:rsid w:val="00FB632F"/>
    <w:rsid w:val="00FB6D5B"/>
    <w:rsid w:val="00FC3B49"/>
    <w:rsid w:val="00FC3BAF"/>
    <w:rsid w:val="00FC5824"/>
    <w:rsid w:val="00FC5AFE"/>
    <w:rsid w:val="00FC5D22"/>
    <w:rsid w:val="00FD01BA"/>
    <w:rsid w:val="00FD0CA5"/>
    <w:rsid w:val="00FD1E2E"/>
    <w:rsid w:val="00FD4012"/>
    <w:rsid w:val="00FD5D5C"/>
    <w:rsid w:val="00FE20F3"/>
    <w:rsid w:val="00FE278C"/>
    <w:rsid w:val="00FE2C04"/>
    <w:rsid w:val="00FE4D45"/>
    <w:rsid w:val="00FE5412"/>
    <w:rsid w:val="00FE6874"/>
    <w:rsid w:val="00FF0084"/>
    <w:rsid w:val="00FF0E8C"/>
    <w:rsid w:val="00FF4F25"/>
    <w:rsid w:val="00FF5A7C"/>
    <w:rsid w:val="00FF6B57"/>
    <w:rsid w:val="00FF6CF9"/>
    <w:rsid w:val="0174543F"/>
    <w:rsid w:val="02C5535F"/>
    <w:rsid w:val="02E3287F"/>
    <w:rsid w:val="036258BF"/>
    <w:rsid w:val="036B6F61"/>
    <w:rsid w:val="039B1FC9"/>
    <w:rsid w:val="055D7D8C"/>
    <w:rsid w:val="06C77060"/>
    <w:rsid w:val="080A2EFA"/>
    <w:rsid w:val="08396288"/>
    <w:rsid w:val="08E904B7"/>
    <w:rsid w:val="08FC31D5"/>
    <w:rsid w:val="09A51405"/>
    <w:rsid w:val="09D80667"/>
    <w:rsid w:val="0A126120"/>
    <w:rsid w:val="0A173E2D"/>
    <w:rsid w:val="0AA90595"/>
    <w:rsid w:val="0B350C8E"/>
    <w:rsid w:val="0BA734EE"/>
    <w:rsid w:val="0C6860DE"/>
    <w:rsid w:val="0CAE795F"/>
    <w:rsid w:val="0CD13542"/>
    <w:rsid w:val="0D0468F2"/>
    <w:rsid w:val="0D3445F4"/>
    <w:rsid w:val="0D437195"/>
    <w:rsid w:val="0E8C7DF3"/>
    <w:rsid w:val="0E952089"/>
    <w:rsid w:val="0F100CD5"/>
    <w:rsid w:val="0F5F7398"/>
    <w:rsid w:val="0F883694"/>
    <w:rsid w:val="0F8B24F4"/>
    <w:rsid w:val="111B7123"/>
    <w:rsid w:val="12300AD5"/>
    <w:rsid w:val="13600450"/>
    <w:rsid w:val="13D67934"/>
    <w:rsid w:val="16024C41"/>
    <w:rsid w:val="1790277A"/>
    <w:rsid w:val="1875028E"/>
    <w:rsid w:val="19B71C40"/>
    <w:rsid w:val="1A5079C2"/>
    <w:rsid w:val="1A776975"/>
    <w:rsid w:val="1C8B55A1"/>
    <w:rsid w:val="1C963123"/>
    <w:rsid w:val="1C9667E2"/>
    <w:rsid w:val="1CE02E11"/>
    <w:rsid w:val="1D115776"/>
    <w:rsid w:val="1D2E7CDB"/>
    <w:rsid w:val="1D2F3428"/>
    <w:rsid w:val="1D455D95"/>
    <w:rsid w:val="1D6A47C3"/>
    <w:rsid w:val="1D9A1D82"/>
    <w:rsid w:val="1DAC3B44"/>
    <w:rsid w:val="1DCC37B7"/>
    <w:rsid w:val="1FA71E85"/>
    <w:rsid w:val="202829D7"/>
    <w:rsid w:val="217055DB"/>
    <w:rsid w:val="219B2C92"/>
    <w:rsid w:val="21A439FA"/>
    <w:rsid w:val="23487781"/>
    <w:rsid w:val="23540AAF"/>
    <w:rsid w:val="23625B52"/>
    <w:rsid w:val="237F34A2"/>
    <w:rsid w:val="2398260B"/>
    <w:rsid w:val="239874E4"/>
    <w:rsid w:val="23D93BE6"/>
    <w:rsid w:val="247030C4"/>
    <w:rsid w:val="25E87192"/>
    <w:rsid w:val="262A444A"/>
    <w:rsid w:val="26D4736D"/>
    <w:rsid w:val="271B2E86"/>
    <w:rsid w:val="27294499"/>
    <w:rsid w:val="274A184C"/>
    <w:rsid w:val="275C51BF"/>
    <w:rsid w:val="27860CAC"/>
    <w:rsid w:val="27C015F7"/>
    <w:rsid w:val="27FC0785"/>
    <w:rsid w:val="28166E74"/>
    <w:rsid w:val="290A79BA"/>
    <w:rsid w:val="29B13EE3"/>
    <w:rsid w:val="2A644B6A"/>
    <w:rsid w:val="2B631343"/>
    <w:rsid w:val="2E801556"/>
    <w:rsid w:val="2EEF49F4"/>
    <w:rsid w:val="2EF875C3"/>
    <w:rsid w:val="2F3A7103"/>
    <w:rsid w:val="303470F2"/>
    <w:rsid w:val="31472444"/>
    <w:rsid w:val="331262BF"/>
    <w:rsid w:val="339D7E68"/>
    <w:rsid w:val="33B52568"/>
    <w:rsid w:val="34683E9D"/>
    <w:rsid w:val="34E27FAC"/>
    <w:rsid w:val="35885819"/>
    <w:rsid w:val="35CE51D8"/>
    <w:rsid w:val="36F6558D"/>
    <w:rsid w:val="37CE55E2"/>
    <w:rsid w:val="37E5419A"/>
    <w:rsid w:val="39726521"/>
    <w:rsid w:val="399169CD"/>
    <w:rsid w:val="3A073317"/>
    <w:rsid w:val="3A0820BE"/>
    <w:rsid w:val="3A3E5001"/>
    <w:rsid w:val="3AFA42CB"/>
    <w:rsid w:val="3B4A2C88"/>
    <w:rsid w:val="3BCC3603"/>
    <w:rsid w:val="3C35733C"/>
    <w:rsid w:val="3C514D1C"/>
    <w:rsid w:val="3E510E77"/>
    <w:rsid w:val="3E7A55EA"/>
    <w:rsid w:val="3EA045A2"/>
    <w:rsid w:val="3ED623F9"/>
    <w:rsid w:val="40325F09"/>
    <w:rsid w:val="40522484"/>
    <w:rsid w:val="41000B57"/>
    <w:rsid w:val="415D6735"/>
    <w:rsid w:val="4188510C"/>
    <w:rsid w:val="41B21987"/>
    <w:rsid w:val="42C85807"/>
    <w:rsid w:val="43082CE4"/>
    <w:rsid w:val="43474629"/>
    <w:rsid w:val="440250EA"/>
    <w:rsid w:val="45001BC2"/>
    <w:rsid w:val="45100EDD"/>
    <w:rsid w:val="46EF41E6"/>
    <w:rsid w:val="48726971"/>
    <w:rsid w:val="48A116DC"/>
    <w:rsid w:val="48A57D63"/>
    <w:rsid w:val="48B12B78"/>
    <w:rsid w:val="48BA53BF"/>
    <w:rsid w:val="49277A61"/>
    <w:rsid w:val="493A229E"/>
    <w:rsid w:val="4A3D3638"/>
    <w:rsid w:val="4AD75A94"/>
    <w:rsid w:val="4AEE5163"/>
    <w:rsid w:val="4AFB6A88"/>
    <w:rsid w:val="4B7C17A5"/>
    <w:rsid w:val="4BA25946"/>
    <w:rsid w:val="4DBB6697"/>
    <w:rsid w:val="4E2E3CA2"/>
    <w:rsid w:val="4E4169F5"/>
    <w:rsid w:val="4E560729"/>
    <w:rsid w:val="4E9B77DA"/>
    <w:rsid w:val="4EB107DA"/>
    <w:rsid w:val="4EC06EFE"/>
    <w:rsid w:val="4F06369A"/>
    <w:rsid w:val="4FCE4CC6"/>
    <w:rsid w:val="50BE1297"/>
    <w:rsid w:val="512E21B1"/>
    <w:rsid w:val="518E1002"/>
    <w:rsid w:val="52406F3D"/>
    <w:rsid w:val="53BB5C33"/>
    <w:rsid w:val="5463469A"/>
    <w:rsid w:val="554E182D"/>
    <w:rsid w:val="55F62B02"/>
    <w:rsid w:val="566B71A6"/>
    <w:rsid w:val="566D0CD8"/>
    <w:rsid w:val="56AE3769"/>
    <w:rsid w:val="573E2099"/>
    <w:rsid w:val="573F0A13"/>
    <w:rsid w:val="5843132A"/>
    <w:rsid w:val="58AA52FF"/>
    <w:rsid w:val="58FD05C7"/>
    <w:rsid w:val="5AAA3787"/>
    <w:rsid w:val="5B810615"/>
    <w:rsid w:val="5C5838A5"/>
    <w:rsid w:val="5CF03767"/>
    <w:rsid w:val="5D4F3B47"/>
    <w:rsid w:val="5D5359C5"/>
    <w:rsid w:val="5E8E605A"/>
    <w:rsid w:val="5EEA13F0"/>
    <w:rsid w:val="5F404306"/>
    <w:rsid w:val="600F5AF3"/>
    <w:rsid w:val="621C6681"/>
    <w:rsid w:val="62373C7A"/>
    <w:rsid w:val="64964083"/>
    <w:rsid w:val="66307473"/>
    <w:rsid w:val="66593D16"/>
    <w:rsid w:val="66C250DC"/>
    <w:rsid w:val="66EF01AA"/>
    <w:rsid w:val="6754263E"/>
    <w:rsid w:val="685352FD"/>
    <w:rsid w:val="687D0CF4"/>
    <w:rsid w:val="689B104D"/>
    <w:rsid w:val="68B268D4"/>
    <w:rsid w:val="68D55BBD"/>
    <w:rsid w:val="695818F0"/>
    <w:rsid w:val="69AD5B57"/>
    <w:rsid w:val="69F65E2E"/>
    <w:rsid w:val="6A346600"/>
    <w:rsid w:val="6AFF57CC"/>
    <w:rsid w:val="6C120F81"/>
    <w:rsid w:val="6C39363B"/>
    <w:rsid w:val="6E1E1440"/>
    <w:rsid w:val="6EC505D9"/>
    <w:rsid w:val="6F5C5C94"/>
    <w:rsid w:val="6F8E4A46"/>
    <w:rsid w:val="6F905125"/>
    <w:rsid w:val="6FBF12A1"/>
    <w:rsid w:val="6FEF5F7E"/>
    <w:rsid w:val="71293AC5"/>
    <w:rsid w:val="7161486E"/>
    <w:rsid w:val="71616833"/>
    <w:rsid w:val="71FB5323"/>
    <w:rsid w:val="72921804"/>
    <w:rsid w:val="73596AC1"/>
    <w:rsid w:val="73E34F62"/>
    <w:rsid w:val="740E530B"/>
    <w:rsid w:val="75163699"/>
    <w:rsid w:val="751C37C1"/>
    <w:rsid w:val="767F49E6"/>
    <w:rsid w:val="77D52E42"/>
    <w:rsid w:val="79267D69"/>
    <w:rsid w:val="79452ADE"/>
    <w:rsid w:val="79F22898"/>
    <w:rsid w:val="7C3DA9D1"/>
    <w:rsid w:val="7C7B08DB"/>
    <w:rsid w:val="7CCB2FF0"/>
    <w:rsid w:val="7D861156"/>
    <w:rsid w:val="7E2E07E3"/>
    <w:rsid w:val="7EC04BD4"/>
    <w:rsid w:val="7ECF9151"/>
    <w:rsid w:val="7EF6249D"/>
    <w:rsid w:val="7F961594"/>
    <w:rsid w:val="7FDDB561"/>
    <w:rsid w:val="8EFF835A"/>
    <w:rsid w:val="9F8DC508"/>
    <w:rsid w:val="EBDD25D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nhideWhenUsed="0"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iPriority="0" w:semiHidden="0" w:name="HTML Preformatted"/>
    <w:lsdException w:uiPriority="0" w:name="HTML Sample"/>
    <w:lsdException w:uiPriority="0" w:name="HTML Typewriter"/>
    <w:lsdException w:qFormat="1" w:uiPriority="0" w:semiHidden="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178"/>
    <w:qFormat/>
    <w:uiPriority w:val="0"/>
    <w:pPr>
      <w:keepNext/>
      <w:keepLines/>
      <w:spacing w:before="340" w:after="330" w:line="576" w:lineRule="auto"/>
      <w:outlineLvl w:val="0"/>
    </w:pPr>
    <w:rPr>
      <w:b/>
      <w:kern w:val="44"/>
      <w:sz w:val="44"/>
      <w:szCs w:val="20"/>
    </w:rPr>
  </w:style>
  <w:style w:type="paragraph" w:styleId="5">
    <w:name w:val="heading 2"/>
    <w:basedOn w:val="1"/>
    <w:next w:val="1"/>
    <w:link w:val="304"/>
    <w:qFormat/>
    <w:uiPriority w:val="0"/>
    <w:pPr>
      <w:keepNext/>
      <w:keepLines/>
      <w:spacing w:before="260" w:after="260" w:line="412" w:lineRule="auto"/>
      <w:outlineLvl w:val="1"/>
    </w:pPr>
    <w:rPr>
      <w:rFonts w:ascii="Arial" w:hAnsi="Arial" w:eastAsia="黑体"/>
      <w:b/>
      <w:sz w:val="32"/>
      <w:szCs w:val="20"/>
    </w:rPr>
  </w:style>
  <w:style w:type="paragraph" w:styleId="6">
    <w:name w:val="heading 3"/>
    <w:basedOn w:val="1"/>
    <w:next w:val="1"/>
    <w:link w:val="220"/>
    <w:qFormat/>
    <w:uiPriority w:val="0"/>
    <w:pPr>
      <w:keepNext/>
      <w:keepLines/>
      <w:spacing w:before="260" w:after="260" w:line="412" w:lineRule="auto"/>
      <w:ind w:firstLine="49" w:firstLineChars="49"/>
      <w:outlineLvl w:val="2"/>
    </w:pPr>
    <w:rPr>
      <w:rFonts w:ascii="黑体" w:hAnsi="Calibri" w:eastAsia="黑体"/>
      <w:sz w:val="28"/>
      <w:szCs w:val="20"/>
    </w:rPr>
  </w:style>
  <w:style w:type="paragraph" w:styleId="7">
    <w:name w:val="heading 4"/>
    <w:basedOn w:val="1"/>
    <w:next w:val="1"/>
    <w:link w:val="242"/>
    <w:qFormat/>
    <w:uiPriority w:val="0"/>
    <w:pPr>
      <w:keepNext/>
      <w:keepLines/>
      <w:spacing w:before="280" w:after="290" w:line="374" w:lineRule="auto"/>
      <w:outlineLvl w:val="3"/>
    </w:pPr>
    <w:rPr>
      <w:rFonts w:ascii="Arial" w:hAnsi="Arial" w:eastAsia="黑体"/>
      <w:b/>
      <w:bCs/>
      <w:sz w:val="28"/>
      <w:szCs w:val="28"/>
    </w:rPr>
  </w:style>
  <w:style w:type="paragraph" w:styleId="8">
    <w:name w:val="heading 5"/>
    <w:basedOn w:val="1"/>
    <w:next w:val="1"/>
    <w:link w:val="278"/>
    <w:qFormat/>
    <w:uiPriority w:val="0"/>
    <w:pPr>
      <w:keepNext/>
      <w:keepLines/>
      <w:spacing w:before="280" w:after="290" w:line="376" w:lineRule="auto"/>
      <w:outlineLvl w:val="4"/>
    </w:pPr>
    <w:rPr>
      <w:b/>
      <w:bCs/>
      <w:sz w:val="28"/>
      <w:szCs w:val="28"/>
    </w:rPr>
  </w:style>
  <w:style w:type="paragraph" w:styleId="9">
    <w:name w:val="heading 6"/>
    <w:basedOn w:val="1"/>
    <w:next w:val="1"/>
    <w:link w:val="193"/>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szCs w:val="20"/>
    </w:rPr>
  </w:style>
  <w:style w:type="paragraph" w:styleId="10">
    <w:name w:val="heading 7"/>
    <w:basedOn w:val="1"/>
    <w:next w:val="1"/>
    <w:link w:val="167"/>
    <w:qFormat/>
    <w:uiPriority w:val="0"/>
    <w:pPr>
      <w:keepNext/>
      <w:keepLines/>
      <w:widowControl/>
      <w:tabs>
        <w:tab w:val="left" w:pos="2520"/>
      </w:tabs>
      <w:spacing w:before="240" w:after="64" w:line="319" w:lineRule="auto"/>
      <w:ind w:left="1296" w:hanging="1296"/>
      <w:jc w:val="left"/>
      <w:outlineLvl w:val="6"/>
    </w:pPr>
    <w:rPr>
      <w:b/>
      <w:bCs/>
      <w:kern w:val="0"/>
      <w:sz w:val="24"/>
      <w:szCs w:val="20"/>
    </w:rPr>
  </w:style>
  <w:style w:type="paragraph" w:styleId="11">
    <w:name w:val="heading 8"/>
    <w:basedOn w:val="1"/>
    <w:next w:val="1"/>
    <w:link w:val="258"/>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szCs w:val="20"/>
    </w:rPr>
  </w:style>
  <w:style w:type="paragraph" w:styleId="12">
    <w:name w:val="heading 9"/>
    <w:basedOn w:val="1"/>
    <w:next w:val="1"/>
    <w:link w:val="171"/>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44">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229"/>
    <w:unhideWhenUsed/>
    <w:qFormat/>
    <w:uiPriority w:val="99"/>
    <w:pPr>
      <w:spacing w:after="120"/>
    </w:pPr>
    <w:rPr>
      <w:szCs w:val="20"/>
    </w:rPr>
  </w:style>
  <w:style w:type="paragraph" w:styleId="3">
    <w:name w:val="Title"/>
    <w:basedOn w:val="1"/>
    <w:next w:val="1"/>
    <w:link w:val="253"/>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13">
    <w:name w:val="toc 7"/>
    <w:basedOn w:val="1"/>
    <w:next w:val="1"/>
    <w:qFormat/>
    <w:uiPriority w:val="0"/>
    <w:pPr>
      <w:ind w:left="1200" w:leftChars="1200"/>
    </w:pPr>
  </w:style>
  <w:style w:type="paragraph" w:styleId="14">
    <w:name w:val="Normal Indent"/>
    <w:basedOn w:val="1"/>
    <w:qFormat/>
    <w:uiPriority w:val="0"/>
    <w:pPr>
      <w:ind w:firstLine="420"/>
    </w:pPr>
  </w:style>
  <w:style w:type="paragraph" w:styleId="15">
    <w:name w:val="Document Map"/>
    <w:basedOn w:val="1"/>
    <w:link w:val="202"/>
    <w:qFormat/>
    <w:uiPriority w:val="0"/>
    <w:rPr>
      <w:rFonts w:ascii="宋体" w:hAnsi="Calibri"/>
      <w:sz w:val="18"/>
      <w:szCs w:val="18"/>
    </w:rPr>
  </w:style>
  <w:style w:type="paragraph" w:styleId="16">
    <w:name w:val="annotation text"/>
    <w:basedOn w:val="1"/>
    <w:link w:val="213"/>
    <w:qFormat/>
    <w:uiPriority w:val="0"/>
    <w:pPr>
      <w:jc w:val="left"/>
    </w:pPr>
    <w:rPr>
      <w:szCs w:val="20"/>
    </w:rPr>
  </w:style>
  <w:style w:type="paragraph" w:styleId="17">
    <w:name w:val="Body Text 3"/>
    <w:basedOn w:val="1"/>
    <w:link w:val="235"/>
    <w:qFormat/>
    <w:uiPriority w:val="0"/>
    <w:rPr>
      <w:rFonts w:ascii="宋体" w:hAnsi="Calibri"/>
      <w:sz w:val="24"/>
      <w:szCs w:val="20"/>
    </w:rPr>
  </w:style>
  <w:style w:type="paragraph" w:styleId="18">
    <w:name w:val="Body Text Indent"/>
    <w:basedOn w:val="1"/>
    <w:link w:val="293"/>
    <w:qFormat/>
    <w:uiPriority w:val="0"/>
    <w:pPr>
      <w:spacing w:after="120"/>
      <w:ind w:left="420" w:leftChars="200"/>
    </w:pPr>
    <w:rPr>
      <w:szCs w:val="20"/>
    </w:rPr>
  </w:style>
  <w:style w:type="paragraph" w:styleId="19">
    <w:name w:val="Block Text"/>
    <w:basedOn w:val="1"/>
    <w:unhideWhenUsed/>
    <w:qFormat/>
    <w:uiPriority w:val="0"/>
    <w:pPr>
      <w:tabs>
        <w:tab w:val="left" w:pos="900"/>
      </w:tabs>
      <w:snapToGrid w:val="0"/>
      <w:spacing w:line="360" w:lineRule="auto"/>
      <w:ind w:left="-180" w:right="-334" w:firstLine="482"/>
    </w:pPr>
    <w:rPr>
      <w:rFonts w:ascii="仿宋_GB2312" w:eastAsia="仿宋_GB2312"/>
      <w:sz w:val="24"/>
    </w:rPr>
  </w:style>
  <w:style w:type="paragraph" w:styleId="20">
    <w:name w:val="toc 5"/>
    <w:basedOn w:val="1"/>
    <w:next w:val="1"/>
    <w:qFormat/>
    <w:uiPriority w:val="0"/>
    <w:pPr>
      <w:ind w:left="800" w:leftChars="800"/>
    </w:pPr>
  </w:style>
  <w:style w:type="paragraph" w:styleId="21">
    <w:name w:val="toc 3"/>
    <w:basedOn w:val="1"/>
    <w:next w:val="1"/>
    <w:qFormat/>
    <w:uiPriority w:val="39"/>
    <w:pPr>
      <w:ind w:left="400" w:leftChars="400"/>
    </w:pPr>
  </w:style>
  <w:style w:type="paragraph" w:styleId="22">
    <w:name w:val="Plain Text"/>
    <w:basedOn w:val="1"/>
    <w:link w:val="223"/>
    <w:qFormat/>
    <w:uiPriority w:val="0"/>
    <w:rPr>
      <w:rFonts w:ascii="宋体" w:hAnsi="Calibri"/>
    </w:rPr>
  </w:style>
  <w:style w:type="paragraph" w:styleId="23">
    <w:name w:val="toc 8"/>
    <w:basedOn w:val="1"/>
    <w:next w:val="1"/>
    <w:qFormat/>
    <w:uiPriority w:val="0"/>
    <w:pPr>
      <w:ind w:left="1400" w:leftChars="1400"/>
    </w:pPr>
  </w:style>
  <w:style w:type="paragraph" w:styleId="24">
    <w:name w:val="Date"/>
    <w:basedOn w:val="1"/>
    <w:next w:val="1"/>
    <w:link w:val="252"/>
    <w:qFormat/>
    <w:uiPriority w:val="0"/>
    <w:pPr>
      <w:ind w:left="2500" w:leftChars="2500"/>
    </w:pPr>
    <w:rPr>
      <w:szCs w:val="20"/>
    </w:rPr>
  </w:style>
  <w:style w:type="paragraph" w:styleId="25">
    <w:name w:val="Body Text Indent 2"/>
    <w:basedOn w:val="1"/>
    <w:link w:val="230"/>
    <w:unhideWhenUsed/>
    <w:qFormat/>
    <w:uiPriority w:val="0"/>
    <w:pPr>
      <w:ind w:firstLine="560" w:firstLineChars="200"/>
    </w:pPr>
    <w:rPr>
      <w:sz w:val="28"/>
    </w:rPr>
  </w:style>
  <w:style w:type="paragraph" w:styleId="26">
    <w:name w:val="Balloon Text"/>
    <w:basedOn w:val="1"/>
    <w:link w:val="302"/>
    <w:qFormat/>
    <w:uiPriority w:val="99"/>
    <w:rPr>
      <w:sz w:val="18"/>
      <w:szCs w:val="20"/>
    </w:rPr>
  </w:style>
  <w:style w:type="paragraph" w:styleId="27">
    <w:name w:val="footer"/>
    <w:basedOn w:val="1"/>
    <w:link w:val="279"/>
    <w:qFormat/>
    <w:uiPriority w:val="0"/>
    <w:pPr>
      <w:tabs>
        <w:tab w:val="center" w:pos="4153"/>
        <w:tab w:val="right" w:pos="8306"/>
      </w:tabs>
      <w:snapToGrid w:val="0"/>
      <w:jc w:val="left"/>
    </w:pPr>
    <w:rPr>
      <w:rFonts w:ascii="Calibri" w:hAnsi="Calibri"/>
      <w:sz w:val="18"/>
    </w:rPr>
  </w:style>
  <w:style w:type="paragraph" w:styleId="28">
    <w:name w:val="header"/>
    <w:basedOn w:val="1"/>
    <w:link w:val="282"/>
    <w:qFormat/>
    <w:uiPriority w:val="0"/>
    <w:pPr>
      <w:tabs>
        <w:tab w:val="center" w:pos="4153"/>
        <w:tab w:val="right" w:pos="8306"/>
      </w:tabs>
      <w:snapToGrid w:val="0"/>
    </w:pPr>
    <w:rPr>
      <w:sz w:val="18"/>
      <w:szCs w:val="20"/>
    </w:rPr>
  </w:style>
  <w:style w:type="paragraph" w:styleId="29">
    <w:name w:val="toc 1"/>
    <w:basedOn w:val="1"/>
    <w:next w:val="1"/>
    <w:qFormat/>
    <w:uiPriority w:val="39"/>
  </w:style>
  <w:style w:type="paragraph" w:styleId="30">
    <w:name w:val="toc 4"/>
    <w:basedOn w:val="1"/>
    <w:next w:val="1"/>
    <w:qFormat/>
    <w:uiPriority w:val="0"/>
    <w:pPr>
      <w:ind w:left="600" w:leftChars="600"/>
    </w:pPr>
  </w:style>
  <w:style w:type="paragraph" w:styleId="31">
    <w:name w:val="toc 6"/>
    <w:basedOn w:val="1"/>
    <w:next w:val="1"/>
    <w:qFormat/>
    <w:uiPriority w:val="0"/>
    <w:pPr>
      <w:ind w:left="1000" w:leftChars="1000"/>
    </w:pPr>
  </w:style>
  <w:style w:type="paragraph" w:styleId="32">
    <w:name w:val="Body Text Indent 3"/>
    <w:basedOn w:val="1"/>
    <w:link w:val="257"/>
    <w:qFormat/>
    <w:uiPriority w:val="0"/>
    <w:pPr>
      <w:spacing w:after="120"/>
      <w:ind w:left="200" w:leftChars="200"/>
    </w:pPr>
    <w:rPr>
      <w:rFonts w:ascii="Calibri" w:hAnsi="Calibri"/>
      <w:sz w:val="16"/>
      <w:szCs w:val="16"/>
    </w:rPr>
  </w:style>
  <w:style w:type="paragraph" w:styleId="33">
    <w:name w:val="toc 2"/>
    <w:basedOn w:val="1"/>
    <w:next w:val="1"/>
    <w:qFormat/>
    <w:uiPriority w:val="39"/>
    <w:pPr>
      <w:ind w:left="200" w:leftChars="200"/>
    </w:pPr>
  </w:style>
  <w:style w:type="paragraph" w:styleId="34">
    <w:name w:val="toc 9"/>
    <w:basedOn w:val="1"/>
    <w:next w:val="1"/>
    <w:qFormat/>
    <w:uiPriority w:val="0"/>
    <w:pPr>
      <w:ind w:left="1600" w:leftChars="1600"/>
    </w:pPr>
  </w:style>
  <w:style w:type="paragraph" w:styleId="35">
    <w:name w:val="Body Text 2"/>
    <w:basedOn w:val="1"/>
    <w:link w:val="206"/>
    <w:unhideWhenUsed/>
    <w:qFormat/>
    <w:uiPriority w:val="0"/>
    <w:rPr>
      <w:sz w:val="24"/>
      <w:szCs w:val="20"/>
    </w:rPr>
  </w:style>
  <w:style w:type="paragraph" w:styleId="36">
    <w:name w:val="HTML Preformatted"/>
    <w:basedOn w:val="1"/>
    <w:link w:val="275"/>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37">
    <w:name w:val="Normal (Web)"/>
    <w:basedOn w:val="1"/>
    <w:qFormat/>
    <w:uiPriority w:val="99"/>
    <w:pPr>
      <w:widowControl/>
      <w:spacing w:before="100" w:beforeAutospacing="1" w:after="100" w:afterAutospacing="1"/>
      <w:jc w:val="left"/>
    </w:pPr>
    <w:rPr>
      <w:rFonts w:ascii="宋体" w:hAnsi="宋体" w:cs="宋体"/>
      <w:color w:val="000000"/>
      <w:kern w:val="0"/>
      <w:sz w:val="24"/>
      <w:szCs w:val="20"/>
    </w:rPr>
  </w:style>
  <w:style w:type="paragraph" w:styleId="38">
    <w:name w:val="index 1"/>
    <w:basedOn w:val="1"/>
    <w:next w:val="1"/>
    <w:qFormat/>
    <w:uiPriority w:val="0"/>
    <w:pPr>
      <w:spacing w:line="220" w:lineRule="exact"/>
      <w:jc w:val="center"/>
    </w:pPr>
    <w:rPr>
      <w:rFonts w:ascii="仿宋_GB2312" w:hAnsi="Times New Roman" w:eastAsia="仿宋_GB2312"/>
      <w:szCs w:val="21"/>
    </w:rPr>
  </w:style>
  <w:style w:type="paragraph" w:styleId="39">
    <w:name w:val="annotation subject"/>
    <w:basedOn w:val="16"/>
    <w:next w:val="16"/>
    <w:link w:val="262"/>
    <w:qFormat/>
    <w:uiPriority w:val="99"/>
  </w:style>
  <w:style w:type="paragraph" w:styleId="40">
    <w:name w:val="Body Text First Indent"/>
    <w:basedOn w:val="1"/>
    <w:link w:val="273"/>
    <w:qFormat/>
    <w:uiPriority w:val="0"/>
    <w:pPr>
      <w:spacing w:line="312" w:lineRule="auto"/>
      <w:ind w:firstLine="420"/>
    </w:pPr>
    <w:rPr>
      <w:szCs w:val="24"/>
    </w:rPr>
  </w:style>
  <w:style w:type="paragraph" w:styleId="41">
    <w:name w:val="Body Text First Indent 2"/>
    <w:basedOn w:val="18"/>
    <w:link w:val="250"/>
    <w:unhideWhenUsed/>
    <w:qFormat/>
    <w:uiPriority w:val="0"/>
    <w:pPr>
      <w:ind w:firstLine="420" w:firstLineChars="200"/>
    </w:pPr>
    <w:rPr>
      <w:szCs w:val="24"/>
    </w:rPr>
  </w:style>
  <w:style w:type="table" w:styleId="43">
    <w:name w:val="Table Grid"/>
    <w:basedOn w:val="4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basedOn w:val="44"/>
    <w:qFormat/>
    <w:uiPriority w:val="99"/>
  </w:style>
  <w:style w:type="character" w:styleId="47">
    <w:name w:val="FollowedHyperlink"/>
    <w:unhideWhenUsed/>
    <w:qFormat/>
    <w:uiPriority w:val="99"/>
    <w:rPr>
      <w:color w:val="000000"/>
      <w:u w:val="none"/>
    </w:rPr>
  </w:style>
  <w:style w:type="character" w:styleId="48">
    <w:name w:val="Emphasis"/>
    <w:qFormat/>
    <w:uiPriority w:val="0"/>
    <w:rPr>
      <w:rFonts w:ascii="微软雅黑" w:hAnsi="微软雅黑" w:eastAsia="微软雅黑" w:cs="微软雅黑"/>
    </w:rPr>
  </w:style>
  <w:style w:type="character" w:styleId="49">
    <w:name w:val="HTML Definition"/>
    <w:unhideWhenUsed/>
    <w:qFormat/>
    <w:uiPriority w:val="0"/>
  </w:style>
  <w:style w:type="character" w:styleId="50">
    <w:name w:val="HTML Acronym"/>
    <w:basedOn w:val="44"/>
    <w:qFormat/>
    <w:uiPriority w:val="0"/>
  </w:style>
  <w:style w:type="character" w:styleId="51">
    <w:name w:val="HTML Variable"/>
    <w:unhideWhenUsed/>
    <w:qFormat/>
    <w:uiPriority w:val="0"/>
  </w:style>
  <w:style w:type="character" w:styleId="52">
    <w:name w:val="Hyperlink"/>
    <w:qFormat/>
    <w:uiPriority w:val="99"/>
    <w:rPr>
      <w:color w:val="000000"/>
      <w:u w:val="none"/>
    </w:rPr>
  </w:style>
  <w:style w:type="character" w:styleId="53">
    <w:name w:val="HTML Code"/>
    <w:unhideWhenUsed/>
    <w:qFormat/>
    <w:uiPriority w:val="0"/>
    <w:rPr>
      <w:rFonts w:ascii="Courier New" w:hAnsi="Courier New"/>
      <w:sz w:val="20"/>
    </w:rPr>
  </w:style>
  <w:style w:type="character" w:styleId="54">
    <w:name w:val="annotation reference"/>
    <w:qFormat/>
    <w:uiPriority w:val="99"/>
    <w:rPr>
      <w:sz w:val="21"/>
    </w:rPr>
  </w:style>
  <w:style w:type="character" w:styleId="55">
    <w:name w:val="HTML Cite"/>
    <w:unhideWhenUsed/>
    <w:qFormat/>
    <w:uiPriority w:val="0"/>
  </w:style>
  <w:style w:type="character" w:styleId="56">
    <w:name w:val="footnote reference"/>
    <w:qFormat/>
    <w:uiPriority w:val="0"/>
    <w:rPr>
      <w:vertAlign w:val="superscript"/>
    </w:rPr>
  </w:style>
  <w:style w:type="paragraph" w:customStyle="1" w:styleId="57">
    <w:name w:val="xl65"/>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color w:val="333333"/>
      <w:kern w:val="0"/>
      <w:sz w:val="20"/>
      <w:szCs w:val="20"/>
    </w:rPr>
  </w:style>
  <w:style w:type="paragraph" w:customStyle="1" w:styleId="59">
    <w:name w:val="_Style 1"/>
    <w:basedOn w:val="1"/>
    <w:qFormat/>
    <w:uiPriority w:val="34"/>
    <w:pPr>
      <w:spacing w:line="360" w:lineRule="auto"/>
      <w:ind w:firstLine="420" w:firstLineChars="200"/>
    </w:pPr>
  </w:style>
  <w:style w:type="paragraph" w:customStyle="1" w:styleId="60">
    <w:name w:val="font6"/>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styleId="61">
    <w:name w:val="List Paragraph"/>
    <w:basedOn w:val="1"/>
    <w:qFormat/>
    <w:uiPriority w:val="34"/>
    <w:pPr>
      <w:spacing w:line="360" w:lineRule="auto"/>
      <w:ind w:firstLine="420" w:firstLineChars="200"/>
    </w:pPr>
    <w:rPr>
      <w:rFonts w:ascii="Calibri" w:hAnsi="Calibri"/>
    </w:rPr>
  </w:style>
  <w:style w:type="paragraph" w:customStyle="1" w:styleId="62">
    <w:name w:val="font9"/>
    <w:basedOn w:val="1"/>
    <w:qFormat/>
    <w:uiPriority w:val="0"/>
    <w:pPr>
      <w:widowControl/>
      <w:spacing w:before="100" w:beforeAutospacing="1" w:after="100" w:afterAutospacing="1"/>
      <w:jc w:val="left"/>
    </w:pPr>
    <w:rPr>
      <w:rFonts w:ascii="MS Mincho" w:hAnsi="MS Mincho" w:eastAsia="MS Mincho" w:cs="宋体"/>
      <w:color w:val="000000"/>
      <w:kern w:val="0"/>
      <w:sz w:val="20"/>
      <w:szCs w:val="20"/>
    </w:rPr>
  </w:style>
  <w:style w:type="paragraph" w:customStyle="1" w:styleId="63">
    <w:name w:val="！正文（四号字）"/>
    <w:link w:val="168"/>
    <w:qFormat/>
    <w:uiPriority w:val="0"/>
    <w:pPr>
      <w:snapToGrid w:val="0"/>
      <w:spacing w:line="360" w:lineRule="auto"/>
      <w:ind w:firstLine="200" w:firstLineChars="200"/>
      <w:jc w:val="both"/>
    </w:pPr>
    <w:rPr>
      <w:rFonts w:ascii="Times New Roman" w:hAnsi="Times New Roman" w:eastAsia="宋体" w:cs="Times New Roman"/>
      <w:kern w:val="2"/>
      <w:sz w:val="24"/>
      <w:szCs w:val="28"/>
      <w:lang w:val="en-US" w:eastAsia="zh-CN" w:bidi="ar-SA"/>
    </w:rPr>
  </w:style>
  <w:style w:type="paragraph" w:customStyle="1" w:styleId="64">
    <w:name w:val="Char1"/>
    <w:basedOn w:val="1"/>
    <w:qFormat/>
    <w:uiPriority w:val="0"/>
    <w:pPr>
      <w:tabs>
        <w:tab w:val="left" w:pos="360"/>
      </w:tabs>
    </w:pPr>
    <w:rPr>
      <w:rFonts w:ascii="Times New Roman" w:hAnsi="Times New Roman"/>
      <w:sz w:val="24"/>
      <w:szCs w:val="20"/>
    </w:rPr>
  </w:style>
  <w:style w:type="paragraph" w:customStyle="1" w:styleId="65">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styleId="66">
    <w:name w:val="No Spacing"/>
    <w:link w:val="301"/>
    <w:qFormat/>
    <w:uiPriority w:val="1"/>
    <w:pPr>
      <w:widowControl w:val="0"/>
      <w:jc w:val="both"/>
    </w:pPr>
    <w:rPr>
      <w:rFonts w:ascii="Times New Roman" w:hAnsi="Times New Roman" w:eastAsia="宋体" w:cs="Times New Roman"/>
      <w:kern w:val="2"/>
      <w:sz w:val="24"/>
      <w:lang w:val="en-US" w:eastAsia="zh-CN" w:bidi="ar-SA"/>
    </w:rPr>
  </w:style>
  <w:style w:type="paragraph" w:customStyle="1" w:styleId="6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FF"/>
      <w:kern w:val="0"/>
      <w:sz w:val="24"/>
      <w:szCs w:val="24"/>
    </w:rPr>
  </w:style>
  <w:style w:type="paragraph" w:customStyle="1" w:styleId="68">
    <w:name w:val="xl80"/>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69">
    <w:name w:val="_Style 67"/>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70">
    <w:name w:val="xl73"/>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71">
    <w:name w:val="公文标题"/>
    <w:basedOn w:val="6"/>
    <w:qFormat/>
    <w:uiPriority w:val="0"/>
    <w:pPr>
      <w:spacing w:line="240" w:lineRule="auto"/>
      <w:ind w:left="1469" w:right="1542" w:firstLine="0" w:firstLineChars="0"/>
      <w:jc w:val="center"/>
    </w:pPr>
    <w:rPr>
      <w:rFonts w:ascii="Calibri" w:eastAsia="宋体"/>
      <w:b/>
      <w:sz w:val="44"/>
      <w:szCs w:val="24"/>
    </w:rPr>
  </w:style>
  <w:style w:type="paragraph" w:customStyle="1" w:styleId="72">
    <w:name w:val="_Style 2"/>
    <w:basedOn w:val="1"/>
    <w:qFormat/>
    <w:uiPriority w:val="34"/>
    <w:pPr>
      <w:ind w:firstLine="420" w:firstLineChars="200"/>
    </w:pPr>
  </w:style>
  <w:style w:type="paragraph" w:customStyle="1" w:styleId="73">
    <w:name w:val="1"/>
    <w:basedOn w:val="1"/>
    <w:qFormat/>
    <w:uiPriority w:val="0"/>
    <w:rPr>
      <w:rFonts w:ascii="Times New Roman" w:hAnsi="Times New Roman"/>
      <w:szCs w:val="20"/>
    </w:rPr>
  </w:style>
  <w:style w:type="paragraph" w:customStyle="1" w:styleId="74">
    <w:name w:val="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75">
    <w:name w:val="默认段落字体 Para Char Char Char Char Char Char Char Char Char Char Char Char Char Char"/>
    <w:basedOn w:val="15"/>
    <w:qFormat/>
    <w:uiPriority w:val="0"/>
    <w:pPr>
      <w:shd w:val="clear" w:color="auto" w:fill="000080"/>
    </w:pPr>
    <w:rPr>
      <w:rFonts w:ascii="Calibri" w:cs="Times New Roman"/>
      <w:sz w:val="21"/>
      <w:szCs w:val="20"/>
    </w:rPr>
  </w:style>
  <w:style w:type="paragraph" w:customStyle="1" w:styleId="76">
    <w:name w:val=" Char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77">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sz w:val="28"/>
    </w:rPr>
  </w:style>
  <w:style w:type="paragraph" w:customStyle="1" w:styleId="78">
    <w:name w:val=" Char Char Char Char Char1 Char"/>
    <w:basedOn w:val="1"/>
    <w:qFormat/>
    <w:uiPriority w:val="0"/>
    <w:rPr>
      <w:rFonts w:ascii="Tahoma" w:hAnsi="Tahoma"/>
      <w:sz w:val="24"/>
      <w:szCs w:val="20"/>
    </w:rPr>
  </w:style>
  <w:style w:type="paragraph" w:customStyle="1" w:styleId="79">
    <w:name w:val="p0"/>
    <w:basedOn w:val="1"/>
    <w:qFormat/>
    <w:uiPriority w:val="0"/>
    <w:pPr>
      <w:widowControl/>
    </w:pPr>
    <w:rPr>
      <w:kern w:val="0"/>
      <w:szCs w:val="21"/>
    </w:rPr>
  </w:style>
  <w:style w:type="paragraph" w:customStyle="1" w:styleId="80">
    <w:name w:val="xl75"/>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81">
    <w:name w:val="样式1"/>
    <w:basedOn w:val="1"/>
    <w:next w:val="7"/>
    <w:qFormat/>
    <w:uiPriority w:val="0"/>
    <w:pPr>
      <w:spacing w:line="360" w:lineRule="auto"/>
      <w:ind w:firstLine="420" w:firstLineChars="200"/>
    </w:pPr>
    <w:rPr>
      <w:rFonts w:ascii="宋体" w:hAnsi="宋体"/>
      <w:szCs w:val="21"/>
    </w:rPr>
  </w:style>
  <w:style w:type="paragraph" w:customStyle="1" w:styleId="82">
    <w:name w:val="Char Char Char Char Char1 Char Char Char Char Char Char Char"/>
    <w:basedOn w:val="1"/>
    <w:qFormat/>
    <w:uiPriority w:val="0"/>
    <w:pPr>
      <w:spacing w:line="360" w:lineRule="auto"/>
    </w:pPr>
    <w:rPr>
      <w:rFonts w:ascii="Tahoma" w:hAnsi="Tahoma"/>
      <w:sz w:val="24"/>
      <w:szCs w:val="20"/>
    </w:rPr>
  </w:style>
  <w:style w:type="paragraph" w:customStyle="1" w:styleId="83">
    <w:name w:val="xl72"/>
    <w:basedOn w:val="1"/>
    <w:qFormat/>
    <w:uiPriority w:val="0"/>
    <w:pPr>
      <w:widowControl/>
      <w:pBdr>
        <w:right w:val="single" w:color="auto" w:sz="8" w:space="0"/>
      </w:pBdr>
      <w:spacing w:before="100" w:beforeAutospacing="1" w:after="100" w:afterAutospacing="1"/>
      <w:jc w:val="left"/>
    </w:pPr>
    <w:rPr>
      <w:rFonts w:ascii="宋体" w:hAnsi="宋体" w:cs="宋体"/>
      <w:kern w:val="0"/>
      <w:sz w:val="20"/>
      <w:szCs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85">
    <w:name w:val="默认段落字体 Para Char Char Char Char"/>
    <w:basedOn w:val="1"/>
    <w:qFormat/>
    <w:uiPriority w:val="0"/>
    <w:rPr>
      <w:szCs w:val="24"/>
    </w:rPr>
  </w:style>
  <w:style w:type="paragraph" w:customStyle="1" w:styleId="86">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等线" w:hAnsi="等线" w:eastAsia="等线" w:cs="宋体"/>
      <w:kern w:val="0"/>
      <w:sz w:val="24"/>
      <w:szCs w:val="24"/>
    </w:rPr>
  </w:style>
  <w:style w:type="paragraph" w:customStyle="1" w:styleId="87">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88">
    <w:name w:val="正文4"/>
    <w:basedOn w:val="1"/>
    <w:qFormat/>
    <w:uiPriority w:val="0"/>
    <w:pPr>
      <w:ind w:firstLine="630"/>
    </w:pPr>
    <w:rPr>
      <w:sz w:val="28"/>
      <w:szCs w:val="20"/>
    </w:rPr>
  </w:style>
  <w:style w:type="paragraph" w:customStyle="1" w:styleId="89">
    <w:name w:val="我的正文"/>
    <w:basedOn w:val="1"/>
    <w:qFormat/>
    <w:uiPriority w:val="0"/>
    <w:rPr>
      <w:rFonts w:ascii="宋体" w:hAnsi="宋体"/>
      <w:sz w:val="24"/>
      <w:szCs w:val="24"/>
    </w:rPr>
  </w:style>
  <w:style w:type="paragraph" w:customStyle="1" w:styleId="90">
    <w:name w:val="Char Char Char Char Char1 Char"/>
    <w:basedOn w:val="1"/>
    <w:qFormat/>
    <w:uiPriority w:val="0"/>
    <w:rPr>
      <w:rFonts w:ascii="Tahoma" w:hAnsi="Tahoma"/>
      <w:sz w:val="24"/>
      <w:szCs w:val="20"/>
    </w:rPr>
  </w:style>
  <w:style w:type="paragraph" w:customStyle="1" w:styleId="91">
    <w:name w:val="中文1"/>
    <w:basedOn w:val="92"/>
    <w:qFormat/>
    <w:uiPriority w:val="0"/>
    <w:pPr>
      <w:tabs>
        <w:tab w:val="left" w:pos="1155"/>
      </w:tabs>
      <w:ind w:firstLine="371" w:firstLineChars="206"/>
    </w:pPr>
    <w:rPr>
      <w:rFonts w:ascii="宋体" w:hAnsi="宋体"/>
    </w:rPr>
  </w:style>
  <w:style w:type="paragraph" w:customStyle="1" w:styleId="92">
    <w:name w:val="英文1"/>
    <w:basedOn w:val="1"/>
    <w:qFormat/>
    <w:uiPriority w:val="0"/>
    <w:pPr>
      <w:tabs>
        <w:tab w:val="left" w:pos="1155"/>
      </w:tabs>
      <w:adjustRightInd w:val="0"/>
      <w:snapToGrid w:val="0"/>
      <w:spacing w:beforeLines="50" w:line="240" w:lineRule="exact"/>
      <w:ind w:left="733" w:leftChars="349" w:firstLine="373" w:firstLineChars="207"/>
    </w:pPr>
    <w:rPr>
      <w:rFonts w:ascii="Arial" w:hAnsi="Arial" w:cs="Arial"/>
      <w:sz w:val="18"/>
      <w:szCs w:val="24"/>
    </w:rPr>
  </w:style>
  <w:style w:type="paragraph" w:customStyle="1" w:styleId="93">
    <w:name w:val="样式 样式 样式1 + 段后: 0.5 行 + 段后: 0.5 行"/>
    <w:basedOn w:val="1"/>
    <w:qFormat/>
    <w:uiPriority w:val="0"/>
    <w:pPr>
      <w:numPr>
        <w:ilvl w:val="0"/>
        <w:numId w:val="1"/>
      </w:numPr>
      <w:tabs>
        <w:tab w:val="left" w:pos="720"/>
      </w:tabs>
      <w:adjustRightInd w:val="0"/>
      <w:snapToGrid w:val="0"/>
      <w:jc w:val="left"/>
      <w:outlineLvl w:val="0"/>
    </w:pPr>
    <w:rPr>
      <w:rFonts w:ascii="宋体" w:hAnsi="Arial" w:cs="宋体"/>
      <w:sz w:val="24"/>
      <w:szCs w:val="20"/>
    </w:rPr>
  </w:style>
  <w:style w:type="paragraph" w:customStyle="1" w:styleId="94">
    <w:name w:val="样式3"/>
    <w:basedOn w:val="5"/>
    <w:qFormat/>
    <w:uiPriority w:val="0"/>
    <w:pPr>
      <w:tabs>
        <w:tab w:val="center" w:pos="4365"/>
        <w:tab w:val="left" w:pos="6075"/>
      </w:tabs>
      <w:spacing w:line="240" w:lineRule="auto"/>
      <w:jc w:val="center"/>
    </w:pPr>
    <w:rPr>
      <w:b w:val="0"/>
      <w:sz w:val="21"/>
      <w:szCs w:val="21"/>
    </w:rPr>
  </w:style>
  <w:style w:type="paragraph" w:customStyle="1" w:styleId="95">
    <w:name w:val="xl71"/>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 w:val="20"/>
      <w:szCs w:val="20"/>
    </w:rPr>
  </w:style>
  <w:style w:type="paragraph" w:customStyle="1" w:styleId="96">
    <w:name w:val="正文首行缩进1"/>
    <w:basedOn w:val="1"/>
    <w:link w:val="164"/>
    <w:qFormat/>
    <w:uiPriority w:val="0"/>
    <w:pPr>
      <w:spacing w:line="360" w:lineRule="auto"/>
      <w:ind w:firstLine="200" w:firstLineChars="200"/>
    </w:pPr>
    <w:rPr>
      <w:sz w:val="24"/>
      <w:szCs w:val="24"/>
    </w:rPr>
  </w:style>
  <w:style w:type="paragraph" w:customStyle="1" w:styleId="97">
    <w:name w:val="formtable1"/>
    <w:basedOn w:val="1"/>
    <w:qFormat/>
    <w:uiPriority w:val="0"/>
    <w:pPr>
      <w:widowControl/>
      <w:pBdr>
        <w:left w:val="single" w:color="CCCCCC" w:sz="6" w:space="0"/>
      </w:pBdr>
      <w:spacing w:before="100" w:beforeAutospacing="1" w:after="100" w:afterAutospacing="1"/>
      <w:jc w:val="left"/>
    </w:pPr>
    <w:rPr>
      <w:rFonts w:ascii="宋体" w:hAnsi="宋体" w:cs="宋体"/>
      <w:kern w:val="0"/>
      <w:sz w:val="24"/>
      <w:szCs w:val="24"/>
    </w:rPr>
  </w:style>
  <w:style w:type="paragraph" w:customStyle="1" w:styleId="98">
    <w:name w:val="1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99">
    <w:name w:val="表格标题粗体_制度头表格"/>
    <w:qFormat/>
    <w:uiPriority w:val="0"/>
    <w:pPr>
      <w:jc w:val="center"/>
    </w:pPr>
    <w:rPr>
      <w:rFonts w:ascii="Times New Roman" w:hAnsi="Times New Roman" w:eastAsia="宋体" w:cs="Times New Roman"/>
      <w:b/>
      <w:sz w:val="21"/>
      <w:szCs w:val="21"/>
      <w:lang w:val="en-US" w:eastAsia="zh-CN" w:bidi="ar-SA"/>
    </w:rPr>
  </w:style>
  <w:style w:type="paragraph" w:customStyle="1" w:styleId="10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1">
    <w:name w:val="bg"/>
    <w:basedOn w:val="18"/>
    <w:qFormat/>
    <w:uiPriority w:val="0"/>
    <w:pPr>
      <w:topLinePunct/>
      <w:snapToGrid w:val="0"/>
      <w:spacing w:after="0"/>
      <w:ind w:left="0" w:leftChars="0"/>
      <w:jc w:val="center"/>
    </w:pPr>
    <w:rPr>
      <w:rFonts w:ascii="Calibri" w:hAnsi="Calibri"/>
      <w:color w:val="000000"/>
      <w:sz w:val="18"/>
      <w:szCs w:val="18"/>
    </w:rPr>
  </w:style>
  <w:style w:type="paragraph" w:customStyle="1" w:styleId="102">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103">
    <w:name w:val="纯文本11"/>
    <w:basedOn w:val="1"/>
    <w:qFormat/>
    <w:uiPriority w:val="99"/>
    <w:pPr>
      <w:adjustRightInd w:val="0"/>
      <w:jc w:val="left"/>
    </w:pPr>
    <w:rPr>
      <w:rFonts w:ascii="宋体" w:hAnsi="Courier New"/>
      <w:sz w:val="24"/>
      <w:szCs w:val="20"/>
    </w:rPr>
  </w:style>
  <w:style w:type="paragraph" w:customStyle="1" w:styleId="104">
    <w:name w:val="xl7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5">
    <w:name w:val="xl67"/>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106">
    <w:name w:val="纯文本1"/>
    <w:basedOn w:val="1"/>
    <w:qFormat/>
    <w:uiPriority w:val="0"/>
    <w:pPr>
      <w:adjustRightInd w:val="0"/>
      <w:jc w:val="left"/>
    </w:pPr>
    <w:rPr>
      <w:rFonts w:ascii="宋体" w:hAnsi="Courier New"/>
      <w:sz w:val="24"/>
      <w:szCs w:val="20"/>
    </w:rPr>
  </w:style>
  <w:style w:type="paragraph" w:customStyle="1" w:styleId="107">
    <w:name w:val="Plain Text"/>
    <w:basedOn w:val="1"/>
    <w:qFormat/>
    <w:uiPriority w:val="0"/>
    <w:pPr>
      <w:adjustRightInd w:val="0"/>
      <w:jc w:val="left"/>
      <w:textAlignment w:val="baseline"/>
    </w:pPr>
    <w:rPr>
      <w:rFonts w:ascii="宋体" w:hAnsi="Courier New"/>
      <w:sz w:val="24"/>
      <w:szCs w:val="20"/>
    </w:rPr>
  </w:style>
  <w:style w:type="paragraph" w:customStyle="1" w:styleId="108">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09">
    <w:name w:val="bn"/>
    <w:basedOn w:val="1"/>
    <w:qFormat/>
    <w:uiPriority w:val="0"/>
    <w:pPr>
      <w:topLinePunct/>
      <w:snapToGrid w:val="0"/>
      <w:ind w:left="20" w:leftChars="20" w:right="20" w:rightChars="20"/>
      <w:jc w:val="center"/>
    </w:pPr>
    <w:rPr>
      <w:color w:val="000000"/>
      <w:kern w:val="18"/>
      <w:sz w:val="18"/>
      <w:szCs w:val="18"/>
    </w:rPr>
  </w:style>
  <w:style w:type="paragraph" w:customStyle="1" w:styleId="110">
    <w:name w:val="p16"/>
    <w:basedOn w:val="1"/>
    <w:qFormat/>
    <w:uiPriority w:val="0"/>
    <w:pPr>
      <w:widowControl/>
    </w:pPr>
    <w:rPr>
      <w:rFonts w:ascii="宋体" w:hAnsi="宋体" w:cs="宋体"/>
      <w:kern w:val="0"/>
      <w:szCs w:val="21"/>
    </w:rPr>
  </w:style>
  <w:style w:type="paragraph" w:customStyle="1" w:styleId="111">
    <w:name w:val="_Style 23"/>
    <w:basedOn w:val="1"/>
    <w:qFormat/>
    <w:uiPriority w:val="0"/>
    <w:pPr>
      <w:widowControl/>
      <w:spacing w:after="160" w:line="240" w:lineRule="exact"/>
      <w:jc w:val="left"/>
    </w:pPr>
  </w:style>
  <w:style w:type="paragraph" w:customStyle="1" w:styleId="112">
    <w:name w:val="表格"/>
    <w:basedOn w:val="1"/>
    <w:qFormat/>
    <w:uiPriority w:val="0"/>
    <w:pPr>
      <w:jc w:val="center"/>
      <w:textAlignment w:val="center"/>
    </w:pPr>
    <w:rPr>
      <w:rFonts w:ascii="华文细黑" w:hAnsi="华文细黑"/>
      <w:kern w:val="0"/>
      <w:szCs w:val="20"/>
    </w:rPr>
  </w:style>
  <w:style w:type="paragraph" w:customStyle="1" w:styleId="113">
    <w:name w:val="样式 段后: 0.5 行1"/>
    <w:basedOn w:val="1"/>
    <w:qFormat/>
    <w:uiPriority w:val="0"/>
    <w:pPr>
      <w:snapToGrid w:val="0"/>
    </w:pPr>
    <w:rPr>
      <w:rFonts w:cs="宋体"/>
      <w:sz w:val="24"/>
      <w:szCs w:val="24"/>
    </w:rPr>
  </w:style>
  <w:style w:type="paragraph" w:customStyle="1" w:styleId="114">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4"/>
      <w:szCs w:val="24"/>
    </w:rPr>
  </w:style>
  <w:style w:type="paragraph" w:customStyle="1" w:styleId="115">
    <w:name w:val="xl70"/>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116">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sz w:val="32"/>
    </w:rPr>
  </w:style>
  <w:style w:type="paragraph" w:customStyle="1" w:styleId="117">
    <w:name w:val="Char1 Char Char Char Char Char Char Char Char Char Char Char Char Char Char Char Char Char Char Char"/>
    <w:basedOn w:val="1"/>
    <w:qFormat/>
    <w:uiPriority w:val="0"/>
    <w:pPr>
      <w:spacing w:line="360" w:lineRule="auto"/>
    </w:pPr>
    <w:rPr>
      <w:szCs w:val="20"/>
    </w:rPr>
  </w:style>
  <w:style w:type="paragraph" w:customStyle="1" w:styleId="118">
    <w:name w:val="修订2"/>
    <w:qFormat/>
    <w:uiPriority w:val="0"/>
    <w:rPr>
      <w:rFonts w:ascii="Times New Roman" w:hAnsi="Times New Roman" w:eastAsia="宋体" w:cs="Times New Roman"/>
      <w:kern w:val="2"/>
      <w:sz w:val="21"/>
      <w:szCs w:val="24"/>
      <w:lang w:val="en-US" w:eastAsia="zh-CN" w:bidi="ar-SA"/>
    </w:rPr>
  </w:style>
  <w:style w:type="paragraph" w:customStyle="1" w:styleId="119">
    <w:name w:val="Char Char Char Char Char Char Char Char Char Char Char Char"/>
    <w:basedOn w:val="1"/>
    <w:qFormat/>
    <w:uiPriority w:val="0"/>
    <w:pPr>
      <w:spacing w:line="360" w:lineRule="auto"/>
    </w:pPr>
    <w:rPr>
      <w:szCs w:val="20"/>
    </w:rPr>
  </w:style>
  <w:style w:type="paragraph" w:customStyle="1" w:styleId="120">
    <w:name w:val="font5"/>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21">
    <w:name w:val="域名"/>
    <w:basedOn w:val="1"/>
    <w:qFormat/>
    <w:uiPriority w:val="0"/>
    <w:pPr>
      <w:adjustRightInd w:val="0"/>
      <w:spacing w:line="240" w:lineRule="exact"/>
    </w:pPr>
    <w:rPr>
      <w:rFonts w:ascii="宋体" w:eastAsia="仿宋_GB2312"/>
      <w:b/>
      <w:color w:val="FF0000"/>
      <w:kern w:val="0"/>
      <w:szCs w:val="20"/>
    </w:rPr>
  </w:style>
  <w:style w:type="paragraph" w:customStyle="1" w:styleId="122">
    <w:name w:val="样式2"/>
    <w:basedOn w:val="6"/>
    <w:qFormat/>
    <w:uiPriority w:val="0"/>
    <w:pPr>
      <w:spacing w:line="415" w:lineRule="auto"/>
      <w:ind w:firstLine="137"/>
    </w:pPr>
    <w:rPr>
      <w:rFonts w:hAnsi="Times New Roman"/>
      <w:bCs/>
      <w:i/>
      <w:szCs w:val="28"/>
    </w:rPr>
  </w:style>
  <w:style w:type="paragraph" w:customStyle="1" w:styleId="123">
    <w:name w:val="表格内容靠左正常_制度头表格"/>
    <w:qFormat/>
    <w:uiPriority w:val="0"/>
    <w:rPr>
      <w:rFonts w:ascii="Times New Roman" w:hAnsi="Times New Roman" w:eastAsia="宋体" w:cs="Times New Roman"/>
      <w:sz w:val="21"/>
      <w:szCs w:val="21"/>
      <w:lang w:val="en-US" w:eastAsia="zh-CN" w:bidi="ar-SA"/>
    </w:rPr>
  </w:style>
  <w:style w:type="paragraph" w:customStyle="1" w:styleId="124">
    <w:name w:val="xl7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25">
    <w:name w:val="表格空行_制度头表格"/>
    <w:basedOn w:val="87"/>
    <w:qFormat/>
    <w:uiPriority w:val="0"/>
    <w:pPr>
      <w:tabs>
        <w:tab w:val="left" w:pos="2960"/>
      </w:tabs>
      <w:jc w:val="both"/>
    </w:pPr>
    <w:rPr>
      <w:rFonts w:eastAsia="黑体"/>
      <w:sz w:val="11"/>
      <w:szCs w:val="30"/>
    </w:rPr>
  </w:style>
  <w:style w:type="paragraph" w:customStyle="1" w:styleId="126">
    <w:name w:val="公文正文"/>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127">
    <w:name w:val=" Char"/>
    <w:basedOn w:val="1"/>
    <w:qFormat/>
    <w:uiPriority w:val="0"/>
    <w:rPr>
      <w:rFonts w:ascii="Calibri" w:hAnsi="Calibri"/>
      <w:sz w:val="24"/>
      <w:szCs w:val="24"/>
    </w:rPr>
  </w:style>
  <w:style w:type="paragraph" w:customStyle="1" w:styleId="128">
    <w:name w:val="第二级"/>
    <w:basedOn w:val="1"/>
    <w:qFormat/>
    <w:uiPriority w:val="0"/>
    <w:pPr>
      <w:numPr>
        <w:ilvl w:val="1"/>
        <w:numId w:val="2"/>
      </w:numPr>
      <w:tabs>
        <w:tab w:val="left" w:pos="567"/>
      </w:tabs>
      <w:adjustRightInd w:val="0"/>
      <w:snapToGrid w:val="0"/>
      <w:jc w:val="left"/>
      <w:outlineLvl w:val="1"/>
    </w:pPr>
    <w:rPr>
      <w:rFonts w:ascii="宋体" w:hAnsi="Arial"/>
      <w:sz w:val="24"/>
      <w:szCs w:val="20"/>
    </w:rPr>
  </w:style>
  <w:style w:type="paragraph" w:customStyle="1" w:styleId="129">
    <w:name w:val="列表段落"/>
    <w:basedOn w:val="1"/>
    <w:qFormat/>
    <w:uiPriority w:val="34"/>
    <w:pPr>
      <w:spacing w:line="360" w:lineRule="auto"/>
      <w:ind w:firstLine="420" w:firstLineChars="200"/>
    </w:pPr>
  </w:style>
  <w:style w:type="paragraph" w:customStyle="1" w:styleId="130">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hAnsi="宋体" w:cs="宋体"/>
      <w:kern w:val="0"/>
      <w:sz w:val="24"/>
      <w:szCs w:val="24"/>
    </w:rPr>
  </w:style>
  <w:style w:type="paragraph" w:customStyle="1" w:styleId="131">
    <w:name w:val="_Style 130"/>
    <w:semiHidden/>
    <w:qFormat/>
    <w:uiPriority w:val="99"/>
    <w:rPr>
      <w:rFonts w:ascii="Times New Roman" w:hAnsi="Times New Roman" w:eastAsia="宋体" w:cs="Times New Roman"/>
      <w:kern w:val="2"/>
      <w:sz w:val="21"/>
      <w:lang w:val="en-US" w:eastAsia="zh-CN" w:bidi="ar-SA"/>
    </w:rPr>
  </w:style>
  <w:style w:type="paragraph" w:customStyle="1" w:styleId="132">
    <w:name w:val="_Style 75"/>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33">
    <w:name w:val=" Char1 Char Char Char Char Char Char Char Char Char Char Char Char Char Char Char Char Char Char Char"/>
    <w:basedOn w:val="1"/>
    <w:qFormat/>
    <w:uiPriority w:val="0"/>
    <w:pPr>
      <w:spacing w:line="360" w:lineRule="auto"/>
    </w:pPr>
    <w:rPr>
      <w:rFonts w:ascii="Calibri" w:hAnsi="Calibri"/>
      <w:szCs w:val="20"/>
    </w:rPr>
  </w:style>
  <w:style w:type="paragraph" w:customStyle="1" w:styleId="134">
    <w:name w:val="11"/>
    <w:basedOn w:val="18"/>
    <w:link w:val="222"/>
    <w:qFormat/>
    <w:uiPriority w:val="0"/>
    <w:pPr>
      <w:spacing w:line="360" w:lineRule="auto"/>
    </w:pPr>
    <w:rPr>
      <w:rFonts w:hAnsi="宋体"/>
      <w:b/>
      <w:szCs w:val="21"/>
    </w:rPr>
  </w:style>
  <w:style w:type="paragraph" w:customStyle="1" w:styleId="135">
    <w:name w:val="xl6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136">
    <w:name w:val="6'"/>
    <w:basedOn w:val="1"/>
    <w:qFormat/>
    <w:uiPriority w:val="0"/>
    <w:pPr>
      <w:autoSpaceDE w:val="0"/>
      <w:autoSpaceDN w:val="0"/>
      <w:adjustRightInd w:val="0"/>
      <w:snapToGrid w:val="0"/>
      <w:spacing w:line="320" w:lineRule="exact"/>
      <w:jc w:val="center"/>
      <w:textAlignment w:val="baseline"/>
    </w:pPr>
    <w:rPr>
      <w:rFonts w:ascii="Times New Roman" w:hAnsi="Times New Roman"/>
      <w:spacing w:val="20"/>
      <w:kern w:val="28"/>
      <w:szCs w:val="20"/>
    </w:rPr>
  </w:style>
  <w:style w:type="paragraph" w:customStyle="1" w:styleId="137">
    <w:name w:val="p17"/>
    <w:basedOn w:val="1"/>
    <w:qFormat/>
    <w:uiPriority w:val="0"/>
    <w:pPr>
      <w:widowControl/>
    </w:pPr>
    <w:rPr>
      <w:rFonts w:ascii="宋体" w:hAnsi="宋体" w:cs="宋体"/>
      <w:kern w:val="0"/>
      <w:szCs w:val="21"/>
    </w:rPr>
  </w:style>
  <w:style w:type="paragraph" w:customStyle="1" w:styleId="138">
    <w:name w:val="修订1"/>
    <w:qFormat/>
    <w:uiPriority w:val="0"/>
    <w:rPr>
      <w:rFonts w:ascii="Times New Roman" w:hAnsi="Times New Roman" w:eastAsia="宋体" w:cs="Times New Roman"/>
      <w:kern w:val="2"/>
      <w:sz w:val="21"/>
      <w:lang w:val="en-US" w:eastAsia="zh-CN" w:bidi="ar-SA"/>
    </w:rPr>
  </w:style>
  <w:style w:type="paragraph" w:customStyle="1" w:styleId="139">
    <w:name w:val="_Style 138"/>
    <w:basedOn w:val="4"/>
    <w:next w:val="1"/>
    <w:qFormat/>
    <w:uiPriority w:val="39"/>
    <w:pPr>
      <w:widowControl/>
      <w:adjustRightInd w:val="0"/>
      <w:spacing w:before="480" w:after="0" w:line="276" w:lineRule="auto"/>
      <w:jc w:val="left"/>
      <w:outlineLvl w:val="9"/>
    </w:pPr>
    <w:rPr>
      <w:rFonts w:ascii="Cambria" w:hAnsi="Cambria"/>
      <w:b w:val="0"/>
      <w:bCs/>
      <w:color w:val="365F91"/>
      <w:kern w:val="0"/>
      <w:sz w:val="28"/>
      <w:szCs w:val="28"/>
    </w:rPr>
  </w:style>
  <w:style w:type="paragraph" w:customStyle="1" w:styleId="140">
    <w:name w:val="样式 第二级 + 段后: 0.5 行"/>
    <w:basedOn w:val="128"/>
    <w:qFormat/>
    <w:uiPriority w:val="0"/>
    <w:pPr>
      <w:ind w:left="567" w:hanging="567"/>
    </w:pPr>
    <w:rPr>
      <w:rFonts w:cs="宋体"/>
    </w:rPr>
  </w:style>
  <w:style w:type="paragraph" w:customStyle="1" w:styleId="141">
    <w:name w:val="xl64"/>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14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等线" w:hAnsi="等线" w:eastAsia="等线" w:cs="宋体"/>
      <w:color w:val="0000FF"/>
      <w:kern w:val="0"/>
      <w:sz w:val="24"/>
      <w:szCs w:val="24"/>
    </w:rPr>
  </w:style>
  <w:style w:type="paragraph" w:customStyle="1" w:styleId="143">
    <w:name w:val="Default"/>
    <w:unhideWhenUsed/>
    <w:qFormat/>
    <w:uiPriority w:val="0"/>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144">
    <w:name w:val="表格文字"/>
    <w:basedOn w:val="1"/>
    <w:qFormat/>
    <w:uiPriority w:val="0"/>
    <w:pPr>
      <w:adjustRightInd w:val="0"/>
      <w:spacing w:line="420" w:lineRule="atLeast"/>
      <w:jc w:val="left"/>
      <w:textAlignment w:val="baseline"/>
    </w:pPr>
    <w:rPr>
      <w:rFonts w:ascii="Times New Roman" w:hAnsi="Times New Roman"/>
      <w:kern w:val="0"/>
      <w:szCs w:val="20"/>
    </w:rPr>
  </w:style>
  <w:style w:type="paragraph" w:customStyle="1" w:styleId="145">
    <w:name w:val="TOC 标题1"/>
    <w:basedOn w:val="4"/>
    <w:next w:val="1"/>
    <w:qFormat/>
    <w:uiPriority w:val="0"/>
    <w:pPr>
      <w:widowControl/>
      <w:spacing w:before="480" w:after="0" w:line="276" w:lineRule="auto"/>
      <w:jc w:val="left"/>
      <w:outlineLvl w:val="9"/>
    </w:pPr>
    <w:rPr>
      <w:rFonts w:ascii="Cambria" w:hAnsi="Cambria"/>
      <w:color w:val="365F91"/>
      <w:kern w:val="0"/>
      <w:sz w:val="28"/>
    </w:rPr>
  </w:style>
  <w:style w:type="paragraph" w:customStyle="1" w:styleId="146">
    <w:name w:val="xl66"/>
    <w:basedOn w:val="1"/>
    <w:qFormat/>
    <w:uiPriority w:val="0"/>
    <w:pPr>
      <w:widowControl/>
      <w:pBdr>
        <w:top w:val="single" w:color="auto" w:sz="8" w:space="0"/>
        <w:bottom w:val="single" w:color="auto" w:sz="8" w:space="0"/>
      </w:pBdr>
      <w:spacing w:before="100" w:beforeAutospacing="1" w:after="100" w:afterAutospacing="1"/>
      <w:jc w:val="center"/>
    </w:pPr>
    <w:rPr>
      <w:rFonts w:ascii="宋体" w:hAnsi="宋体" w:cs="宋体"/>
      <w:b/>
      <w:bCs/>
      <w:kern w:val="0"/>
      <w:sz w:val="20"/>
      <w:szCs w:val="20"/>
    </w:rPr>
  </w:style>
  <w:style w:type="paragraph" w:customStyle="1" w:styleId="14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FF"/>
      <w:kern w:val="0"/>
      <w:sz w:val="24"/>
      <w:szCs w:val="24"/>
    </w:rPr>
  </w:style>
  <w:style w:type="paragraph" w:customStyle="1" w:styleId="148">
    <w:name w:val="修订11"/>
    <w:qFormat/>
    <w:uiPriority w:val="0"/>
    <w:rPr>
      <w:rFonts w:ascii="Times New Roman" w:hAnsi="Times New Roman" w:eastAsia="宋体" w:cs="Times New Roman"/>
      <w:kern w:val="2"/>
      <w:sz w:val="21"/>
      <w:szCs w:val="24"/>
      <w:lang w:val="en-US" w:eastAsia="zh-CN" w:bidi="ar-SA"/>
    </w:rPr>
  </w:style>
  <w:style w:type="paragraph" w:customStyle="1" w:styleId="149">
    <w:name w:val="_Style 31"/>
    <w:basedOn w:val="1"/>
    <w:qFormat/>
    <w:uiPriority w:val="0"/>
    <w:rPr>
      <w:szCs w:val="20"/>
    </w:rPr>
  </w:style>
  <w:style w:type="paragraph" w:customStyle="1" w:styleId="150">
    <w:name w:val="Char Char Char Char"/>
    <w:basedOn w:val="1"/>
    <w:qFormat/>
    <w:uiPriority w:val="0"/>
    <w:pPr>
      <w:tabs>
        <w:tab w:val="left" w:pos="425"/>
      </w:tabs>
      <w:ind w:left="425" w:hanging="425"/>
    </w:pPr>
    <w:rPr>
      <w:rFonts w:ascii="仿宋_GB2312" w:hAnsi="宋体" w:eastAsia="仿宋_GB2312"/>
      <w:b/>
      <w:kern w:val="24"/>
      <w:sz w:val="32"/>
      <w:szCs w:val="32"/>
    </w:rPr>
  </w:style>
  <w:style w:type="paragraph" w:customStyle="1" w:styleId="151">
    <w:name w:val="font0"/>
    <w:basedOn w:val="1"/>
    <w:qFormat/>
    <w:uiPriority w:val="0"/>
    <w:pPr>
      <w:widowControl/>
      <w:spacing w:before="100" w:beforeAutospacing="1" w:after="100" w:afterAutospacing="1"/>
      <w:jc w:val="left"/>
    </w:pPr>
    <w:rPr>
      <w:rFonts w:ascii="宋体" w:hAnsi="宋体" w:cs="宋体"/>
      <w:color w:val="000000"/>
      <w:kern w:val="0"/>
      <w:sz w:val="22"/>
    </w:rPr>
  </w:style>
  <w:style w:type="paragraph" w:customStyle="1" w:styleId="15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53">
    <w:name w:val="xl22"/>
    <w:basedOn w:val="1"/>
    <w:qFormat/>
    <w:uiPriority w:val="0"/>
    <w:pPr>
      <w:widowControl/>
      <w:spacing w:before="100" w:beforeAutospacing="1" w:after="100" w:afterAutospacing="1"/>
      <w:jc w:val="center"/>
    </w:pPr>
    <w:rPr>
      <w:rFonts w:ascii="仿宋_GB2312" w:hAnsi="宋体" w:eastAsia="仿宋_GB2312"/>
      <w:kern w:val="0"/>
      <w:sz w:val="24"/>
      <w:szCs w:val="24"/>
    </w:rPr>
  </w:style>
  <w:style w:type="paragraph" w:customStyle="1" w:styleId="154">
    <w:name w:val="列出段落1"/>
    <w:basedOn w:val="1"/>
    <w:qFormat/>
    <w:uiPriority w:val="0"/>
    <w:pPr>
      <w:ind w:firstLine="420" w:firstLineChars="200"/>
    </w:pPr>
  </w:style>
  <w:style w:type="paragraph" w:customStyle="1" w:styleId="155">
    <w:name w:val="发文落款"/>
    <w:basedOn w:val="126"/>
    <w:qFormat/>
    <w:uiPriority w:val="0"/>
    <w:pPr>
      <w:ind w:left="4094" w:right="607" w:firstLine="0"/>
      <w:jc w:val="center"/>
    </w:pPr>
  </w:style>
  <w:style w:type="paragraph" w:customStyle="1" w:styleId="156">
    <w:name w:val="by"/>
    <w:basedOn w:val="101"/>
    <w:qFormat/>
    <w:uiPriority w:val="0"/>
    <w:pPr>
      <w:autoSpaceDE w:val="0"/>
      <w:autoSpaceDN w:val="0"/>
      <w:adjustRightInd w:val="0"/>
      <w:ind w:left="545" w:leftChars="25" w:right="52" w:rightChars="25" w:hanging="493" w:hangingChars="275"/>
      <w:jc w:val="both"/>
    </w:pPr>
    <w:rPr>
      <w:spacing w:val="2"/>
    </w:rPr>
  </w:style>
  <w:style w:type="paragraph" w:customStyle="1" w:styleId="157">
    <w:name w:val="xl6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58">
    <w:name w:val="p15"/>
    <w:basedOn w:val="1"/>
    <w:qFormat/>
    <w:uiPriority w:val="0"/>
    <w:pPr>
      <w:widowControl/>
    </w:pPr>
    <w:rPr>
      <w:rFonts w:ascii="宋体" w:hAnsi="宋体" w:cs="宋体"/>
      <w:kern w:val="0"/>
      <w:szCs w:val="21"/>
    </w:rPr>
  </w:style>
  <w:style w:type="paragraph" w:customStyle="1" w:styleId="159">
    <w:name w:val="_Style 58"/>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60">
    <w:name w:val="样式 标题 3 + (中文) 黑体 小四 非加粗 段前: 7.8 磅 段后: 0 磅 行距: 固定值 20 磅"/>
    <w:basedOn w:val="6"/>
    <w:qFormat/>
    <w:uiPriority w:val="0"/>
    <w:pPr>
      <w:spacing w:before="0" w:after="0" w:line="400" w:lineRule="exact"/>
      <w:ind w:firstLine="137"/>
    </w:pPr>
    <w:rPr>
      <w:rFonts w:hAnsi="Times New Roman" w:cs="宋体"/>
      <w:sz w:val="24"/>
    </w:rPr>
  </w:style>
  <w:style w:type="character" w:customStyle="1" w:styleId="161">
    <w:name w:val="Char Char5"/>
    <w:qFormat/>
    <w:uiPriority w:val="0"/>
    <w:rPr>
      <w:rFonts w:hint="eastAsia" w:ascii="宋体" w:hAnsi="Courier New" w:eastAsia="宋体"/>
      <w:kern w:val="2"/>
      <w:sz w:val="21"/>
      <w:lang w:val="en-US" w:eastAsia="zh-CN" w:bidi="ar-SA"/>
    </w:rPr>
  </w:style>
  <w:style w:type="character" w:customStyle="1" w:styleId="162">
    <w:name w:val="标题 Char2"/>
    <w:qFormat/>
    <w:uiPriority w:val="10"/>
    <w:rPr>
      <w:rFonts w:hint="default" w:ascii="Cambria" w:hAnsi="Cambria" w:cs="Times New Roman"/>
      <w:b/>
      <w:bCs/>
      <w:kern w:val="2"/>
      <w:sz w:val="32"/>
      <w:szCs w:val="32"/>
    </w:rPr>
  </w:style>
  <w:style w:type="character" w:customStyle="1" w:styleId="163">
    <w:name w:val="t_rw"/>
    <w:qFormat/>
    <w:uiPriority w:val="0"/>
    <w:rPr>
      <w:b/>
      <w:sz w:val="25"/>
      <w:szCs w:val="25"/>
    </w:rPr>
  </w:style>
  <w:style w:type="character" w:customStyle="1" w:styleId="164">
    <w:name w:val="正文首行缩进 Char Char"/>
    <w:link w:val="96"/>
    <w:qFormat/>
    <w:locked/>
    <w:uiPriority w:val="0"/>
    <w:rPr>
      <w:kern w:val="2"/>
      <w:sz w:val="24"/>
      <w:szCs w:val="24"/>
    </w:rPr>
  </w:style>
  <w:style w:type="character" w:customStyle="1" w:styleId="165">
    <w:name w:val="正文首行缩进 2 Char2"/>
    <w:basedOn w:val="166"/>
    <w:semiHidden/>
    <w:qFormat/>
    <w:uiPriority w:val="99"/>
  </w:style>
  <w:style w:type="character" w:customStyle="1" w:styleId="166">
    <w:name w:val="正文文本缩进 Char2"/>
    <w:basedOn w:val="44"/>
    <w:semiHidden/>
    <w:qFormat/>
    <w:uiPriority w:val="99"/>
  </w:style>
  <w:style w:type="character" w:customStyle="1" w:styleId="167">
    <w:name w:val="标题 7 Char"/>
    <w:link w:val="10"/>
    <w:qFormat/>
    <w:uiPriority w:val="0"/>
    <w:rPr>
      <w:rFonts w:eastAsia="宋体"/>
      <w:b/>
      <w:bCs/>
      <w:sz w:val="24"/>
    </w:rPr>
  </w:style>
  <w:style w:type="character" w:customStyle="1" w:styleId="168">
    <w:name w:val="！正文（四号字） Char"/>
    <w:link w:val="63"/>
    <w:qFormat/>
    <w:locked/>
    <w:uiPriority w:val="0"/>
    <w:rPr>
      <w:kern w:val="2"/>
      <w:sz w:val="24"/>
      <w:szCs w:val="28"/>
      <w:lang w:val="en-US" w:eastAsia="zh-CN" w:bidi="ar-SA"/>
    </w:rPr>
  </w:style>
  <w:style w:type="character" w:customStyle="1" w:styleId="169">
    <w:name w:val="批注文字 Char1"/>
    <w:qFormat/>
    <w:uiPriority w:val="0"/>
    <w:rPr>
      <w:rFonts w:ascii="Times New Roman" w:hAnsi="Times New Roman" w:eastAsia="宋体" w:cs="Times New Roman"/>
      <w:sz w:val="20"/>
      <w:szCs w:val="20"/>
      <w:lang w:bidi="ar-SA"/>
    </w:rPr>
  </w:style>
  <w:style w:type="character" w:customStyle="1" w:styleId="170">
    <w:name w:val="kb_bmc1"/>
    <w:qFormat/>
    <w:uiPriority w:val="0"/>
    <w:rPr>
      <w:color w:val="666666"/>
      <w:sz w:val="19"/>
      <w:szCs w:val="19"/>
    </w:rPr>
  </w:style>
  <w:style w:type="character" w:customStyle="1" w:styleId="171">
    <w:name w:val="标题 9 Char"/>
    <w:link w:val="12"/>
    <w:qFormat/>
    <w:uiPriority w:val="0"/>
    <w:rPr>
      <w:rFonts w:ascii="Arial" w:hAnsi="Arial" w:eastAsia="黑体"/>
      <w:sz w:val="21"/>
      <w:szCs w:val="21"/>
    </w:rPr>
  </w:style>
  <w:style w:type="character" w:customStyle="1" w:styleId="172">
    <w:name w:val="纯文本 Char2"/>
    <w:qFormat/>
    <w:uiPriority w:val="0"/>
    <w:rPr>
      <w:rFonts w:hint="eastAsia" w:ascii="宋体" w:hAnsi="Courier New" w:eastAsia="宋体"/>
      <w:kern w:val="2"/>
      <w:sz w:val="21"/>
      <w:lang w:val="en-US" w:eastAsia="zh-CN" w:bidi="ar-SA"/>
    </w:rPr>
  </w:style>
  <w:style w:type="character" w:customStyle="1" w:styleId="173">
    <w:name w:val="Char Char3"/>
    <w:qFormat/>
    <w:uiPriority w:val="0"/>
    <w:rPr>
      <w:rFonts w:hint="default" w:ascii="Arial" w:hAnsi="Arial" w:eastAsia="黑体" w:cs="Arial"/>
      <w:b/>
      <w:bCs/>
      <w:kern w:val="2"/>
      <w:sz w:val="32"/>
      <w:szCs w:val="32"/>
      <w:lang w:val="en-US" w:eastAsia="zh-CN" w:bidi="ar-SA"/>
    </w:rPr>
  </w:style>
  <w:style w:type="character" w:customStyle="1" w:styleId="174">
    <w:name w:val="标题 Char1"/>
    <w:qFormat/>
    <w:uiPriority w:val="10"/>
    <w:rPr>
      <w:rFonts w:hint="default" w:ascii="Cambria" w:hAnsi="Cambria" w:eastAsia="宋体" w:cs="Times New Roman"/>
      <w:b/>
      <w:bCs/>
      <w:sz w:val="32"/>
      <w:szCs w:val="32"/>
    </w:rPr>
  </w:style>
  <w:style w:type="character" w:customStyle="1" w:styleId="175">
    <w:name w:val="正文首行缩进 Char1"/>
    <w:qFormat/>
    <w:uiPriority w:val="0"/>
    <w:rPr>
      <w:rFonts w:eastAsia="宋体"/>
      <w:kern w:val="2"/>
      <w:sz w:val="21"/>
    </w:rPr>
  </w:style>
  <w:style w:type="character" w:customStyle="1" w:styleId="176">
    <w:name w:val="zt_tj"/>
    <w:qFormat/>
    <w:uiPriority w:val="0"/>
    <w:rPr>
      <w:color w:val="FFFFFF"/>
      <w:sz w:val="18"/>
      <w:szCs w:val="18"/>
      <w:shd w:val="clear" w:color="auto" w:fill="37B335"/>
    </w:rPr>
  </w:style>
  <w:style w:type="character" w:customStyle="1" w:styleId="177">
    <w:name w:val="x-tab-strip-text4"/>
    <w:basedOn w:val="44"/>
    <w:qFormat/>
    <w:uiPriority w:val="0"/>
  </w:style>
  <w:style w:type="character" w:customStyle="1" w:styleId="178">
    <w:name w:val="标题 1 Char"/>
    <w:link w:val="4"/>
    <w:qFormat/>
    <w:uiPriority w:val="0"/>
    <w:rPr>
      <w:rFonts w:eastAsia="宋体"/>
      <w:b/>
      <w:kern w:val="44"/>
      <w:sz w:val="44"/>
    </w:rPr>
  </w:style>
  <w:style w:type="character" w:customStyle="1" w:styleId="179">
    <w:name w:val="icon_pbywc"/>
    <w:basedOn w:val="44"/>
    <w:qFormat/>
    <w:uiPriority w:val="0"/>
  </w:style>
  <w:style w:type="character" w:customStyle="1" w:styleId="180">
    <w:name w:val="icon_db_cgls"/>
    <w:basedOn w:val="44"/>
    <w:qFormat/>
    <w:uiPriority w:val="0"/>
  </w:style>
  <w:style w:type="character" w:customStyle="1" w:styleId="181">
    <w:name w:val="正文文本缩进 3 Char4"/>
    <w:semiHidden/>
    <w:qFormat/>
    <w:uiPriority w:val="99"/>
    <w:rPr>
      <w:kern w:val="2"/>
      <w:sz w:val="16"/>
      <w:szCs w:val="16"/>
    </w:rPr>
  </w:style>
  <w:style w:type="character" w:customStyle="1" w:styleId="182">
    <w:name w:val="正文文本缩进 2 Char1"/>
    <w:basedOn w:val="44"/>
    <w:semiHidden/>
    <w:qFormat/>
    <w:uiPriority w:val="99"/>
  </w:style>
  <w:style w:type="character" w:customStyle="1" w:styleId="183">
    <w:name w:val="work_zt_sp"/>
    <w:basedOn w:val="44"/>
    <w:qFormat/>
    <w:uiPriority w:val="0"/>
  </w:style>
  <w:style w:type="character" w:customStyle="1" w:styleId="184">
    <w:name w:val="正文文本 3 Char3"/>
    <w:semiHidden/>
    <w:qFormat/>
    <w:uiPriority w:val="99"/>
    <w:rPr>
      <w:kern w:val="2"/>
      <w:sz w:val="16"/>
      <w:szCs w:val="16"/>
    </w:rPr>
  </w:style>
  <w:style w:type="character" w:customStyle="1" w:styleId="185">
    <w:name w:val="正文文本缩进 2 Char2"/>
    <w:semiHidden/>
    <w:qFormat/>
    <w:uiPriority w:val="99"/>
    <w:rPr>
      <w:kern w:val="2"/>
      <w:sz w:val="21"/>
    </w:rPr>
  </w:style>
  <w:style w:type="character" w:customStyle="1" w:styleId="186">
    <w:name w:val="font161"/>
    <w:qFormat/>
    <w:uiPriority w:val="0"/>
    <w:rPr>
      <w:b/>
      <w:bCs/>
      <w:sz w:val="32"/>
      <w:szCs w:val="32"/>
    </w:rPr>
  </w:style>
  <w:style w:type="character" w:customStyle="1" w:styleId="187">
    <w:name w:val="Footer-Even Char1"/>
    <w:qFormat/>
    <w:locked/>
    <w:uiPriority w:val="0"/>
    <w:rPr>
      <w:rFonts w:hint="eastAsia" w:ascii="仿宋_GB2312" w:eastAsia="仿宋_GB2312"/>
      <w:sz w:val="18"/>
    </w:rPr>
  </w:style>
  <w:style w:type="character" w:customStyle="1" w:styleId="188">
    <w:name w:val="正文首行缩进 2 Char1"/>
    <w:qFormat/>
    <w:uiPriority w:val="0"/>
    <w:rPr>
      <w:rFonts w:hint="eastAsia" w:ascii="宋体" w:hAnsi="宋体" w:eastAsia="仿宋_GB2312"/>
      <w:sz w:val="30"/>
      <w:szCs w:val="28"/>
    </w:rPr>
  </w:style>
  <w:style w:type="character" w:customStyle="1" w:styleId="189">
    <w:name w:val="正文文本缩进 Char1"/>
    <w:qFormat/>
    <w:uiPriority w:val="99"/>
  </w:style>
  <w:style w:type="character" w:customStyle="1" w:styleId="190">
    <w:name w:val=" Char Char3"/>
    <w:qFormat/>
    <w:uiPriority w:val="0"/>
    <w:rPr>
      <w:rFonts w:ascii="Arial" w:hAnsi="Arial" w:eastAsia="黑体"/>
      <w:b/>
      <w:bCs/>
      <w:kern w:val="2"/>
      <w:sz w:val="32"/>
      <w:szCs w:val="32"/>
      <w:lang w:val="en-US" w:eastAsia="zh-CN" w:bidi="ar-SA"/>
    </w:rPr>
  </w:style>
  <w:style w:type="character" w:customStyle="1" w:styleId="191">
    <w:name w:val="日期 Char1"/>
    <w:qFormat/>
    <w:uiPriority w:val="0"/>
    <w:rPr>
      <w:rFonts w:hint="default" w:ascii="Times New Roman" w:hAnsi="Times New Roman" w:eastAsia="宋体" w:cs="Times New Roman"/>
      <w:szCs w:val="20"/>
    </w:rPr>
  </w:style>
  <w:style w:type="character" w:customStyle="1" w:styleId="192">
    <w:name w:val="日期 Char2"/>
    <w:qFormat/>
    <w:uiPriority w:val="99"/>
    <w:rPr>
      <w:rFonts w:hint="eastAsia" w:ascii="仿宋_GB2312" w:eastAsia="仿宋_GB2312"/>
      <w:sz w:val="30"/>
    </w:rPr>
  </w:style>
  <w:style w:type="character" w:customStyle="1" w:styleId="193">
    <w:name w:val="标题 6 Char"/>
    <w:link w:val="9"/>
    <w:qFormat/>
    <w:uiPriority w:val="0"/>
    <w:rPr>
      <w:rFonts w:ascii="Arial" w:hAnsi="Arial" w:eastAsia="黑体"/>
      <w:b/>
      <w:bCs/>
      <w:sz w:val="24"/>
    </w:rPr>
  </w:style>
  <w:style w:type="character" w:customStyle="1" w:styleId="194">
    <w:name w:val="Char Char13"/>
    <w:qFormat/>
    <w:uiPriority w:val="0"/>
    <w:rPr>
      <w:rFonts w:hint="eastAsia" w:ascii="宋体" w:hAnsi="宋体" w:eastAsia="宋体"/>
      <w:kern w:val="2"/>
      <w:sz w:val="24"/>
      <w:lang w:val="en-US" w:eastAsia="zh-CN" w:bidi="ar-SA"/>
    </w:rPr>
  </w:style>
  <w:style w:type="character" w:customStyle="1" w:styleId="195">
    <w:name w:val="页脚 Char2"/>
    <w:semiHidden/>
    <w:qFormat/>
    <w:uiPriority w:val="99"/>
    <w:rPr>
      <w:kern w:val="2"/>
      <w:sz w:val="18"/>
      <w:szCs w:val="18"/>
    </w:rPr>
  </w:style>
  <w:style w:type="character" w:customStyle="1" w:styleId="196">
    <w:name w:val="x-tab-strip-text1"/>
    <w:basedOn w:val="44"/>
    <w:qFormat/>
    <w:uiPriority w:val="0"/>
  </w:style>
  <w:style w:type="character" w:customStyle="1" w:styleId="197">
    <w:name w:val="icon_db_gys"/>
    <w:basedOn w:val="44"/>
    <w:qFormat/>
    <w:uiPriority w:val="0"/>
  </w:style>
  <w:style w:type="character" w:customStyle="1" w:styleId="198">
    <w:name w:val="work_zt_ht"/>
    <w:basedOn w:val="44"/>
    <w:qFormat/>
    <w:uiPriority w:val="0"/>
  </w:style>
  <w:style w:type="character" w:customStyle="1" w:styleId="199">
    <w:name w:val="Char Char22"/>
    <w:qFormat/>
    <w:uiPriority w:val="0"/>
    <w:rPr>
      <w:rFonts w:hint="default" w:ascii="Arial" w:hAnsi="Arial" w:eastAsia="黑体" w:cs="Arial"/>
      <w:b/>
      <w:bCs/>
      <w:kern w:val="2"/>
      <w:sz w:val="32"/>
      <w:szCs w:val="32"/>
      <w:lang w:val="en-US" w:eastAsia="zh-CN" w:bidi="ar-SA"/>
    </w:rPr>
  </w:style>
  <w:style w:type="character" w:customStyle="1" w:styleId="200">
    <w:name w:val="纯文本 Char3"/>
    <w:semiHidden/>
    <w:qFormat/>
    <w:uiPriority w:val="99"/>
    <w:rPr>
      <w:rFonts w:hint="eastAsia" w:ascii="宋体" w:hAnsi="Courier New" w:eastAsia="宋体" w:cs="Courier New"/>
      <w:szCs w:val="21"/>
    </w:rPr>
  </w:style>
  <w:style w:type="character" w:customStyle="1" w:styleId="201">
    <w:name w:val="批注主题 Char1"/>
    <w:qFormat/>
    <w:uiPriority w:val="0"/>
    <w:rPr>
      <w:rFonts w:hint="eastAsia" w:ascii="仿宋_GB2312" w:eastAsia="仿宋_GB2312"/>
      <w:b/>
      <w:bCs/>
      <w:sz w:val="30"/>
    </w:rPr>
  </w:style>
  <w:style w:type="character" w:customStyle="1" w:styleId="202">
    <w:name w:val="文档结构图 Char"/>
    <w:link w:val="15"/>
    <w:qFormat/>
    <w:uiPriority w:val="0"/>
    <w:rPr>
      <w:rFonts w:ascii="宋体" w:hAnsi="Calibri" w:eastAsia="宋体" w:cs="宋体"/>
      <w:kern w:val="2"/>
      <w:sz w:val="18"/>
      <w:szCs w:val="18"/>
    </w:rPr>
  </w:style>
  <w:style w:type="character" w:customStyle="1" w:styleId="203">
    <w:name w:val="正文文本 2 Char3"/>
    <w:semiHidden/>
    <w:qFormat/>
    <w:uiPriority w:val="99"/>
    <w:rPr>
      <w:kern w:val="2"/>
      <w:sz w:val="21"/>
    </w:rPr>
  </w:style>
  <w:style w:type="character" w:customStyle="1" w:styleId="204">
    <w:name w:val="Comment Subject Char"/>
    <w:qFormat/>
    <w:locked/>
    <w:uiPriority w:val="0"/>
    <w:rPr>
      <w:b/>
      <w:bCs/>
      <w:kern w:val="2"/>
      <w:sz w:val="24"/>
      <w:szCs w:val="24"/>
    </w:rPr>
  </w:style>
  <w:style w:type="character" w:customStyle="1" w:styleId="205">
    <w:name w:val="kb_bzt1"/>
    <w:qFormat/>
    <w:uiPriority w:val="0"/>
    <w:rPr>
      <w:sz w:val="19"/>
      <w:szCs w:val="19"/>
    </w:rPr>
  </w:style>
  <w:style w:type="character" w:customStyle="1" w:styleId="206">
    <w:name w:val="正文文本 2 Char"/>
    <w:link w:val="35"/>
    <w:qFormat/>
    <w:uiPriority w:val="0"/>
    <w:rPr>
      <w:kern w:val="2"/>
      <w:sz w:val="24"/>
    </w:rPr>
  </w:style>
  <w:style w:type="character" w:customStyle="1" w:styleId="207">
    <w:name w:val="work_zt_splc"/>
    <w:basedOn w:val="44"/>
    <w:qFormat/>
    <w:uiPriority w:val="0"/>
  </w:style>
  <w:style w:type="character" w:customStyle="1" w:styleId="208">
    <w:name w:val="纯文本 Char1"/>
    <w:qFormat/>
    <w:locked/>
    <w:uiPriority w:val="0"/>
    <w:rPr>
      <w:rFonts w:ascii="宋体" w:hAnsi="Courier New"/>
      <w:kern w:val="2"/>
      <w:sz w:val="21"/>
    </w:rPr>
  </w:style>
  <w:style w:type="character" w:customStyle="1" w:styleId="209">
    <w:name w:val="Char Char11"/>
    <w:qFormat/>
    <w:uiPriority w:val="0"/>
    <w:rPr>
      <w:kern w:val="2"/>
      <w:sz w:val="26"/>
    </w:rPr>
  </w:style>
  <w:style w:type="character" w:customStyle="1" w:styleId="210">
    <w:name w:val="Char Char10"/>
    <w:qFormat/>
    <w:uiPriority w:val="0"/>
    <w:rPr>
      <w:rFonts w:hint="eastAsia" w:ascii="宋体" w:hAnsi="Courier New" w:eastAsia="宋体" w:cs="宋体"/>
      <w:kern w:val="2"/>
      <w:sz w:val="24"/>
      <w:szCs w:val="24"/>
      <w:lang w:val="en-US" w:eastAsia="zh-CN"/>
    </w:rPr>
  </w:style>
  <w:style w:type="character" w:customStyle="1" w:styleId="211">
    <w:name w:val="icon-list"/>
    <w:basedOn w:val="44"/>
    <w:qFormat/>
    <w:uiPriority w:val="0"/>
  </w:style>
  <w:style w:type="character" w:customStyle="1" w:styleId="212">
    <w:name w:val="work_zt_xm"/>
    <w:basedOn w:val="44"/>
    <w:qFormat/>
    <w:uiPriority w:val="0"/>
  </w:style>
  <w:style w:type="character" w:customStyle="1" w:styleId="213">
    <w:name w:val="批注文字 Char"/>
    <w:link w:val="16"/>
    <w:qFormat/>
    <w:uiPriority w:val="0"/>
    <w:rPr>
      <w:rFonts w:eastAsia="宋体"/>
      <w:kern w:val="2"/>
      <w:sz w:val="21"/>
    </w:rPr>
  </w:style>
  <w:style w:type="character" w:customStyle="1" w:styleId="214">
    <w:name w:val="font41"/>
    <w:qFormat/>
    <w:uiPriority w:val="0"/>
    <w:rPr>
      <w:rFonts w:hint="eastAsia" w:ascii="宋体" w:hAnsi="宋体" w:eastAsia="宋体" w:cs="宋体"/>
      <w:color w:val="000000"/>
      <w:sz w:val="21"/>
      <w:szCs w:val="21"/>
      <w:u w:val="none"/>
    </w:rPr>
  </w:style>
  <w:style w:type="character" w:customStyle="1" w:styleId="215">
    <w:name w:val="正文首行缩进 Char2"/>
    <w:qFormat/>
    <w:uiPriority w:val="99"/>
    <w:rPr>
      <w:rFonts w:hint="eastAsia" w:ascii="仿宋_GB2312" w:eastAsia="仿宋_GB2312"/>
      <w:kern w:val="2"/>
      <w:sz w:val="30"/>
    </w:rPr>
  </w:style>
  <w:style w:type="character" w:customStyle="1" w:styleId="216">
    <w:name w:val="p-tab-simple-mode2"/>
    <w:basedOn w:val="44"/>
    <w:qFormat/>
    <w:uiPriority w:val="0"/>
  </w:style>
  <w:style w:type="character" w:customStyle="1" w:styleId="217">
    <w:name w:val="zt_cs"/>
    <w:qFormat/>
    <w:uiPriority w:val="0"/>
    <w:rPr>
      <w:color w:val="FFFFFF"/>
      <w:shd w:val="clear" w:color="auto" w:fill="FF9933"/>
    </w:rPr>
  </w:style>
  <w:style w:type="character" w:customStyle="1" w:styleId="218">
    <w:name w:val="work_dcrw"/>
    <w:qFormat/>
    <w:uiPriority w:val="0"/>
    <w:rPr>
      <w:bdr w:val="single" w:color="DBDBBD" w:sz="6" w:space="0"/>
    </w:rPr>
  </w:style>
  <w:style w:type="character" w:customStyle="1" w:styleId="219">
    <w:name w:val="正文文本缩进 3 Char2"/>
    <w:qFormat/>
    <w:uiPriority w:val="99"/>
    <w:rPr>
      <w:rFonts w:hint="eastAsia" w:ascii="仿宋_GB2312" w:eastAsia="仿宋_GB2312"/>
      <w:sz w:val="16"/>
      <w:szCs w:val="16"/>
    </w:rPr>
  </w:style>
  <w:style w:type="character" w:customStyle="1" w:styleId="220">
    <w:name w:val="标题 3 Char"/>
    <w:link w:val="6"/>
    <w:qFormat/>
    <w:uiPriority w:val="0"/>
    <w:rPr>
      <w:rFonts w:ascii="黑体" w:hAnsi="Calibri" w:eastAsia="黑体"/>
      <w:kern w:val="2"/>
      <w:sz w:val="28"/>
    </w:rPr>
  </w:style>
  <w:style w:type="character" w:customStyle="1" w:styleId="221">
    <w:name w:val="文档结构图 Char1"/>
    <w:qFormat/>
    <w:uiPriority w:val="0"/>
    <w:rPr>
      <w:rFonts w:hint="eastAsia" w:ascii="宋体" w:hAnsi="宋体" w:eastAsia="宋体"/>
      <w:sz w:val="18"/>
      <w:szCs w:val="18"/>
    </w:rPr>
  </w:style>
  <w:style w:type="character" w:customStyle="1" w:styleId="222">
    <w:name w:val="11 Char"/>
    <w:link w:val="134"/>
    <w:qFormat/>
    <w:locked/>
    <w:uiPriority w:val="0"/>
    <w:rPr>
      <w:rFonts w:ascii="Times New Roman" w:hAnsi="宋体"/>
      <w:b/>
      <w:kern w:val="2"/>
      <w:sz w:val="21"/>
      <w:szCs w:val="21"/>
    </w:rPr>
  </w:style>
  <w:style w:type="character" w:customStyle="1" w:styleId="223">
    <w:name w:val="纯文本 Char"/>
    <w:link w:val="22"/>
    <w:qFormat/>
    <w:uiPriority w:val="0"/>
    <w:rPr>
      <w:rFonts w:ascii="宋体" w:hAnsi="Calibri"/>
      <w:kern w:val="2"/>
      <w:sz w:val="21"/>
      <w:szCs w:val="22"/>
    </w:rPr>
  </w:style>
  <w:style w:type="character" w:customStyle="1" w:styleId="224">
    <w:name w:val="文档结构图 Char3"/>
    <w:semiHidden/>
    <w:qFormat/>
    <w:uiPriority w:val="99"/>
    <w:rPr>
      <w:rFonts w:hint="eastAsia" w:ascii="宋体" w:hAnsi="宋体" w:eastAsia="宋体"/>
      <w:kern w:val="2"/>
      <w:sz w:val="18"/>
      <w:szCs w:val="18"/>
    </w:rPr>
  </w:style>
  <w:style w:type="character" w:customStyle="1" w:styleId="225">
    <w:name w:val="正文首行缩进 Char3"/>
    <w:basedOn w:val="226"/>
    <w:semiHidden/>
    <w:qFormat/>
    <w:uiPriority w:val="99"/>
  </w:style>
  <w:style w:type="character" w:customStyle="1" w:styleId="226">
    <w:name w:val="正文文本 Char2"/>
    <w:basedOn w:val="44"/>
    <w:semiHidden/>
    <w:qFormat/>
    <w:uiPriority w:val="99"/>
  </w:style>
  <w:style w:type="character" w:customStyle="1" w:styleId="227">
    <w:name w:val="kb_bzt"/>
    <w:qFormat/>
    <w:uiPriority w:val="0"/>
    <w:rPr>
      <w:color w:val="666666"/>
      <w:sz w:val="18"/>
      <w:szCs w:val="18"/>
    </w:rPr>
  </w:style>
  <w:style w:type="character" w:customStyle="1" w:styleId="228">
    <w:name w:val="正文文本 3 Char2"/>
    <w:semiHidden/>
    <w:qFormat/>
    <w:uiPriority w:val="99"/>
    <w:rPr>
      <w:sz w:val="16"/>
      <w:szCs w:val="16"/>
    </w:rPr>
  </w:style>
  <w:style w:type="character" w:customStyle="1" w:styleId="229">
    <w:name w:val="正文文本 Char1"/>
    <w:link w:val="2"/>
    <w:qFormat/>
    <w:uiPriority w:val="99"/>
    <w:rPr>
      <w:rFonts w:eastAsia="宋体"/>
      <w:kern w:val="2"/>
      <w:sz w:val="21"/>
    </w:rPr>
  </w:style>
  <w:style w:type="character" w:customStyle="1" w:styleId="230">
    <w:name w:val="正文文本缩进 2 Char"/>
    <w:link w:val="25"/>
    <w:qFormat/>
    <w:uiPriority w:val="0"/>
    <w:rPr>
      <w:kern w:val="2"/>
      <w:sz w:val="28"/>
      <w:szCs w:val="22"/>
    </w:rPr>
  </w:style>
  <w:style w:type="character" w:customStyle="1" w:styleId="231">
    <w:name w:val="正文文本缩进 Char3"/>
    <w:semiHidden/>
    <w:qFormat/>
    <w:locked/>
    <w:uiPriority w:val="99"/>
    <w:rPr>
      <w:kern w:val="2"/>
      <w:sz w:val="21"/>
    </w:rPr>
  </w:style>
  <w:style w:type="character" w:customStyle="1" w:styleId="232">
    <w:name w:val="work_zt_zj"/>
    <w:basedOn w:val="44"/>
    <w:qFormat/>
    <w:uiPriority w:val="0"/>
  </w:style>
  <w:style w:type="character" w:customStyle="1" w:styleId="233">
    <w:name w:val="f-tab-split2"/>
    <w:basedOn w:val="44"/>
    <w:qFormat/>
    <w:uiPriority w:val="0"/>
  </w:style>
  <w:style w:type="character" w:customStyle="1" w:styleId="234">
    <w:name w:val="font31"/>
    <w:qFormat/>
    <w:uiPriority w:val="0"/>
    <w:rPr>
      <w:rFonts w:hint="eastAsia" w:ascii="宋体" w:hAnsi="宋体" w:eastAsia="宋体" w:cs="宋体"/>
      <w:color w:val="FF0000"/>
      <w:sz w:val="21"/>
      <w:szCs w:val="21"/>
      <w:u w:val="none"/>
    </w:rPr>
  </w:style>
  <w:style w:type="character" w:customStyle="1" w:styleId="235">
    <w:name w:val="正文文本 3 Char"/>
    <w:link w:val="17"/>
    <w:qFormat/>
    <w:uiPriority w:val="0"/>
    <w:rPr>
      <w:rFonts w:ascii="宋体" w:hAnsi="Calibri" w:eastAsia="宋体"/>
      <w:kern w:val="2"/>
      <w:sz w:val="24"/>
    </w:rPr>
  </w:style>
  <w:style w:type="character" w:customStyle="1" w:styleId="236">
    <w:name w:val=" Char Char5"/>
    <w:qFormat/>
    <w:uiPriority w:val="0"/>
    <w:rPr>
      <w:rFonts w:ascii="宋体" w:hAnsi="Courier New" w:eastAsia="宋体"/>
      <w:kern w:val="2"/>
      <w:sz w:val="21"/>
      <w:lang w:val="en-US" w:eastAsia="zh-CN" w:bidi="ar-SA"/>
    </w:rPr>
  </w:style>
  <w:style w:type="character" w:customStyle="1" w:styleId="237">
    <w:name w:val="日期 Char4"/>
    <w:semiHidden/>
    <w:qFormat/>
    <w:uiPriority w:val="99"/>
    <w:rPr>
      <w:kern w:val="2"/>
      <w:sz w:val="21"/>
    </w:rPr>
  </w:style>
  <w:style w:type="character" w:customStyle="1" w:styleId="238">
    <w:name w:val="x-tab-strip-text2"/>
    <w:qFormat/>
    <w:uiPriority w:val="0"/>
  </w:style>
  <w:style w:type="character" w:customStyle="1" w:styleId="239">
    <w:name w:val="标题 2 Char1"/>
    <w:qFormat/>
    <w:uiPriority w:val="9"/>
    <w:rPr>
      <w:rFonts w:hint="default" w:ascii="Cambria" w:hAnsi="Cambria" w:eastAsia="宋体" w:cs="Times New Roman"/>
      <w:bCs/>
      <w:kern w:val="0"/>
      <w:sz w:val="24"/>
      <w:szCs w:val="24"/>
    </w:rPr>
  </w:style>
  <w:style w:type="character" w:customStyle="1" w:styleId="240">
    <w:name w:val="纯文本 Char4"/>
    <w:semiHidden/>
    <w:qFormat/>
    <w:uiPriority w:val="99"/>
    <w:rPr>
      <w:rFonts w:hint="eastAsia" w:ascii="宋体" w:hAnsi="Courier New" w:eastAsia="宋体" w:cs="Courier New"/>
      <w:kern w:val="2"/>
      <w:sz w:val="21"/>
      <w:szCs w:val="21"/>
    </w:rPr>
  </w:style>
  <w:style w:type="character" w:customStyle="1" w:styleId="241">
    <w:name w:val="h Char1"/>
    <w:qFormat/>
    <w:locked/>
    <w:uiPriority w:val="0"/>
    <w:rPr>
      <w:rFonts w:hint="eastAsia" w:ascii="仿宋_GB2312" w:eastAsia="仿宋_GB2312"/>
      <w:sz w:val="18"/>
    </w:rPr>
  </w:style>
  <w:style w:type="character" w:customStyle="1" w:styleId="242">
    <w:name w:val="标题 4 Char"/>
    <w:link w:val="7"/>
    <w:qFormat/>
    <w:uiPriority w:val="0"/>
    <w:rPr>
      <w:rFonts w:ascii="Arial" w:hAnsi="Arial" w:eastAsia="黑体"/>
      <w:b/>
      <w:bCs/>
      <w:kern w:val="2"/>
      <w:sz w:val="28"/>
      <w:szCs w:val="28"/>
    </w:rPr>
  </w:style>
  <w:style w:type="character" w:customStyle="1" w:styleId="243">
    <w:name w:val="HTML 预设格式 Char2"/>
    <w:semiHidden/>
    <w:qFormat/>
    <w:uiPriority w:val="99"/>
    <w:rPr>
      <w:rFonts w:hint="default" w:ascii="Courier New" w:hAnsi="Courier New" w:cs="Courier New"/>
      <w:sz w:val="20"/>
      <w:szCs w:val="20"/>
    </w:rPr>
  </w:style>
  <w:style w:type="character" w:customStyle="1" w:styleId="244">
    <w:name w:val="页脚 Char1"/>
    <w:semiHidden/>
    <w:qFormat/>
    <w:uiPriority w:val="99"/>
    <w:rPr>
      <w:sz w:val="18"/>
      <w:szCs w:val="18"/>
    </w:rPr>
  </w:style>
  <w:style w:type="character" w:customStyle="1" w:styleId="245">
    <w:name w:val="正文文本 3 Char1"/>
    <w:qFormat/>
    <w:uiPriority w:val="0"/>
    <w:rPr>
      <w:rFonts w:hint="eastAsia" w:ascii="仿宋_GB2312" w:eastAsia="仿宋_GB2312"/>
      <w:sz w:val="16"/>
      <w:szCs w:val="16"/>
    </w:rPr>
  </w:style>
  <w:style w:type="character" w:customStyle="1" w:styleId="246">
    <w:name w:val="正文文本 2 Char2"/>
    <w:basedOn w:val="44"/>
    <w:semiHidden/>
    <w:qFormat/>
    <w:uiPriority w:val="99"/>
  </w:style>
  <w:style w:type="character" w:customStyle="1" w:styleId="247">
    <w:name w:val="文档结构图 Char2"/>
    <w:semiHidden/>
    <w:qFormat/>
    <w:uiPriority w:val="99"/>
    <w:rPr>
      <w:rFonts w:hint="eastAsia" w:ascii="宋体" w:hAnsi="宋体" w:eastAsia="宋体"/>
      <w:sz w:val="18"/>
      <w:szCs w:val="18"/>
    </w:rPr>
  </w:style>
  <w:style w:type="character" w:customStyle="1" w:styleId="248">
    <w:name w:val="icon_db_zj"/>
    <w:basedOn w:val="44"/>
    <w:qFormat/>
    <w:uiPriority w:val="0"/>
  </w:style>
  <w:style w:type="character" w:customStyle="1" w:styleId="249">
    <w:name w:val="hover21"/>
    <w:qFormat/>
    <w:uiPriority w:val="0"/>
    <w:rPr>
      <w:u w:val="single"/>
    </w:rPr>
  </w:style>
  <w:style w:type="character" w:customStyle="1" w:styleId="250">
    <w:name w:val="正文首行缩进 2 Char"/>
    <w:link w:val="41"/>
    <w:qFormat/>
    <w:uiPriority w:val="0"/>
    <w:rPr>
      <w:rFonts w:eastAsia="宋体"/>
      <w:kern w:val="2"/>
      <w:sz w:val="21"/>
      <w:szCs w:val="24"/>
    </w:rPr>
  </w:style>
  <w:style w:type="character" w:customStyle="1" w:styleId="251">
    <w:name w:val="正文文本 2 Char1"/>
    <w:qFormat/>
    <w:uiPriority w:val="0"/>
    <w:rPr>
      <w:kern w:val="2"/>
      <w:sz w:val="21"/>
    </w:rPr>
  </w:style>
  <w:style w:type="character" w:customStyle="1" w:styleId="252">
    <w:name w:val="日期 Char"/>
    <w:link w:val="24"/>
    <w:qFormat/>
    <w:uiPriority w:val="0"/>
    <w:rPr>
      <w:rFonts w:eastAsia="宋体"/>
      <w:kern w:val="2"/>
      <w:sz w:val="21"/>
    </w:rPr>
  </w:style>
  <w:style w:type="character" w:customStyle="1" w:styleId="253">
    <w:name w:val="标题 Char"/>
    <w:link w:val="3"/>
    <w:qFormat/>
    <w:uiPriority w:val="10"/>
    <w:rPr>
      <w:rFonts w:ascii="Arial" w:hAnsi="Arial" w:eastAsia="宋体"/>
      <w:b/>
      <w:sz w:val="32"/>
    </w:rPr>
  </w:style>
  <w:style w:type="character" w:customStyle="1" w:styleId="254">
    <w:name w:val="批注文字 Char3"/>
    <w:semiHidden/>
    <w:qFormat/>
    <w:locked/>
    <w:uiPriority w:val="99"/>
    <w:rPr>
      <w:kern w:val="2"/>
      <w:sz w:val="21"/>
    </w:rPr>
  </w:style>
  <w:style w:type="character" w:customStyle="1" w:styleId="255">
    <w:name w:val="t-exception-class-name"/>
    <w:qFormat/>
    <w:uiPriority w:val="0"/>
    <w:rPr>
      <w:b/>
      <w:color w:val="0000FF"/>
      <w:sz w:val="24"/>
      <w:szCs w:val="24"/>
      <w:shd w:val="clear" w:color="auto" w:fill="E1E1E1"/>
    </w:rPr>
  </w:style>
  <w:style w:type="character" w:customStyle="1" w:styleId="256">
    <w:name w:val="正文文本缩进 3 Char1"/>
    <w:qFormat/>
    <w:uiPriority w:val="0"/>
    <w:rPr>
      <w:rFonts w:hint="eastAsia" w:ascii="仿宋_GB2312" w:eastAsia="仿宋_GB2312"/>
      <w:sz w:val="16"/>
      <w:szCs w:val="16"/>
    </w:rPr>
  </w:style>
  <w:style w:type="character" w:customStyle="1" w:styleId="257">
    <w:name w:val="正文文本缩进 3 Char"/>
    <w:link w:val="32"/>
    <w:qFormat/>
    <w:uiPriority w:val="0"/>
    <w:rPr>
      <w:rFonts w:ascii="Calibri" w:hAnsi="Calibri" w:eastAsia="宋体"/>
      <w:kern w:val="2"/>
      <w:sz w:val="16"/>
      <w:szCs w:val="16"/>
    </w:rPr>
  </w:style>
  <w:style w:type="character" w:customStyle="1" w:styleId="258">
    <w:name w:val="标题 8 Char"/>
    <w:link w:val="11"/>
    <w:qFormat/>
    <w:uiPriority w:val="0"/>
    <w:rPr>
      <w:rFonts w:ascii="Arial" w:hAnsi="Arial" w:eastAsia="黑体"/>
      <w:sz w:val="24"/>
    </w:rPr>
  </w:style>
  <w:style w:type="character" w:customStyle="1" w:styleId="259">
    <w:name w:val="孙普文字 Char1"/>
    <w:qFormat/>
    <w:uiPriority w:val="0"/>
    <w:rPr>
      <w:rFonts w:hint="eastAsia" w:ascii="宋体" w:hAnsi="Courier New" w:eastAsia="宋体"/>
      <w:kern w:val="2"/>
      <w:sz w:val="21"/>
      <w:lang w:val="en-US" w:eastAsia="zh-CN" w:bidi="ar-SA"/>
    </w:rPr>
  </w:style>
  <w:style w:type="character" w:customStyle="1" w:styleId="260">
    <w:name w:val="Char Char12"/>
    <w:qFormat/>
    <w:uiPriority w:val="0"/>
    <w:rPr>
      <w:rFonts w:hint="eastAsia" w:ascii="仿宋_GB2312" w:eastAsia="仿宋_GB2312"/>
      <w:sz w:val="18"/>
    </w:rPr>
  </w:style>
  <w:style w:type="character" w:customStyle="1" w:styleId="261">
    <w:name w:val="icon_db_ht"/>
    <w:basedOn w:val="44"/>
    <w:qFormat/>
    <w:uiPriority w:val="0"/>
  </w:style>
  <w:style w:type="character" w:customStyle="1" w:styleId="262">
    <w:name w:val="批注主题 Char"/>
    <w:link w:val="39"/>
    <w:qFormat/>
    <w:uiPriority w:val="99"/>
    <w:rPr>
      <w:rFonts w:eastAsia="宋体"/>
      <w:kern w:val="2"/>
      <w:sz w:val="21"/>
    </w:rPr>
  </w:style>
  <w:style w:type="character" w:customStyle="1" w:styleId="263">
    <w:name w:val="HTML 预设格式 Char3"/>
    <w:semiHidden/>
    <w:qFormat/>
    <w:uiPriority w:val="99"/>
    <w:rPr>
      <w:rFonts w:hint="default" w:ascii="Courier New" w:hAnsi="Courier New" w:cs="Courier New"/>
      <w:kern w:val="2"/>
    </w:rPr>
  </w:style>
  <w:style w:type="character" w:customStyle="1" w:styleId="264">
    <w:name w:val="icon-cmt"/>
    <w:basedOn w:val="44"/>
    <w:qFormat/>
    <w:uiPriority w:val="0"/>
  </w:style>
  <w:style w:type="character" w:customStyle="1" w:styleId="265">
    <w:name w:val="zdly-condition-span"/>
    <w:qFormat/>
    <w:uiPriority w:val="0"/>
    <w:rPr>
      <w:b/>
      <w:color w:val="005F97"/>
      <w:sz w:val="18"/>
      <w:szCs w:val="18"/>
    </w:rPr>
  </w:style>
  <w:style w:type="character" w:customStyle="1" w:styleId="266">
    <w:name w:val="style_kwd"/>
    <w:basedOn w:val="44"/>
    <w:qFormat/>
    <w:uiPriority w:val="0"/>
  </w:style>
  <w:style w:type="character" w:customStyle="1" w:styleId="267">
    <w:name w:val="p-tab-simplemode"/>
    <w:basedOn w:val="44"/>
    <w:qFormat/>
    <w:uiPriority w:val="0"/>
  </w:style>
  <w:style w:type="character" w:customStyle="1" w:styleId="268">
    <w:name w:val="页眉 Char2"/>
    <w:semiHidden/>
    <w:qFormat/>
    <w:uiPriority w:val="99"/>
    <w:rPr>
      <w:kern w:val="2"/>
      <w:sz w:val="18"/>
      <w:szCs w:val="18"/>
    </w:rPr>
  </w:style>
  <w:style w:type="character" w:customStyle="1" w:styleId="269">
    <w:name w:val="x-tab-strip-text5"/>
    <w:qFormat/>
    <w:uiPriority w:val="0"/>
    <w:rPr>
      <w:b/>
      <w:color w:val="15428B"/>
    </w:rPr>
  </w:style>
  <w:style w:type="character" w:customStyle="1" w:styleId="270">
    <w:name w:val="正文文本 Char3"/>
    <w:semiHidden/>
    <w:qFormat/>
    <w:uiPriority w:val="99"/>
    <w:rPr>
      <w:kern w:val="2"/>
      <w:sz w:val="21"/>
    </w:rPr>
  </w:style>
  <w:style w:type="character" w:customStyle="1" w:styleId="271">
    <w:name w:val="HTML 预设格式 Char1"/>
    <w:qFormat/>
    <w:uiPriority w:val="0"/>
    <w:rPr>
      <w:rFonts w:hint="default" w:ascii="Courier New" w:hAnsi="Courier New" w:cs="Courier New"/>
      <w:kern w:val="2"/>
    </w:rPr>
  </w:style>
  <w:style w:type="character" w:customStyle="1" w:styleId="272">
    <w:name w:val="button-right13"/>
    <w:basedOn w:val="44"/>
    <w:qFormat/>
    <w:uiPriority w:val="0"/>
  </w:style>
  <w:style w:type="character" w:customStyle="1" w:styleId="273">
    <w:name w:val="正文首行缩进 Char"/>
    <w:link w:val="40"/>
    <w:qFormat/>
    <w:uiPriority w:val="0"/>
    <w:rPr>
      <w:rFonts w:eastAsia="宋体"/>
      <w:kern w:val="2"/>
      <w:sz w:val="21"/>
      <w:szCs w:val="24"/>
      <w:lang w:val="en-US" w:eastAsia="zh-CN" w:bidi="ar-SA"/>
    </w:rPr>
  </w:style>
  <w:style w:type="character" w:customStyle="1" w:styleId="274">
    <w:name w:val="font21"/>
    <w:qFormat/>
    <w:uiPriority w:val="0"/>
    <w:rPr>
      <w:rFonts w:hint="eastAsia" w:ascii="宋体" w:hAnsi="宋体" w:eastAsia="宋体"/>
      <w:color w:val="000000"/>
      <w:sz w:val="20"/>
      <w:szCs w:val="20"/>
      <w:u w:val="none"/>
    </w:rPr>
  </w:style>
  <w:style w:type="character" w:customStyle="1" w:styleId="275">
    <w:name w:val="HTML 预设格式 Char"/>
    <w:link w:val="36"/>
    <w:qFormat/>
    <w:uiPriority w:val="0"/>
    <w:rPr>
      <w:rFonts w:ascii="宋体" w:hAnsi="宋体" w:cs="宋体"/>
      <w:sz w:val="24"/>
      <w:szCs w:val="24"/>
    </w:rPr>
  </w:style>
  <w:style w:type="character" w:customStyle="1" w:styleId="276">
    <w:name w:val="批注框文本 Char1"/>
    <w:semiHidden/>
    <w:qFormat/>
    <w:uiPriority w:val="99"/>
    <w:rPr>
      <w:kern w:val="2"/>
      <w:sz w:val="18"/>
      <w:szCs w:val="18"/>
    </w:rPr>
  </w:style>
  <w:style w:type="character" w:customStyle="1" w:styleId="277">
    <w:name w:val="work_zt_gys"/>
    <w:basedOn w:val="44"/>
    <w:qFormat/>
    <w:uiPriority w:val="0"/>
  </w:style>
  <w:style w:type="character" w:customStyle="1" w:styleId="278">
    <w:name w:val="标题 5 Char"/>
    <w:link w:val="8"/>
    <w:qFormat/>
    <w:uiPriority w:val="0"/>
    <w:rPr>
      <w:rFonts w:eastAsia="宋体"/>
      <w:b/>
      <w:bCs/>
      <w:kern w:val="2"/>
      <w:sz w:val="28"/>
      <w:szCs w:val="28"/>
    </w:rPr>
  </w:style>
  <w:style w:type="character" w:customStyle="1" w:styleId="279">
    <w:name w:val="页脚 Char"/>
    <w:link w:val="27"/>
    <w:qFormat/>
    <w:uiPriority w:val="0"/>
    <w:rPr>
      <w:rFonts w:ascii="Calibri" w:hAnsi="Calibri" w:eastAsia="宋体"/>
      <w:kern w:val="2"/>
      <w:sz w:val="18"/>
      <w:szCs w:val="22"/>
    </w:rPr>
  </w:style>
  <w:style w:type="character" w:customStyle="1" w:styleId="280">
    <w:name w:val="正文文本缩进 3 Char3"/>
    <w:semiHidden/>
    <w:qFormat/>
    <w:uiPriority w:val="99"/>
    <w:rPr>
      <w:sz w:val="16"/>
      <w:szCs w:val="16"/>
    </w:rPr>
  </w:style>
  <w:style w:type="character" w:customStyle="1" w:styleId="281">
    <w:name w:val="button-right12"/>
    <w:qFormat/>
    <w:uiPriority w:val="0"/>
  </w:style>
  <w:style w:type="character" w:customStyle="1" w:styleId="282">
    <w:name w:val="页眉 Char"/>
    <w:link w:val="28"/>
    <w:qFormat/>
    <w:uiPriority w:val="0"/>
    <w:rPr>
      <w:rFonts w:eastAsia="宋体"/>
      <w:kern w:val="2"/>
      <w:sz w:val="18"/>
    </w:rPr>
  </w:style>
  <w:style w:type="character" w:customStyle="1" w:styleId="283">
    <w:name w:val="Comment Text Char"/>
    <w:qFormat/>
    <w:uiPriority w:val="0"/>
  </w:style>
  <w:style w:type="character" w:customStyle="1" w:styleId="284">
    <w:name w:val="页眉 Char1"/>
    <w:semiHidden/>
    <w:qFormat/>
    <w:uiPriority w:val="99"/>
    <w:rPr>
      <w:sz w:val="18"/>
      <w:szCs w:val="18"/>
    </w:rPr>
  </w:style>
  <w:style w:type="character" w:customStyle="1" w:styleId="285">
    <w:name w:val="批注主题 Char3"/>
    <w:semiHidden/>
    <w:qFormat/>
    <w:uiPriority w:val="99"/>
    <w:rPr>
      <w:b/>
      <w:bCs/>
    </w:rPr>
  </w:style>
  <w:style w:type="character" w:customStyle="1" w:styleId="286">
    <w:name w:val="icon_db_splc"/>
    <w:basedOn w:val="44"/>
    <w:qFormat/>
    <w:uiPriority w:val="0"/>
  </w:style>
  <w:style w:type="character" w:customStyle="1" w:styleId="287">
    <w:name w:val="editinfortdbg6"/>
    <w:basedOn w:val="44"/>
    <w:qFormat/>
    <w:uiPriority w:val="0"/>
  </w:style>
  <w:style w:type="character" w:customStyle="1" w:styleId="288">
    <w:name w:val="x-tab-strip-text"/>
    <w:qFormat/>
    <w:uiPriority w:val="0"/>
    <w:rPr>
      <w:color w:val="15428B"/>
    </w:rPr>
  </w:style>
  <w:style w:type="character" w:customStyle="1" w:styleId="289">
    <w:name w:val="kb_bmc"/>
    <w:basedOn w:val="44"/>
    <w:qFormat/>
    <w:uiPriority w:val="0"/>
  </w:style>
  <w:style w:type="character" w:customStyle="1" w:styleId="290">
    <w:name w:val="批注主题 Char2"/>
    <w:qFormat/>
    <w:uiPriority w:val="99"/>
    <w:rPr>
      <w:rFonts w:hint="eastAsia" w:ascii="仿宋_GB2312" w:eastAsia="仿宋_GB2312"/>
      <w:b/>
      <w:bCs/>
      <w:sz w:val="30"/>
    </w:rPr>
  </w:style>
  <w:style w:type="character" w:customStyle="1" w:styleId="291">
    <w:name w:val="icon_db_cg"/>
    <w:basedOn w:val="44"/>
    <w:qFormat/>
    <w:uiPriority w:val="0"/>
  </w:style>
  <w:style w:type="character" w:customStyle="1" w:styleId="292">
    <w:name w:val="font11"/>
    <w:qFormat/>
    <w:uiPriority w:val="0"/>
    <w:rPr>
      <w:rFonts w:hint="eastAsia" w:ascii="宋体" w:hAnsi="宋体" w:eastAsia="宋体" w:cs="宋体"/>
      <w:color w:val="FF0000"/>
      <w:sz w:val="21"/>
      <w:szCs w:val="21"/>
      <w:u w:val="none"/>
    </w:rPr>
  </w:style>
  <w:style w:type="character" w:customStyle="1" w:styleId="293">
    <w:name w:val="正文文本缩进 Char"/>
    <w:link w:val="18"/>
    <w:qFormat/>
    <w:uiPriority w:val="0"/>
    <w:rPr>
      <w:rFonts w:eastAsia="宋体"/>
      <w:kern w:val="2"/>
      <w:sz w:val="21"/>
    </w:rPr>
  </w:style>
  <w:style w:type="character" w:customStyle="1" w:styleId="294">
    <w:name w:val="正文文本 Char"/>
    <w:qFormat/>
    <w:uiPriority w:val="0"/>
    <w:rPr>
      <w:rFonts w:eastAsia="宋体"/>
      <w:kern w:val="2"/>
      <w:sz w:val="21"/>
      <w:szCs w:val="24"/>
      <w:lang w:val="en-US" w:eastAsia="zh-CN" w:bidi="ar-SA"/>
    </w:rPr>
  </w:style>
  <w:style w:type="character" w:customStyle="1" w:styleId="295">
    <w:name w:val="zt_zc"/>
    <w:qFormat/>
    <w:uiPriority w:val="0"/>
    <w:rPr>
      <w:color w:val="FFFFFF"/>
      <w:shd w:val="clear" w:color="auto" w:fill="4CBF4A"/>
    </w:rPr>
  </w:style>
  <w:style w:type="character" w:customStyle="1" w:styleId="296">
    <w:name w:val="font01"/>
    <w:qFormat/>
    <w:uiPriority w:val="0"/>
    <w:rPr>
      <w:rFonts w:ascii="Calibri" w:hAnsi="Calibri" w:cs="Calibri"/>
      <w:color w:val="000000"/>
      <w:sz w:val="21"/>
      <w:szCs w:val="21"/>
      <w:u w:val="none"/>
    </w:rPr>
  </w:style>
  <w:style w:type="character" w:customStyle="1" w:styleId="297">
    <w:name w:val="zt_th"/>
    <w:qFormat/>
    <w:uiPriority w:val="0"/>
    <w:rPr>
      <w:color w:val="FFFFFF"/>
      <w:sz w:val="18"/>
      <w:szCs w:val="18"/>
      <w:shd w:val="clear" w:color="auto" w:fill="FF0000"/>
    </w:rPr>
  </w:style>
  <w:style w:type="character" w:customStyle="1" w:styleId="298">
    <w:name w:val="work_zt_cg"/>
    <w:basedOn w:val="44"/>
    <w:qFormat/>
    <w:uiPriority w:val="0"/>
  </w:style>
  <w:style w:type="character" w:customStyle="1" w:styleId="299">
    <w:name w:val="x-tab-strip-text3"/>
    <w:qFormat/>
    <w:uiPriority w:val="0"/>
    <w:rPr>
      <w:rFonts w:ascii="Tahoma" w:hAnsi="Tahoma" w:eastAsia="Tahoma" w:cs="Tahoma"/>
      <w:color w:val="416AA3"/>
      <w:sz w:val="16"/>
      <w:szCs w:val="16"/>
    </w:rPr>
  </w:style>
  <w:style w:type="character" w:customStyle="1" w:styleId="300">
    <w:name w:val="日期 Char3"/>
    <w:basedOn w:val="44"/>
    <w:semiHidden/>
    <w:qFormat/>
    <w:uiPriority w:val="99"/>
  </w:style>
  <w:style w:type="character" w:customStyle="1" w:styleId="301">
    <w:name w:val="无间隔 Char"/>
    <w:link w:val="66"/>
    <w:qFormat/>
    <w:locked/>
    <w:uiPriority w:val="1"/>
    <w:rPr>
      <w:kern w:val="2"/>
      <w:sz w:val="24"/>
      <w:lang w:val="en-US" w:eastAsia="zh-CN" w:bidi="ar-SA"/>
    </w:rPr>
  </w:style>
  <w:style w:type="character" w:customStyle="1" w:styleId="302">
    <w:name w:val="批注框文本 Char"/>
    <w:link w:val="26"/>
    <w:qFormat/>
    <w:uiPriority w:val="99"/>
    <w:rPr>
      <w:rFonts w:eastAsia="宋体"/>
      <w:kern w:val="2"/>
      <w:sz w:val="18"/>
    </w:rPr>
  </w:style>
  <w:style w:type="character" w:customStyle="1" w:styleId="303">
    <w:name w:val="批注文字 Char2"/>
    <w:basedOn w:val="44"/>
    <w:semiHidden/>
    <w:qFormat/>
    <w:uiPriority w:val="99"/>
  </w:style>
  <w:style w:type="character" w:customStyle="1" w:styleId="304">
    <w:name w:val="标题 2 Char"/>
    <w:link w:val="5"/>
    <w:qFormat/>
    <w:uiPriority w:val="0"/>
    <w:rPr>
      <w:rFonts w:ascii="Arial" w:hAnsi="Arial" w:eastAsia="黑体"/>
      <w:b/>
      <w:kern w:val="2"/>
      <w:sz w:val="32"/>
    </w:rPr>
  </w:style>
  <w:style w:type="character" w:customStyle="1" w:styleId="305">
    <w:name w:val="current"/>
    <w:qFormat/>
    <w:uiPriority w:val="0"/>
    <w:rPr>
      <w:color w:val="FFFFFF"/>
      <w:sz w:val="27"/>
      <w:szCs w:val="27"/>
      <w:u w:val="none"/>
      <w:bdr w:val="single" w:color="C0C0C0" w:sz="6" w:space="0"/>
      <w:shd w:val="clear" w:color="auto" w:fill="809FFF"/>
    </w:rPr>
  </w:style>
  <w:style w:type="character" w:customStyle="1" w:styleId="306">
    <w:name w:val=" Char Char12"/>
    <w:qFormat/>
    <w:uiPriority w:val="0"/>
    <w:rPr>
      <w:rFonts w:ascii="Arial" w:hAnsi="Arial" w:eastAsia="黑体"/>
      <w:b/>
      <w:bCs/>
      <w:kern w:val="2"/>
      <w:sz w:val="32"/>
      <w:szCs w:val="32"/>
      <w:lang w:val="en-US" w:eastAsia="zh-CN" w:bidi="ar-SA"/>
    </w:rPr>
  </w:style>
  <w:style w:type="character" w:customStyle="1" w:styleId="307">
    <w:name w:val="！正文（四号字） Char Char"/>
    <w:qFormat/>
    <w:uiPriority w:val="0"/>
    <w:rPr>
      <w:rFonts w:hint="default" w:ascii="Times New Roman" w:hAnsi="Times New Roman" w:eastAsia="Times New Roman" w:cs="Times New Roman"/>
      <w:kern w:val="2"/>
      <w:sz w:val="24"/>
      <w:szCs w:val="28"/>
      <w:lang w:val="en-US" w:eastAsia="zh-CN" w:bidi="ar-SA"/>
    </w:rPr>
  </w:style>
  <w:style w:type="character" w:customStyle="1" w:styleId="308">
    <w:name w:val="正文首行缩进 Char4"/>
    <w:semiHidden/>
    <w:qFormat/>
    <w:uiPriority w:val="99"/>
    <w:rPr>
      <w:kern w:val="2"/>
      <w:sz w:val="21"/>
    </w:rPr>
  </w:style>
  <w:style w:type="character" w:customStyle="1" w:styleId="309">
    <w:name w:val="work_zt_cgls"/>
    <w:basedOn w:val="44"/>
    <w:qFormat/>
    <w:uiPriority w:val="0"/>
  </w:style>
  <w:style w:type="character" w:customStyle="1" w:styleId="310">
    <w:name w:val="正文首行缩进 2 Char3"/>
    <w:semiHidden/>
    <w:qFormat/>
    <w:uiPriority w:val="99"/>
    <w:rPr>
      <w:kern w:val="2"/>
      <w:sz w:val="21"/>
    </w:rPr>
  </w:style>
  <w:style w:type="character" w:customStyle="1" w:styleId="311">
    <w:name w:val="批注主题 Char4"/>
    <w:semiHidden/>
    <w:qFormat/>
    <w:uiPriority w:val="99"/>
    <w:rPr>
      <w:b/>
      <w:bCs/>
      <w:kern w:val="2"/>
      <w:sz w:val="21"/>
    </w:rPr>
  </w:style>
  <w:style w:type="table" w:customStyle="1" w:styleId="312">
    <w:name w:val="TableGri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a7f4281-204e-4b55-ad04-c3cd3922bbf3}"/>
        <w:style w:val=""/>
        <w:category>
          <w:name w:val="常规"/>
          <w:gallery w:val="placeholder"/>
        </w:category>
        <w:types>
          <w:type w:val="bbPlcHdr"/>
        </w:types>
        <w:behaviors>
          <w:behavior w:val="content"/>
        </w:behaviors>
        <w:description w:val=""/>
        <w:guid w:val="{6a7f4281-204e-4b55-ad04-c3cd3922bbf3}"/>
      </w:docPartPr>
      <w:docPartBody>
        <w:p w14:paraId="43282B8D">
          <w:r>
            <w:rPr>
              <w:color w:val="808080"/>
            </w:rPr>
            <w:t>单击此处输入日期。</w:t>
          </w:r>
        </w:p>
      </w:docPartBody>
    </w:docPart>
    <w:docPart>
      <w:docPartPr>
        <w:name w:val="{caa8f59e-6f08-44a5-8115-4343c4faddd9}"/>
        <w:style w:val=""/>
        <w:category>
          <w:name w:val="常规"/>
          <w:gallery w:val="placeholder"/>
        </w:category>
        <w:types>
          <w:type w:val="bbPlcHdr"/>
        </w:types>
        <w:behaviors>
          <w:behavior w:val="content"/>
        </w:behaviors>
        <w:description w:val=""/>
        <w:guid w:val="{caa8f59e-6f08-44a5-8115-4343c4faddd9}"/>
      </w:docPartPr>
      <w:docPartBody>
        <w:p w14:paraId="25DDBBF5">
          <w:r>
            <w:rPr>
              <w:color w:val="808080"/>
            </w:rPr>
            <w:t>单击此处输入文字。</w:t>
          </w:r>
        </w:p>
      </w:docPartBody>
    </w:docPart>
    <w:docPart>
      <w:docPartPr>
        <w:name w:val="{79a7b27b-ec7f-40e1-97f8-86ddb6550ee2}"/>
        <w:style w:val=""/>
        <w:category>
          <w:name w:val="常规"/>
          <w:gallery w:val="placeholder"/>
        </w:category>
        <w:types>
          <w:type w:val="bbPlcHdr"/>
        </w:types>
        <w:behaviors>
          <w:behavior w:val="content"/>
        </w:behaviors>
        <w:description w:val=""/>
        <w:guid w:val="{79a7b27b-ec7f-40e1-97f8-86ddb6550ee2}"/>
      </w:docPartPr>
      <w:docPartBody>
        <w:p w14:paraId="40B523BF">
          <w:r>
            <w:rPr>
              <w:color w:val="808080"/>
            </w:rPr>
            <w:t>单击此处输入文字。</w:t>
          </w:r>
        </w:p>
      </w:docPartBody>
    </w:docPart>
    <w:docPart>
      <w:docPartPr>
        <w:name w:val="{efecf220-b817-4ef4-a656-9c24bb4031d6}"/>
        <w:style w:val=""/>
        <w:category>
          <w:name w:val="常规"/>
          <w:gallery w:val="placeholder"/>
        </w:category>
        <w:types>
          <w:type w:val="bbPlcHdr"/>
        </w:types>
        <w:behaviors>
          <w:behavior w:val="content"/>
        </w:behaviors>
        <w:description w:val=""/>
        <w:guid w:val="{efecf220-b817-4ef4-a656-9c24bb4031d6}"/>
      </w:docPartPr>
      <w:docPartBody>
        <w:p w14:paraId="38284176">
          <w:r>
            <w:rPr>
              <w:color w:val="808080"/>
            </w:rPr>
            <w:t>单击此处输入文字。</w:t>
          </w:r>
        </w:p>
      </w:docPartBody>
    </w:docPart>
    <w:docPart>
      <w:docPartPr>
        <w:name w:val="{381bb37d-ae17-4f50-afc3-22ab391e904f}"/>
        <w:style w:val=""/>
        <w:category>
          <w:name w:val="常规"/>
          <w:gallery w:val="placeholder"/>
        </w:category>
        <w:types>
          <w:type w:val="bbPlcHdr"/>
        </w:types>
        <w:behaviors>
          <w:behavior w:val="content"/>
        </w:behaviors>
        <w:description w:val=""/>
        <w:guid w:val="{381bb37d-ae17-4f50-afc3-22ab391e904f}"/>
      </w:docPartPr>
      <w:docPartBody>
        <w:p w14:paraId="45CD40D7">
          <w:r>
            <w:rPr>
              <w:color w:val="808080"/>
            </w:rPr>
            <w:t>单击此处输入文字。</w:t>
          </w:r>
        </w:p>
      </w:docPartBody>
    </w:docPart>
    <w:docPart>
      <w:docPartPr>
        <w:name w:val="{7feccf20-4481-46cc-b27d-4d99076788a4}"/>
        <w:style w:val=""/>
        <w:category>
          <w:name w:val="常规"/>
          <w:gallery w:val="placeholder"/>
        </w:category>
        <w:types>
          <w:type w:val="bbPlcHdr"/>
        </w:types>
        <w:behaviors>
          <w:behavior w:val="content"/>
        </w:behaviors>
        <w:description w:val=""/>
        <w:guid w:val="{7feccf20-4481-46cc-b27d-4d99076788a4}"/>
      </w:docPartPr>
      <w:docPartBody>
        <w:p w14:paraId="5564F005">
          <w:r>
            <w:rPr>
              <w:color w:val="808080"/>
            </w:rPr>
            <w:t>单击此处输入文字。</w:t>
          </w:r>
        </w:p>
      </w:docPartBody>
    </w:docPart>
    <w:docPart>
      <w:docPartPr>
        <w:name w:val="{f5716a7f-f6d3-450d-8dc8-fac572812c56}"/>
        <w:style w:val=""/>
        <w:category>
          <w:name w:val="常规"/>
          <w:gallery w:val="placeholder"/>
        </w:category>
        <w:types>
          <w:type w:val="bbPlcHdr"/>
        </w:types>
        <w:behaviors>
          <w:behavior w:val="content"/>
        </w:behaviors>
        <w:description w:val=""/>
        <w:guid w:val="{f5716a7f-f6d3-450d-8dc8-fac572812c56}"/>
      </w:docPartPr>
      <w:docPartBody>
        <w:p w14:paraId="5CB93B8C">
          <w:r>
            <w:rPr>
              <w:color w:val="808080"/>
            </w:rPr>
            <w:t>单击此处输入文字。</w:t>
          </w:r>
        </w:p>
      </w:docPartBody>
    </w:docPart>
    <w:docPart>
      <w:docPartPr>
        <w:name w:val="{cb228b4c-f4e6-4870-8169-7bd4d1053a75}"/>
        <w:style w:val=""/>
        <w:category>
          <w:name w:val="常规"/>
          <w:gallery w:val="placeholder"/>
        </w:category>
        <w:types>
          <w:type w:val="bbPlcHdr"/>
        </w:types>
        <w:behaviors>
          <w:behavior w:val="content"/>
        </w:behaviors>
        <w:description w:val=""/>
        <w:guid w:val="{cb228b4c-f4e6-4870-8169-7bd4d1053a75}"/>
      </w:docPartPr>
      <w:docPartBody>
        <w:p w14:paraId="24345055">
          <w:r>
            <w:rPr>
              <w:color w:val="808080"/>
            </w:rPr>
            <w:t>单击此处输入文字。</w:t>
          </w:r>
        </w:p>
      </w:docPartBody>
    </w:docPart>
    <w:docPart>
      <w:docPartPr>
        <w:name w:val="{1f57fbca-5646-4ee0-ace7-5cb6a28df606}"/>
        <w:style w:val=""/>
        <w:category>
          <w:name w:val="常规"/>
          <w:gallery w:val="placeholder"/>
        </w:category>
        <w:types>
          <w:type w:val="bbPlcHdr"/>
        </w:types>
        <w:behaviors>
          <w:behavior w:val="content"/>
        </w:behaviors>
        <w:description w:val=""/>
        <w:guid w:val="{1f57fbca-5646-4ee0-ace7-5cb6a28df606}"/>
      </w:docPartPr>
      <w:docPartBody>
        <w:p w14:paraId="36FB8B0F">
          <w:r>
            <w:rPr>
              <w:color w:val="808080"/>
            </w:rPr>
            <w:t>单击此处输入文字。</w:t>
          </w:r>
        </w:p>
      </w:docPartBody>
    </w:docPart>
    <w:docPart>
      <w:docPartPr>
        <w:name w:val="{15f6addd-a8ea-4322-b34d-68d70e31f861}"/>
        <w:style w:val=""/>
        <w:category>
          <w:name w:val="常规"/>
          <w:gallery w:val="placeholder"/>
        </w:category>
        <w:types>
          <w:type w:val="bbPlcHdr"/>
        </w:types>
        <w:behaviors>
          <w:behavior w:val="content"/>
        </w:behaviors>
        <w:description w:val=""/>
        <w:guid w:val="{15f6addd-a8ea-4322-b34d-68d70e31f861}"/>
      </w:docPartPr>
      <w:docPartBody>
        <w:p w14:paraId="00CF107C">
          <w:r>
            <w:rPr>
              <w:color w:val="808080"/>
            </w:rPr>
            <w:t>单击此处输入文字。</w:t>
          </w:r>
        </w:p>
      </w:docPartBody>
    </w:docPart>
    <w:docPart>
      <w:docPartPr>
        <w:name w:val="{2a228ee6-a963-4be8-9c72-cb2a09221207}"/>
        <w:style w:val=""/>
        <w:category>
          <w:name w:val="常规"/>
          <w:gallery w:val="placeholder"/>
        </w:category>
        <w:types>
          <w:type w:val="bbPlcHdr"/>
        </w:types>
        <w:behaviors>
          <w:behavior w:val="content"/>
        </w:behaviors>
        <w:description w:val=""/>
        <w:guid w:val="{2a228ee6-a963-4be8-9c72-cb2a09221207}"/>
      </w:docPartPr>
      <w:docPartBody>
        <w:p w14:paraId="0DCF0F7D">
          <w:r>
            <w:rPr>
              <w:color w:val="808080"/>
            </w:rPr>
            <w:t>单击此处输入文字。</w:t>
          </w:r>
        </w:p>
      </w:docPartBody>
    </w:docPart>
    <w:docPart>
      <w:docPartPr>
        <w:name w:val="{1ec9dc03-324c-4ecc-940f-94fe465a4424}"/>
        <w:style w:val=""/>
        <w:category>
          <w:name w:val="常规"/>
          <w:gallery w:val="placeholder"/>
        </w:category>
        <w:types>
          <w:type w:val="bbPlcHdr"/>
        </w:types>
        <w:behaviors>
          <w:behavior w:val="content"/>
        </w:behaviors>
        <w:description w:val=""/>
        <w:guid w:val="{1ec9dc03-324c-4ecc-940f-94fe465a4424}"/>
      </w:docPartPr>
      <w:docPartBody>
        <w:p w14:paraId="34CA8F16">
          <w:r>
            <w:rPr>
              <w:color w:val="808080"/>
            </w:rPr>
            <w:t>单击此处输入文字。</w:t>
          </w:r>
        </w:p>
      </w:docPartBody>
    </w:docPart>
    <w:docPart>
      <w:docPartPr>
        <w:name w:val="{52768ed9-61f8-4475-8239-e9c25e3e1a00}"/>
        <w:style w:val=""/>
        <w:category>
          <w:name w:val="常规"/>
          <w:gallery w:val="placeholder"/>
        </w:category>
        <w:types>
          <w:type w:val="bbPlcHdr"/>
        </w:types>
        <w:behaviors>
          <w:behavior w:val="content"/>
        </w:behaviors>
        <w:description w:val=""/>
        <w:guid w:val="{52768ed9-61f8-4475-8239-e9c25e3e1a00}"/>
      </w:docPartPr>
      <w:docPartBody>
        <w:p w14:paraId="31158245">
          <w:r>
            <w:rPr>
              <w:color w:val="808080"/>
            </w:rPr>
            <w:t>单击此处输入日期。</w:t>
          </w:r>
        </w:p>
      </w:docPartBody>
    </w:docPart>
    <w:docPart>
      <w:docPartPr>
        <w:name w:val="{b7492aee-36e4-48f5-95b9-ae10ee00ffd0}"/>
        <w:style w:val=""/>
        <w:category>
          <w:name w:val="常规"/>
          <w:gallery w:val="placeholder"/>
        </w:category>
        <w:types>
          <w:type w:val="bbPlcHdr"/>
        </w:types>
        <w:behaviors>
          <w:behavior w:val="content"/>
        </w:behaviors>
        <w:description w:val=""/>
        <w:guid w:val="{b7492aee-36e4-48f5-95b9-ae10ee00ffd0}"/>
      </w:docPartPr>
      <w:docPartBody>
        <w:p w14:paraId="13681894">
          <w:r>
            <w:rPr>
              <w:color w:val="808080"/>
            </w:rPr>
            <w:t>选择一项。</w:t>
          </w:r>
        </w:p>
      </w:docPartBody>
    </w:docPart>
    <w:docPart>
      <w:docPartPr>
        <w:name w:val="{f773b469-8316-4a81-9064-fe8c720510c5}"/>
        <w:style w:val=""/>
        <w:category>
          <w:name w:val="常规"/>
          <w:gallery w:val="placeholder"/>
        </w:category>
        <w:types>
          <w:type w:val="bbPlcHdr"/>
        </w:types>
        <w:behaviors>
          <w:behavior w:val="content"/>
        </w:behaviors>
        <w:description w:val=""/>
        <w:guid w:val="{f773b469-8316-4a81-9064-fe8c720510c5}"/>
      </w:docPartPr>
      <w:docPartBody>
        <w:p w14:paraId="338B79C2">
          <w:r>
            <w:rPr>
              <w:color w:val="808080"/>
            </w:rPr>
            <w:t>单击此处输入文字。</w:t>
          </w:r>
        </w:p>
      </w:docPartBody>
    </w:docPart>
    <w:docPart>
      <w:docPartPr>
        <w:name w:val="{3b110e05-81db-412d-9571-ec045b5b1775}"/>
        <w:style w:val=""/>
        <w:category>
          <w:name w:val="常规"/>
          <w:gallery w:val="placeholder"/>
        </w:category>
        <w:types>
          <w:type w:val="bbPlcHdr"/>
        </w:types>
        <w:behaviors>
          <w:behavior w:val="content"/>
        </w:behaviors>
        <w:description w:val=""/>
        <w:guid w:val="{3b110e05-81db-412d-9571-ec045b5b1775}"/>
      </w:docPartPr>
      <w:docPartBody>
        <w:p w14:paraId="7171F37E">
          <w:r>
            <w:rPr>
              <w:color w:val="808080"/>
            </w:rPr>
            <w:t>单击此处输入文字。</w:t>
          </w:r>
        </w:p>
      </w:docPartBody>
    </w:docPart>
    <w:docPart>
      <w:docPartPr>
        <w:name w:val="{fa498eb0-f6da-4f61-a391-db41ee588b62}"/>
        <w:style w:val=""/>
        <w:category>
          <w:name w:val="常规"/>
          <w:gallery w:val="placeholder"/>
        </w:category>
        <w:types>
          <w:type w:val="bbPlcHdr"/>
        </w:types>
        <w:behaviors>
          <w:behavior w:val="content"/>
        </w:behaviors>
        <w:description w:val=""/>
        <w:guid w:val="{fa498eb0-f6da-4f61-a391-db41ee588b62}"/>
      </w:docPartPr>
      <w:docPartBody>
        <w:p w14:paraId="5D2A8372">
          <w:r>
            <w:rPr>
              <w:color w:val="808080"/>
            </w:rPr>
            <w:t>单击此处输入文字。</w:t>
          </w:r>
        </w:p>
      </w:docPartBody>
    </w:docPart>
    <w:docPart>
      <w:docPartPr>
        <w:name w:val="{42a8814b-462a-476a-9b66-f87e70e1cf58}"/>
        <w:style w:val=""/>
        <w:category>
          <w:name w:val="常规"/>
          <w:gallery w:val="placeholder"/>
        </w:category>
        <w:types>
          <w:type w:val="bbPlcHdr"/>
        </w:types>
        <w:behaviors>
          <w:behavior w:val="content"/>
        </w:behaviors>
        <w:description w:val=""/>
        <w:guid w:val="{42a8814b-462a-476a-9b66-f87e70e1cf58}"/>
      </w:docPartPr>
      <w:docPartBody>
        <w:p w14:paraId="740F3CD2">
          <w:r>
            <w:rPr>
              <w:color w:val="808080"/>
            </w:rPr>
            <w:t>单击此处输入文字。</w:t>
          </w:r>
        </w:p>
      </w:docPartBody>
    </w:docPart>
    <w:docPart>
      <w:docPartPr>
        <w:name w:val="{deed8839-a9c1-4f8e-b51f-5e0389a86148}"/>
        <w:style w:val=""/>
        <w:category>
          <w:name w:val="常规"/>
          <w:gallery w:val="placeholder"/>
        </w:category>
        <w:types>
          <w:type w:val="bbPlcHdr"/>
        </w:types>
        <w:behaviors>
          <w:behavior w:val="content"/>
        </w:behaviors>
        <w:description w:val=""/>
        <w:guid w:val="{deed8839-a9c1-4f8e-b51f-5e0389a86148}"/>
      </w:docPartPr>
      <w:docPartBody>
        <w:p w14:paraId="330DAD1E">
          <w:r>
            <w:rPr>
              <w:color w:val="808080"/>
            </w:rPr>
            <w:t>单击此处输入文字。</w:t>
          </w:r>
        </w:p>
      </w:docPartBody>
    </w:docPart>
    <w:docPart>
      <w:docPartPr>
        <w:name w:val="{ad82e880-5304-4dd2-a4db-301815efee34}"/>
        <w:style w:val=""/>
        <w:category>
          <w:name w:val="常规"/>
          <w:gallery w:val="placeholder"/>
        </w:category>
        <w:types>
          <w:type w:val="bbPlcHdr"/>
        </w:types>
        <w:behaviors>
          <w:behavior w:val="content"/>
        </w:behaviors>
        <w:description w:val=""/>
        <w:guid w:val="{ad82e880-5304-4dd2-a4db-301815efee34}"/>
      </w:docPartPr>
      <w:docPartBody>
        <w:p w14:paraId="6763782E">
          <w:r>
            <w:rPr>
              <w:color w:val="808080"/>
            </w:rPr>
            <w:t>单击此处输入文字。</w:t>
          </w:r>
        </w:p>
      </w:docPartBody>
    </w:docPart>
    <w:docPart>
      <w:docPartPr>
        <w:name w:val="{615aa753-2885-4de2-80f1-fa642a0930ba}"/>
        <w:style w:val=""/>
        <w:category>
          <w:name w:val="常规"/>
          <w:gallery w:val="placeholder"/>
        </w:category>
        <w:types>
          <w:type w:val="bbPlcHdr"/>
        </w:types>
        <w:behaviors>
          <w:behavior w:val="content"/>
        </w:behaviors>
        <w:description w:val=""/>
        <w:guid w:val="{615aa753-2885-4de2-80f1-fa642a0930ba}"/>
      </w:docPartPr>
      <w:docPartBody>
        <w:p w14:paraId="613B362E">
          <w:r>
            <w:rPr>
              <w:color w:val="808080"/>
            </w:rPr>
            <w:t>单击此处输入文字。</w:t>
          </w:r>
        </w:p>
      </w:docPartBody>
    </w:docPart>
    <w:docPart>
      <w:docPartPr>
        <w:name w:val="{b19a4d9c-fcdb-4e3a-bba4-31a3fbd76bc9}"/>
        <w:style w:val=""/>
        <w:category>
          <w:name w:val="常规"/>
          <w:gallery w:val="placeholder"/>
        </w:category>
        <w:types>
          <w:type w:val="bbPlcHdr"/>
        </w:types>
        <w:behaviors>
          <w:behavior w:val="content"/>
        </w:behaviors>
        <w:description w:val=""/>
        <w:guid w:val="{b19a4d9c-fcdb-4e3a-bba4-31a3fbd76bc9}"/>
      </w:docPartPr>
      <w:docPartBody>
        <w:p w14:paraId="0C00D16F">
          <w:r>
            <w:rPr>
              <w:color w:val="808080"/>
            </w:rPr>
            <w:t>单击此处输入文字。</w:t>
          </w:r>
        </w:p>
      </w:docPartBody>
    </w:docPart>
    <w:docPart>
      <w:docPartPr>
        <w:name w:val="{9421f898-7381-41d2-bb06-3cbac5303ebc}"/>
        <w:style w:val=""/>
        <w:category>
          <w:name w:val="常规"/>
          <w:gallery w:val="placeholder"/>
        </w:category>
        <w:types>
          <w:type w:val="bbPlcHdr"/>
        </w:types>
        <w:behaviors>
          <w:behavior w:val="content"/>
        </w:behaviors>
        <w:description w:val=""/>
        <w:guid w:val="{9421f898-7381-41d2-bb06-3cbac5303ebc}"/>
      </w:docPartPr>
      <w:docPartBody>
        <w:p w14:paraId="028DFC6F">
          <w:r>
            <w:rPr>
              <w:color w:val="808080"/>
            </w:rPr>
            <w:t>单击此处输入文字。</w:t>
          </w:r>
        </w:p>
      </w:docPartBody>
    </w:docPart>
    <w:docPart>
      <w:docPartPr>
        <w:name w:val="{2f5221a0-a913-4f72-ac6e-34c7b2b5e103}"/>
        <w:style w:val=""/>
        <w:category>
          <w:name w:val="常规"/>
          <w:gallery w:val="placeholder"/>
        </w:category>
        <w:types>
          <w:type w:val="bbPlcHdr"/>
        </w:types>
        <w:behaviors>
          <w:behavior w:val="content"/>
        </w:behaviors>
        <w:description w:val=""/>
        <w:guid w:val="{2f5221a0-a913-4f72-ac6e-34c7b2b5e103}"/>
      </w:docPartPr>
      <w:docPartBody>
        <w:p w14:paraId="1AFA340F">
          <w:r>
            <w:rPr>
              <w:color w:val="808080"/>
            </w:rPr>
            <w:t>单击此处输入文字。</w:t>
          </w:r>
        </w:p>
      </w:docPartBody>
    </w:docPart>
    <w:docPart>
      <w:docPartPr>
        <w:name w:val="{639529f8-ab2f-42b9-98b9-90404dedc3f9}"/>
        <w:style w:val=""/>
        <w:category>
          <w:name w:val="常规"/>
          <w:gallery w:val="placeholder"/>
        </w:category>
        <w:types>
          <w:type w:val="bbPlcHdr"/>
        </w:types>
        <w:behaviors>
          <w:behavior w:val="content"/>
        </w:behaviors>
        <w:description w:val=""/>
        <w:guid w:val="{639529f8-ab2f-42b9-98b9-90404dedc3f9}"/>
      </w:docPartPr>
      <w:docPartBody>
        <w:p w14:paraId="0394EE63">
          <w:r>
            <w:rPr>
              <w:color w:val="808080"/>
            </w:rPr>
            <w:t>单击此处输入文字。</w:t>
          </w:r>
        </w:p>
      </w:docPartBody>
    </w:docPart>
    <w:docPart>
      <w:docPartPr>
        <w:name w:val="{6b11ed0b-a000-458c-b047-d6f44ca17b35}"/>
        <w:style w:val=""/>
        <w:category>
          <w:name w:val="常规"/>
          <w:gallery w:val="placeholder"/>
        </w:category>
        <w:types>
          <w:type w:val="bbPlcHdr"/>
        </w:types>
        <w:behaviors>
          <w:behavior w:val="content"/>
        </w:behaviors>
        <w:description w:val=""/>
        <w:guid w:val="{6b11ed0b-a000-458c-b047-d6f44ca17b35}"/>
      </w:docPartPr>
      <w:docPartBody>
        <w:p w14:paraId="4A9E5E88">
          <w:r>
            <w:rPr>
              <w:color w:val="808080"/>
            </w:rPr>
            <w:t>单击此处输入文字。</w:t>
          </w:r>
        </w:p>
      </w:docPartBody>
    </w:docPart>
    <w:docPart>
      <w:docPartPr>
        <w:name w:val="{c4d7fb0a-a06f-4775-9688-af0165dbe83b}"/>
        <w:style w:val=""/>
        <w:category>
          <w:name w:val="常规"/>
          <w:gallery w:val="placeholder"/>
        </w:category>
        <w:types>
          <w:type w:val="bbPlcHdr"/>
        </w:types>
        <w:behaviors>
          <w:behavior w:val="content"/>
        </w:behaviors>
        <w:description w:val=""/>
        <w:guid w:val="{c4d7fb0a-a06f-4775-9688-af0165dbe83b}"/>
      </w:docPartPr>
      <w:docPartBody>
        <w:p w14:paraId="60A7E3B2">
          <w:r>
            <w:rPr>
              <w:color w:val="808080"/>
            </w:rPr>
            <w:t>单击此处输入文字。</w:t>
          </w:r>
        </w:p>
      </w:docPartBody>
    </w:docPart>
    <w:docPart>
      <w:docPartPr>
        <w:name w:val="{6fa8890c-d851-4ecc-ae2f-cd74cab6692b}"/>
        <w:style w:val=""/>
        <w:category>
          <w:name w:val="常规"/>
          <w:gallery w:val="placeholder"/>
        </w:category>
        <w:types>
          <w:type w:val="bbPlcHdr"/>
        </w:types>
        <w:behaviors>
          <w:behavior w:val="content"/>
        </w:behaviors>
        <w:description w:val=""/>
        <w:guid w:val="{6fa8890c-d851-4ecc-ae2f-cd74cab6692b}"/>
      </w:docPartPr>
      <w:docPartBody>
        <w:p w14:paraId="4496B5A4">
          <w:r>
            <w:rPr>
              <w:color w:val="808080"/>
            </w:rPr>
            <w:t>单击此处输入文字。</w:t>
          </w:r>
        </w:p>
      </w:docPartBody>
    </w:docPart>
    <w:docPart>
      <w:docPartPr>
        <w:name w:val="{1f910f9e-d284-43ad-b5d8-9913a03ec0df}"/>
        <w:style w:val=""/>
        <w:category>
          <w:name w:val="常规"/>
          <w:gallery w:val="placeholder"/>
        </w:category>
        <w:types>
          <w:type w:val="bbPlcHdr"/>
        </w:types>
        <w:behaviors>
          <w:behavior w:val="content"/>
        </w:behaviors>
        <w:description w:val=""/>
        <w:guid w:val="{1f910f9e-d284-43ad-b5d8-9913a03ec0df}"/>
      </w:docPartPr>
      <w:docPartBody>
        <w:p w14:paraId="1DFCF07E">
          <w:r>
            <w:rPr>
              <w:color w:val="808080"/>
            </w:rPr>
            <w:t>单击此处输入文字。</w:t>
          </w:r>
        </w:p>
      </w:docPartBody>
    </w:docPart>
    <w:docPart>
      <w:docPartPr>
        <w:name w:val="{c78c75e9-5ad5-4972-b8c3-6950fa2a9c11}"/>
        <w:style w:val=""/>
        <w:category>
          <w:name w:val="常规"/>
          <w:gallery w:val="placeholder"/>
        </w:category>
        <w:types>
          <w:type w:val="bbPlcHdr"/>
        </w:types>
        <w:behaviors>
          <w:behavior w:val="content"/>
        </w:behaviors>
        <w:description w:val=""/>
        <w:guid w:val="{c78c75e9-5ad5-4972-b8c3-6950fa2a9c11}"/>
      </w:docPartPr>
      <w:docPartBody>
        <w:p w14:paraId="4FEF6D9F">
          <w:r>
            <w:rPr>
              <w:color w:val="808080"/>
            </w:rPr>
            <w:t>单击此处输入文字。</w:t>
          </w:r>
        </w:p>
      </w:docPartBody>
    </w:docPart>
    <w:docPart>
      <w:docPartPr>
        <w:name w:val="{c8922a64-17b9-43a5-83ab-5e5fc8acca8e}"/>
        <w:style w:val=""/>
        <w:category>
          <w:name w:val="常规"/>
          <w:gallery w:val="placeholder"/>
        </w:category>
        <w:types>
          <w:type w:val="bbPlcHdr"/>
        </w:types>
        <w:behaviors>
          <w:behavior w:val="content"/>
        </w:behaviors>
        <w:description w:val=""/>
        <w:guid w:val="{c8922a64-17b9-43a5-83ab-5e5fc8acca8e}"/>
      </w:docPartPr>
      <w:docPartBody>
        <w:p w14:paraId="555C311A">
          <w:r>
            <w:rPr>
              <w:color w:val="808080"/>
            </w:rPr>
            <w:t>单击此处输入文字。</w:t>
          </w:r>
        </w:p>
      </w:docPartBody>
    </w:docPart>
    <w:docPart>
      <w:docPartPr>
        <w:name w:val="{49528de5-3463-4d72-bbf1-98758550fe6f}"/>
        <w:style w:val=""/>
        <w:category>
          <w:name w:val="常规"/>
          <w:gallery w:val="placeholder"/>
        </w:category>
        <w:types>
          <w:type w:val="bbPlcHdr"/>
        </w:types>
        <w:behaviors>
          <w:behavior w:val="content"/>
        </w:behaviors>
        <w:description w:val=""/>
        <w:guid w:val="{49528de5-3463-4d72-bbf1-98758550fe6f}"/>
      </w:docPartPr>
      <w:docPartBody>
        <w:p w14:paraId="42B1AF7A">
          <w:r>
            <w:rPr>
              <w:color w:val="808080"/>
            </w:rPr>
            <w:t>单击此处输入文字。</w:t>
          </w:r>
        </w:p>
      </w:docPartBody>
    </w:docPart>
    <w:docPart>
      <w:docPartPr>
        <w:name w:val="{372d2b1e-6235-4d31-ab03-d092e3051bd9}"/>
        <w:style w:val=""/>
        <w:category>
          <w:name w:val="常规"/>
          <w:gallery w:val="placeholder"/>
        </w:category>
        <w:types>
          <w:type w:val="bbPlcHdr"/>
        </w:types>
        <w:behaviors>
          <w:behavior w:val="content"/>
        </w:behaviors>
        <w:description w:val=""/>
        <w:guid w:val="{372d2b1e-6235-4d31-ab03-d092e3051bd9}"/>
      </w:docPartPr>
      <w:docPartBody>
        <w:p w14:paraId="712A21BF">
          <w:r>
            <w:rPr>
              <w:color w:val="808080"/>
            </w:rPr>
            <w:t>单击此处输入文字。</w:t>
          </w:r>
        </w:p>
      </w:docPartBody>
    </w:docPart>
    <w:docPart>
      <w:docPartPr>
        <w:name w:val="{81f713e9-ad0e-4f0b-b80c-3e3ab50737d4}"/>
        <w:style w:val=""/>
        <w:category>
          <w:name w:val="常规"/>
          <w:gallery w:val="placeholder"/>
        </w:category>
        <w:types>
          <w:type w:val="bbPlcHdr"/>
        </w:types>
        <w:behaviors>
          <w:behavior w:val="content"/>
        </w:behaviors>
        <w:description w:val=""/>
        <w:guid w:val="{81f713e9-ad0e-4f0b-b80c-3e3ab50737d4}"/>
      </w:docPartPr>
      <w:docPartBody>
        <w:p w14:paraId="7DA92E3B">
          <w:r>
            <w:rPr>
              <w:color w:val="808080"/>
            </w:rPr>
            <w:t>单击此处输入文字。</w:t>
          </w:r>
        </w:p>
      </w:docPartBody>
    </w:docPart>
    <w:docPart>
      <w:docPartPr>
        <w:name w:val="{9c364cf0-396f-4456-948a-b366146e5e93}"/>
        <w:style w:val=""/>
        <w:category>
          <w:name w:val="常规"/>
          <w:gallery w:val="placeholder"/>
        </w:category>
        <w:types>
          <w:type w:val="bbPlcHdr"/>
        </w:types>
        <w:behaviors>
          <w:behavior w:val="content"/>
        </w:behaviors>
        <w:description w:val=""/>
        <w:guid w:val="{9c364cf0-396f-4456-948a-b366146e5e93}"/>
      </w:docPartPr>
      <w:docPartBody>
        <w:p w14:paraId="08E2C0DE">
          <w:r>
            <w:rPr>
              <w:color w:val="808080"/>
            </w:rPr>
            <w:t>单击此处输入文字。</w:t>
          </w:r>
        </w:p>
      </w:docPartBody>
    </w:docPart>
    <w:docPart>
      <w:docPartPr>
        <w:name w:val="{eb9b483c-dab9-470c-905b-2a22eeda4222}"/>
        <w:style w:val=""/>
        <w:category>
          <w:name w:val="常规"/>
          <w:gallery w:val="placeholder"/>
        </w:category>
        <w:types>
          <w:type w:val="bbPlcHdr"/>
        </w:types>
        <w:behaviors>
          <w:behavior w:val="content"/>
        </w:behaviors>
        <w:description w:val=""/>
        <w:guid w:val="{eb9b483c-dab9-470c-905b-2a22eeda4222}"/>
      </w:docPartPr>
      <w:docPartBody>
        <w:p w14:paraId="6ABFC170">
          <w:r>
            <w:rPr>
              <w:color w:val="808080"/>
            </w:rPr>
            <w:t>单击此处输入文字。</w:t>
          </w:r>
        </w:p>
      </w:docPartBody>
    </w:docPart>
    <w:docPart>
      <w:docPartPr>
        <w:name w:val="{e5e81165-a60c-4c16-817e-38a32d393d16}"/>
        <w:style w:val=""/>
        <w:category>
          <w:name w:val="常规"/>
          <w:gallery w:val="placeholder"/>
        </w:category>
        <w:types>
          <w:type w:val="bbPlcHdr"/>
        </w:types>
        <w:behaviors>
          <w:behavior w:val="content"/>
        </w:behaviors>
        <w:description w:val=""/>
        <w:guid w:val="{e5e81165-a60c-4c16-817e-38a32d393d16}"/>
      </w:docPartPr>
      <w:docPartBody>
        <w:p w14:paraId="4894B395">
          <w:r>
            <w:rPr>
              <w:color w:val="808080"/>
            </w:rPr>
            <w:t>单击此处输入文字。</w:t>
          </w:r>
        </w:p>
      </w:docPartBody>
    </w:docPart>
    <w:docPart>
      <w:docPartPr>
        <w:name w:val="{1af450ef-98f2-44be-9ae9-f5c0a3481220}"/>
        <w:style w:val=""/>
        <w:category>
          <w:name w:val="常规"/>
          <w:gallery w:val="placeholder"/>
        </w:category>
        <w:types>
          <w:type w:val="bbPlcHdr"/>
        </w:types>
        <w:behaviors>
          <w:behavior w:val="content"/>
        </w:behaviors>
        <w:description w:val=""/>
        <w:guid w:val="{1af450ef-98f2-44be-9ae9-f5c0a3481220}"/>
      </w:docPartPr>
      <w:docPartBody>
        <w:p w14:paraId="5C0A1724">
          <w:r>
            <w:rPr>
              <w:color w:val="808080"/>
            </w:rPr>
            <w:t>单击此处输入文字。</w:t>
          </w:r>
        </w:p>
      </w:docPartBody>
    </w:docPart>
    <w:docPart>
      <w:docPartPr>
        <w:name w:val="{84868475-b6c6-48d8-be30-5d1238001c30}"/>
        <w:style w:val=""/>
        <w:category>
          <w:name w:val="常规"/>
          <w:gallery w:val="placeholder"/>
        </w:category>
        <w:types>
          <w:type w:val="bbPlcHdr"/>
        </w:types>
        <w:behaviors>
          <w:behavior w:val="content"/>
        </w:behaviors>
        <w:description w:val=""/>
        <w:guid w:val="{84868475-b6c6-48d8-be30-5d1238001c30}"/>
      </w:docPartPr>
      <w:docPartBody>
        <w:p w14:paraId="0B4FF842">
          <w:r>
            <w:rPr>
              <w:color w:val="808080"/>
            </w:rPr>
            <w:t>单击此处输入文字。</w:t>
          </w:r>
        </w:p>
      </w:docPartBody>
    </w:docPart>
    <w:docPart>
      <w:docPartPr>
        <w:name w:val="{f43fb7af-05c2-4aeb-bfc5-41785adf9fb2}"/>
        <w:style w:val=""/>
        <w:category>
          <w:name w:val="常规"/>
          <w:gallery w:val="placeholder"/>
        </w:category>
        <w:types>
          <w:type w:val="bbPlcHdr"/>
        </w:types>
        <w:behaviors>
          <w:behavior w:val="content"/>
        </w:behaviors>
        <w:description w:val=""/>
        <w:guid w:val="{f43fb7af-05c2-4aeb-bfc5-41785adf9fb2}"/>
      </w:docPartPr>
      <w:docPartBody>
        <w:p w14:paraId="13CB42C7">
          <w:r>
            <w:rPr>
              <w:color w:val="808080"/>
            </w:rPr>
            <w:t>单击此处输入文字。</w:t>
          </w:r>
        </w:p>
      </w:docPartBody>
    </w:docPart>
    <w:docPart>
      <w:docPartPr>
        <w:name w:val="{836682ad-9770-49b2-9142-f43c99872521}"/>
        <w:style w:val=""/>
        <w:category>
          <w:name w:val="常规"/>
          <w:gallery w:val="placeholder"/>
        </w:category>
        <w:types>
          <w:type w:val="bbPlcHdr"/>
        </w:types>
        <w:behaviors>
          <w:behavior w:val="content"/>
        </w:behaviors>
        <w:description w:val=""/>
        <w:guid w:val="{836682ad-9770-49b2-9142-f43c99872521}"/>
      </w:docPartPr>
      <w:docPartBody>
        <w:p w14:paraId="408AA6CB">
          <w:r>
            <w:rPr>
              <w:color w:val="808080"/>
            </w:rPr>
            <w:t>单击此处输入文字。</w:t>
          </w:r>
        </w:p>
      </w:docPartBody>
    </w:docPart>
    <w:docPart>
      <w:docPartPr>
        <w:name w:val="{014e655e-1e0c-4c96-8161-7af48a857102}"/>
        <w:style w:val=""/>
        <w:category>
          <w:name w:val="常规"/>
          <w:gallery w:val="placeholder"/>
        </w:category>
        <w:types>
          <w:type w:val="bbPlcHdr"/>
        </w:types>
        <w:behaviors>
          <w:behavior w:val="content"/>
        </w:behaviors>
        <w:description w:val=""/>
        <w:guid w:val="{014e655e-1e0c-4c96-8161-7af48a857102}"/>
      </w:docPartPr>
      <w:docPartBody>
        <w:p w14:paraId="5552E98C">
          <w:r>
            <w:rPr>
              <w:color w:val="808080"/>
            </w:rPr>
            <w:t>单击此处输入文字。</w:t>
          </w:r>
        </w:p>
      </w:docPartBody>
    </w:docPart>
    <w:docPart>
      <w:docPartPr>
        <w:name w:val="{c96cfe92-4126-4271-bb0d-6e62a22952f2}"/>
        <w:style w:val=""/>
        <w:category>
          <w:name w:val="常规"/>
          <w:gallery w:val="placeholder"/>
        </w:category>
        <w:types>
          <w:type w:val="bbPlcHdr"/>
        </w:types>
        <w:behaviors>
          <w:behavior w:val="content"/>
        </w:behaviors>
        <w:description w:val=""/>
        <w:guid w:val="{c96cfe92-4126-4271-bb0d-6e62a22952f2}"/>
      </w:docPartPr>
      <w:docPartBody>
        <w:p w14:paraId="0DDED283">
          <w:r>
            <w:rPr>
              <w:color w:val="808080"/>
            </w:rPr>
            <w:t>单击此处输入文字。</w:t>
          </w:r>
        </w:p>
      </w:docPartBody>
    </w:docPart>
    <w:docPart>
      <w:docPartPr>
        <w:name w:val="{a13d01da-0feb-48d2-98ba-9272f36ddf4d}"/>
        <w:style w:val=""/>
        <w:category>
          <w:name w:val="常规"/>
          <w:gallery w:val="placeholder"/>
        </w:category>
        <w:types>
          <w:type w:val="bbPlcHdr"/>
        </w:types>
        <w:behaviors>
          <w:behavior w:val="content"/>
        </w:behaviors>
        <w:description w:val=""/>
        <w:guid w:val="{a13d01da-0feb-48d2-98ba-9272f36ddf4d}"/>
      </w:docPartPr>
      <w:docPartBody>
        <w:p w14:paraId="3C6BA591">
          <w:r>
            <w:rPr>
              <w:color w:val="808080"/>
            </w:rPr>
            <w:t>单击此处输入文字。</w:t>
          </w:r>
        </w:p>
      </w:docPartBody>
    </w:docPart>
    <w:docPart>
      <w:docPartPr>
        <w:name w:val="{8ce5ffba-72da-4f5d-8db2-8a0c5ada7286}"/>
        <w:style w:val=""/>
        <w:category>
          <w:name w:val="常规"/>
          <w:gallery w:val="placeholder"/>
        </w:category>
        <w:types>
          <w:type w:val="bbPlcHdr"/>
        </w:types>
        <w:behaviors>
          <w:behavior w:val="content"/>
        </w:behaviors>
        <w:description w:val=""/>
        <w:guid w:val="{8ce5ffba-72da-4f5d-8db2-8a0c5ada7286}"/>
      </w:docPartPr>
      <w:docPartBody>
        <w:p w14:paraId="7431C037">
          <w:r>
            <w:rPr>
              <w:color w:val="808080"/>
            </w:rPr>
            <w:t>单击此处输入文字。</w:t>
          </w:r>
        </w:p>
      </w:docPartBody>
    </w:docPart>
    <w:docPart>
      <w:docPartPr>
        <w:name w:val="{b79106f5-8fd8-4177-acad-09dbec17c65d}"/>
        <w:style w:val=""/>
        <w:category>
          <w:name w:val="常规"/>
          <w:gallery w:val="placeholder"/>
        </w:category>
        <w:types>
          <w:type w:val="bbPlcHdr"/>
        </w:types>
        <w:behaviors>
          <w:behavior w:val="content"/>
        </w:behaviors>
        <w:description w:val=""/>
        <w:guid w:val="{b79106f5-8fd8-4177-acad-09dbec17c65d}"/>
      </w:docPartPr>
      <w:docPartBody>
        <w:p w14:paraId="100C79E2">
          <w:r>
            <w:rPr>
              <w:color w:val="808080"/>
            </w:rPr>
            <w:t>单击此处输入文字。</w:t>
          </w:r>
        </w:p>
      </w:docPartBody>
    </w:docPart>
    <w:docPart>
      <w:docPartPr>
        <w:name w:val="{677d7ff0-e8cf-4124-9cd4-35a8d3cac1ed}"/>
        <w:style w:val=""/>
        <w:category>
          <w:name w:val="常规"/>
          <w:gallery w:val="placeholder"/>
        </w:category>
        <w:types>
          <w:type w:val="bbPlcHdr"/>
        </w:types>
        <w:behaviors>
          <w:behavior w:val="content"/>
        </w:behaviors>
        <w:description w:val=""/>
        <w:guid w:val="{677d7ff0-e8cf-4124-9cd4-35a8d3cac1ed}"/>
      </w:docPartPr>
      <w:docPartBody>
        <w:p w14:paraId="1A5161E3">
          <w:r>
            <w:rPr>
              <w:color w:val="808080"/>
            </w:rPr>
            <w:t>单击此处输入文字。</w:t>
          </w:r>
        </w:p>
      </w:docPartBody>
    </w:docPart>
    <w:docPart>
      <w:docPartPr>
        <w:name w:val="{1c02e33a-e6c7-4711-bea3-1e0d8f8a1380}"/>
        <w:style w:val=""/>
        <w:category>
          <w:name w:val="常规"/>
          <w:gallery w:val="placeholder"/>
        </w:category>
        <w:types>
          <w:type w:val="bbPlcHdr"/>
        </w:types>
        <w:behaviors>
          <w:behavior w:val="content"/>
        </w:behaviors>
        <w:description w:val=""/>
        <w:guid w:val="{1c02e33a-e6c7-4711-bea3-1e0d8f8a1380}"/>
      </w:docPartPr>
      <w:docPartBody>
        <w:p w14:paraId="1EEA7D9F">
          <w:r>
            <w:rPr>
              <w:color w:val="808080"/>
            </w:rPr>
            <w:t>单击此处输入文字。</w:t>
          </w:r>
        </w:p>
      </w:docPartBody>
    </w:docPart>
    <w:docPart>
      <w:docPartPr>
        <w:name w:val="{89e962bc-0e9f-4a2b-8e02-579ca398fbac}"/>
        <w:style w:val=""/>
        <w:category>
          <w:name w:val="常规"/>
          <w:gallery w:val="placeholder"/>
        </w:category>
        <w:types>
          <w:type w:val="bbPlcHdr"/>
        </w:types>
        <w:behaviors>
          <w:behavior w:val="content"/>
        </w:behaviors>
        <w:description w:val=""/>
        <w:guid w:val="{89e962bc-0e9f-4a2b-8e02-579ca398fbac}"/>
      </w:docPartPr>
      <w:docPartBody>
        <w:p w14:paraId="2F7296DF">
          <w:r>
            <w:rPr>
              <w:color w:val="808080"/>
            </w:rPr>
            <w:t>单击此处输入文字。</w:t>
          </w:r>
        </w:p>
      </w:docPartBody>
    </w:docPart>
    <w:docPart>
      <w:docPartPr>
        <w:name w:val="{d459bf60-13b4-479b-9595-7467960c2328}"/>
        <w:style w:val=""/>
        <w:category>
          <w:name w:val="常规"/>
          <w:gallery w:val="placeholder"/>
        </w:category>
        <w:types>
          <w:type w:val="bbPlcHdr"/>
        </w:types>
        <w:behaviors>
          <w:behavior w:val="content"/>
        </w:behaviors>
        <w:description w:val=""/>
        <w:guid w:val="{d459bf60-13b4-479b-9595-7467960c2328}"/>
      </w:docPartPr>
      <w:docPartBody>
        <w:p w14:paraId="5518F54E">
          <w:r>
            <w:rPr>
              <w:color w:val="808080"/>
            </w:rPr>
            <w:t>单击此处输入文字。</w:t>
          </w:r>
        </w:p>
      </w:docPartBody>
    </w:docPart>
    <w:docPart>
      <w:docPartPr>
        <w:name w:val="{8f31f33c-b18d-47d9-bc76-bc97208f26ae}"/>
        <w:style w:val=""/>
        <w:category>
          <w:name w:val="常规"/>
          <w:gallery w:val="placeholder"/>
        </w:category>
        <w:types>
          <w:type w:val="bbPlcHdr"/>
        </w:types>
        <w:behaviors>
          <w:behavior w:val="content"/>
        </w:behaviors>
        <w:description w:val=""/>
        <w:guid w:val="{8f31f33c-b18d-47d9-bc76-bc97208f26ae}"/>
      </w:docPartPr>
      <w:docPartBody>
        <w:p w14:paraId="2B5D033C">
          <w:r>
            <w:rPr>
              <w:color w:val="808080"/>
            </w:rPr>
            <w:t>单击此处输入文字。</w:t>
          </w:r>
        </w:p>
      </w:docPartBody>
    </w:docPart>
    <w:docPart>
      <w:docPartPr>
        <w:name w:val="{435f26d2-37f3-4eff-ae08-998ed609a4a5}"/>
        <w:style w:val=""/>
        <w:category>
          <w:name w:val="常规"/>
          <w:gallery w:val="placeholder"/>
        </w:category>
        <w:types>
          <w:type w:val="bbPlcHdr"/>
        </w:types>
        <w:behaviors>
          <w:behavior w:val="content"/>
        </w:behaviors>
        <w:description w:val=""/>
        <w:guid w:val="{435f26d2-37f3-4eff-ae08-998ed609a4a5}"/>
      </w:docPartPr>
      <w:docPartBody>
        <w:p w14:paraId="516F7441">
          <w:r>
            <w:rPr>
              <w:color w:val="808080"/>
            </w:rPr>
            <w:t>单击此处输入文字。</w:t>
          </w:r>
        </w:p>
      </w:docPartBody>
    </w:docPart>
    <w:docPart>
      <w:docPartPr>
        <w:name w:val="{20c2d5ef-9bb7-4f60-943b-2a47cfe8a1d3}"/>
        <w:style w:val=""/>
        <w:category>
          <w:name w:val="常规"/>
          <w:gallery w:val="placeholder"/>
        </w:category>
        <w:types>
          <w:type w:val="bbPlcHdr"/>
        </w:types>
        <w:behaviors>
          <w:behavior w:val="content"/>
        </w:behaviors>
        <w:description w:val=""/>
        <w:guid w:val="{20c2d5ef-9bb7-4f60-943b-2a47cfe8a1d3}"/>
      </w:docPartPr>
      <w:docPartBody>
        <w:p w14:paraId="76DDD898">
          <w:r>
            <w:rPr>
              <w:color w:val="808080"/>
            </w:rPr>
            <w:t>单击此处输入文字。</w:t>
          </w:r>
        </w:p>
      </w:docPartBody>
    </w:docPart>
    <w:docPart>
      <w:docPartPr>
        <w:name w:val="{dbd6f57b-592e-4af7-9dc9-2b7236814abf}"/>
        <w:style w:val=""/>
        <w:category>
          <w:name w:val="常规"/>
          <w:gallery w:val="placeholder"/>
        </w:category>
        <w:types>
          <w:type w:val="bbPlcHdr"/>
        </w:types>
        <w:behaviors>
          <w:behavior w:val="content"/>
        </w:behaviors>
        <w:description w:val=""/>
        <w:guid w:val="{dbd6f57b-592e-4af7-9dc9-2b7236814abf}"/>
      </w:docPartPr>
      <w:docPartBody>
        <w:p w14:paraId="7AC13D83">
          <w:r>
            <w:rPr>
              <w:color w:val="808080"/>
            </w:rPr>
            <w:t>单击此处输入文字。</w:t>
          </w:r>
        </w:p>
      </w:docPartBody>
    </w:docPart>
    <w:docPart>
      <w:docPartPr>
        <w:name w:val="{5c12f2aa-6d64-4657-ad43-198aae10afd2}"/>
        <w:style w:val=""/>
        <w:category>
          <w:name w:val="常规"/>
          <w:gallery w:val="placeholder"/>
        </w:category>
        <w:types>
          <w:type w:val="bbPlcHdr"/>
        </w:types>
        <w:behaviors>
          <w:behavior w:val="content"/>
        </w:behaviors>
        <w:description w:val=""/>
        <w:guid w:val="{5c12f2aa-6d64-4657-ad43-198aae10afd2}"/>
      </w:docPartPr>
      <w:docPartBody>
        <w:p w14:paraId="37AA187A">
          <w:r>
            <w:rPr>
              <w:color w:val="808080"/>
            </w:rPr>
            <w:t>单击此处输入文字。</w:t>
          </w:r>
        </w:p>
      </w:docPartBody>
    </w:docPart>
    <w:docPart>
      <w:docPartPr>
        <w:name w:val="{12e235d9-2a25-4fcf-ba55-5f1c0a353ff9}"/>
        <w:style w:val=""/>
        <w:category>
          <w:name w:val="常规"/>
          <w:gallery w:val="placeholder"/>
        </w:category>
        <w:types>
          <w:type w:val="bbPlcHdr"/>
        </w:types>
        <w:behaviors>
          <w:behavior w:val="content"/>
        </w:behaviors>
        <w:description w:val=""/>
        <w:guid w:val="{12e235d9-2a25-4fcf-ba55-5f1c0a353ff9}"/>
      </w:docPartPr>
      <w:docPartBody>
        <w:p w14:paraId="68C8D704">
          <w:r>
            <w:rPr>
              <w:color w:val="808080"/>
            </w:rPr>
            <w:t>单击此处输入文字。</w:t>
          </w:r>
        </w:p>
      </w:docPartBody>
    </w:docPart>
    <w:docPart>
      <w:docPartPr>
        <w:name w:val="{746ec15a-83a8-44a5-8de7-12eee0784a68}"/>
        <w:style w:val=""/>
        <w:category>
          <w:name w:val="常规"/>
          <w:gallery w:val="placeholder"/>
        </w:category>
        <w:types>
          <w:type w:val="bbPlcHdr"/>
        </w:types>
        <w:behaviors>
          <w:behavior w:val="content"/>
        </w:behaviors>
        <w:description w:val=""/>
        <w:guid w:val="{746ec15a-83a8-44a5-8de7-12eee0784a68}"/>
      </w:docPartPr>
      <w:docPartBody>
        <w:p w14:paraId="07741AC2">
          <w:r>
            <w:rPr>
              <w:color w:val="808080"/>
            </w:rPr>
            <w:t>单击此处输入文字。</w:t>
          </w:r>
        </w:p>
      </w:docPartBody>
    </w:docPart>
    <w:docPart>
      <w:docPartPr>
        <w:name w:val="{0a754ea8-0acc-44eb-bd44-6f1765ff7d7a}"/>
        <w:style w:val=""/>
        <w:category>
          <w:name w:val="常规"/>
          <w:gallery w:val="placeholder"/>
        </w:category>
        <w:types>
          <w:type w:val="bbPlcHdr"/>
        </w:types>
        <w:behaviors>
          <w:behavior w:val="content"/>
        </w:behaviors>
        <w:description w:val=""/>
        <w:guid w:val="{0a754ea8-0acc-44eb-bd44-6f1765ff7d7a}"/>
      </w:docPartPr>
      <w:docPartBody>
        <w:p w14:paraId="6AFA1690">
          <w:r>
            <w:rPr>
              <w:color w:val="808080"/>
            </w:rPr>
            <w:t>单击此处输入文字。</w:t>
          </w:r>
        </w:p>
      </w:docPartBody>
    </w:docPart>
    <w:docPart>
      <w:docPartPr>
        <w:name w:val="{6d1552d3-253e-42f9-9308-7a6489af68db}"/>
        <w:style w:val=""/>
        <w:category>
          <w:name w:val="常规"/>
          <w:gallery w:val="placeholder"/>
        </w:category>
        <w:types>
          <w:type w:val="bbPlcHdr"/>
        </w:types>
        <w:behaviors>
          <w:behavior w:val="content"/>
        </w:behaviors>
        <w:description w:val=""/>
        <w:guid w:val="{6d1552d3-253e-42f9-9308-7a6489af68db}"/>
      </w:docPartPr>
      <w:docPartBody>
        <w:p w14:paraId="21D1D418">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60</Pages>
  <Words>8706</Words>
  <Characters>8929</Characters>
  <Lines>417</Lines>
  <Paragraphs>117</Paragraphs>
  <TotalTime>12</TotalTime>
  <ScaleCrop>false</ScaleCrop>
  <LinksUpToDate>false</LinksUpToDate>
  <CharactersWithSpaces>10114</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2018-03-31T01:08:00Z</dcterms:created>
  <dc:creator>袁静</dc:creator>
  <cp:lastModifiedBy>WW</cp:lastModifiedBy>
  <cp:lastPrinted>2018-01-15T19:06:00Z</cp:lastPrinted>
  <dcterms:modified xsi:type="dcterms:W3CDTF">2025-11-03T03:11:59Z</dcterms:modified>
  <dc:title>中华人民共和国</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2892B3E525A8F315ADE43E67F618C002_43</vt:lpwstr>
  </property>
  <property fmtid="{D5CDD505-2E9C-101B-9397-08002B2CF9AE}" pid="4" name="KSOTemplateDocerSaveRecord">
    <vt:lpwstr>eyJoZGlkIjoiNDUwOWYxZWQyMmQ4ZjM3MTM5ZTAzOGM5MTE1Y2E3YmMiLCJ1c2VySWQiOiIyNDE3NTgzMjcifQ==</vt:lpwstr>
  </property>
</Properties>
</file>