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both"/>
        <w:rPr>
          <w:rFonts w:hint="default" w:ascii="黑体" w:hAnsi="黑体" w:eastAsia="黑体" w:cs="黑体"/>
          <w:b/>
          <w:bCs/>
          <w:color w:val="auto"/>
          <w:kern w:val="2"/>
          <w:sz w:val="32"/>
          <w:szCs w:val="32"/>
          <w:highlight w:val="none"/>
          <w:lang w:val="en-US" w:eastAsia="zh-CN"/>
        </w:rPr>
      </w:pPr>
      <w:bookmarkStart w:id="0" w:name="_Toc15706"/>
      <w:r>
        <w:rPr>
          <w:rFonts w:hint="eastAsia" w:ascii="黑体" w:hAnsi="黑体" w:eastAsia="黑体" w:cs="黑体"/>
          <w:b/>
          <w:bCs/>
          <w:color w:val="auto"/>
          <w:kern w:val="2"/>
          <w:sz w:val="32"/>
          <w:szCs w:val="32"/>
          <w:highlight w:val="none"/>
          <w:lang w:val="en-US" w:eastAsia="zh-CN"/>
        </w:rPr>
        <w:t>附录H</w:t>
      </w:r>
      <w:bookmarkEnd w:id="0"/>
    </w:p>
    <w:p>
      <w:pPr>
        <w:pageBreakBefore w:val="0"/>
        <w:widowControl w:val="0"/>
        <w:kinsoku/>
        <w:wordWrap/>
        <w:overflowPunct/>
        <w:topLinePunct w:val="0"/>
        <w:bidi w:val="0"/>
        <w:snapToGrid/>
        <w:spacing w:before="0" w:after="0" w:line="600" w:lineRule="exact"/>
        <w:jc w:val="center"/>
        <w:textAlignment w:val="auto"/>
        <w:outlineLvl w:val="9"/>
        <w:rPr>
          <w:rFonts w:hint="default" w:ascii="黑体" w:hAnsi="黑体" w:eastAsia="黑体" w:cs="黑体"/>
          <w:b w:val="0"/>
          <w:bCs w:val="0"/>
          <w:color w:val="auto"/>
          <w:kern w:val="2"/>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rPr>
        <w:t>零星采购项目要求</w:t>
      </w:r>
    </w:p>
    <w:tbl>
      <w:tblPr>
        <w:tblStyle w:val="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003"/>
        <w:gridCol w:w="441"/>
        <w:gridCol w:w="1545"/>
        <w:gridCol w:w="1674"/>
        <w:gridCol w:w="785"/>
        <w:gridCol w:w="555"/>
        <w:gridCol w:w="867"/>
        <w:gridCol w:w="984"/>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海南电网有限责任公司输电运检分公司</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机巡作业中心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基于载重无人机远程防控孔明灯装置制作材料</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□工程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 xml:space="preserve">货物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服务</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输电分公司2026年创新项目成本预算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restart"/>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4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67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78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5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67"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984"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143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154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孔明灯俘获钩爪装置</w:t>
            </w:r>
          </w:p>
        </w:tc>
        <w:tc>
          <w:tcPr>
            <w:tcW w:w="1674" w:type="dxa"/>
            <w:tcBorders>
              <w:tl2br w:val="nil"/>
              <w:tr2bl w:val="nil"/>
            </w:tcBorders>
            <w:shd w:val="clear" w:color="auto" w:fill="FFFFFF" w:themeFill="background1"/>
            <w:vAlign w:val="center"/>
          </w:tcPr>
          <w:p>
            <w:pPr>
              <w:snapToGrid w:val="0"/>
              <w:spacing w:line="200" w:lineRule="exact"/>
              <w:jc w:val="left"/>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1.耐高温合金钩爪（J 型带针刺）定制J型，铝板1块</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2.碳纤维板材，2块</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3.大扭矩驱动电机，1套</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4.传动连杆，圆钢，10根</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5.耐高温橡胶密封圈若干</w:t>
            </w:r>
          </w:p>
        </w:tc>
        <w:tc>
          <w:tcPr>
            <w:tcW w:w="785"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套</w:t>
            </w:r>
          </w:p>
        </w:tc>
        <w:tc>
          <w:tcPr>
            <w:tcW w:w="867"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98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w:t>
            </w:r>
          </w:p>
        </w:tc>
        <w:tc>
          <w:tcPr>
            <w:tcW w:w="154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环保型灭火装置</w:t>
            </w:r>
          </w:p>
        </w:tc>
        <w:tc>
          <w:tcPr>
            <w:tcW w:w="1674" w:type="dxa"/>
            <w:tcBorders>
              <w:tl2br w:val="nil"/>
              <w:tr2bl w:val="nil"/>
            </w:tcBorders>
            <w:shd w:val="clear" w:color="auto" w:fill="FFFFFF" w:themeFill="background1"/>
            <w:vAlign w:val="center"/>
          </w:tcPr>
          <w:p>
            <w:pPr>
              <w:snapToGrid w:val="0"/>
              <w:spacing w:line="200" w:lineRule="exact"/>
              <w:jc w:val="left"/>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1.高压喷头，2-3组</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2.微型电动舵机，2组</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3.密封存储仓，工程塑料2斤</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4.耐腐蚀软管+快速接头若干</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5.各种阀，若干</w:t>
            </w:r>
          </w:p>
          <w:p>
            <w:pPr>
              <w:snapToGrid w:val="0"/>
              <w:spacing w:line="200" w:lineRule="exact"/>
              <w:jc w:val="left"/>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6.减震橡胶垫若干</w:t>
            </w:r>
          </w:p>
        </w:tc>
        <w:tc>
          <w:tcPr>
            <w:tcW w:w="78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3</w:t>
            </w:r>
          </w:p>
        </w:tc>
        <w:tc>
          <w:tcPr>
            <w:tcW w:w="154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电源通信模块</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1.输入 12~24V，多路独立稳压输出1套</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2.无线通信模组2套</w:t>
            </w:r>
          </w:p>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3.防水外壳2-3套</w:t>
            </w:r>
          </w:p>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4.过载保护元件3-5套</w:t>
            </w:r>
          </w:p>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5.接线端子、各种接头若干</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6.各类辅助装配工具套装若干</w:t>
            </w:r>
          </w:p>
        </w:tc>
        <w:tc>
          <w:tcPr>
            <w:tcW w:w="78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b/>
          <w:bCs/>
          <w:sz w:val="24"/>
          <w:szCs w:val="24"/>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一、项目概况及采购内容：</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目前海南电网主网机巡作业时，孔明灯作为传统节庆活动用品，常因风力或操作不当缠绕在高压输电线路、变电站设备上，导致短路、跳闸甚至火灾，严重影响电力系统安全。据统计，我国每年因孔明灯引发的电力故障超千起，经济损失达数亿元。在海南省内有节日然后孔明灯的习俗，近几年海南电网公司因孔明灯误碰导线引起设备故障不在少数，现在是建设海南自贸港的关键时期，对电网稳定运行也有更高的要求，消除孔明灯对电力设备的危害迫在眉睫。</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本项目通过研制“基于载重无人机远程防控孔明灯装置制作材料</w:t>
      </w:r>
      <w:r>
        <w:rPr>
          <w:rFonts w:hint="eastAsia" w:asciiTheme="minorEastAsia" w:hAnsiTheme="minorEastAsia" w:eastAsiaTheme="minorEastAsia" w:cstheme="minorEastAsia"/>
          <w:b w:val="0"/>
          <w:bCs w:val="0"/>
          <w:i w:val="0"/>
          <w:iCs w:val="0"/>
          <w:color w:val="auto"/>
          <w:sz w:val="21"/>
          <w:szCs w:val="21"/>
          <w:highlight w:val="none"/>
          <w:lang w:val="en-US" w:eastAsia="zh-CN"/>
        </w:rPr>
        <w:t>”，设计孔明灯俘获钩爪、环保型灭火装置、电源通信模块。利用无人机搭载防控孔明灯机械装置实现对危害输电线路安全稳定运行的孔明灯进轨迹牵引、外形破坏、结构损毁等作业，解决人工无法控制孔明灯轨迹及落点难题，保障电力设备不因孔明灯缠绕在高压输电线路、变电站设备上，导致短路、跳闸甚至火灾问题发生，大幅降低其对电力系统安全严重影响。</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二、资质要求：</w:t>
      </w:r>
      <w:bookmarkStart w:id="1" w:name="_GoBack"/>
      <w:bookmarkEnd w:id="1"/>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法人身份证、营业执照、相关资质证明。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三、相关技术要求：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符合技术规范书要求（详见技术规范书）。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四、服务相关要求：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1.设备的免费质保期不低于1年。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2.投标方必须24小时（节假日或工作日）答复售后服务的需求，并在72小时内提供技术服务。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五、交付标准：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本项目采购孔明灯俘获钩爪装置、环保型灭火装置、尼龙玻纤维、电源通信模块等材料，为最终基于载重无人机远程防控孔明灯装置研制提供研制开发所需的所有材料。（含相关配件及辅材，包括但不限于螺栓、螺母、垫圈等各类紧固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六、商务及报价要求：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w:t>
      </w:r>
      <w:r>
        <w:rPr>
          <w:rFonts w:hint="default" w:asciiTheme="minorEastAsia" w:hAnsiTheme="minorEastAsia" w:eastAsiaTheme="minorEastAsia" w:cstheme="minorEastAsia"/>
          <w:b w:val="0"/>
          <w:bCs w:val="0"/>
          <w:i w:val="0"/>
          <w:iCs w:val="0"/>
          <w:color w:val="auto"/>
          <w:sz w:val="21"/>
          <w:szCs w:val="21"/>
          <w:highlight w:val="none"/>
          <w:lang w:val="en-US" w:eastAsia="zh-CN"/>
        </w:rPr>
        <w:t>报价方式为总价包干报价，报价低于概算价50%或最低价低于除最低价外的平均报价25%应要求提供成本分析报告，未按要求提供或者报告未能合理说明原因的，可进行否决处理</w:t>
      </w:r>
      <w:r>
        <w:rPr>
          <w:rFonts w:hint="eastAsia" w:asciiTheme="minorEastAsia" w:hAnsiTheme="minorEastAsia" w:eastAsiaTheme="minorEastAsia" w:cstheme="minorEastAsia"/>
          <w:b w:val="0"/>
          <w:bCs w:val="0"/>
          <w:i w:val="0"/>
          <w:iCs w:val="0"/>
          <w:color w:val="auto"/>
          <w:sz w:val="21"/>
          <w:szCs w:val="21"/>
          <w:highlight w:val="none"/>
          <w:lang w:val="en-US" w:eastAsia="zh-CN"/>
        </w:rPr>
        <w:t>，</w:t>
      </w:r>
      <w:r>
        <w:rPr>
          <w:rFonts w:hint="default" w:asciiTheme="minorEastAsia" w:hAnsiTheme="minorEastAsia" w:eastAsiaTheme="minorEastAsia" w:cstheme="minorEastAsia"/>
          <w:b w:val="0"/>
          <w:bCs w:val="0"/>
          <w:i w:val="0"/>
          <w:iCs w:val="0"/>
          <w:color w:val="auto"/>
          <w:sz w:val="21"/>
          <w:szCs w:val="21"/>
          <w:highlight w:val="none"/>
          <w:lang w:val="en-US" w:eastAsia="zh-CN"/>
        </w:rPr>
        <w:t>且报价文件加盖单位公章</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default" w:asciiTheme="minorEastAsia" w:hAnsiTheme="minorEastAsia" w:eastAsiaTheme="minorEastAsia" w:cstheme="minorEastAsia"/>
          <w:b w:val="0"/>
          <w:bCs w:val="0"/>
          <w:i w:val="0"/>
          <w:iCs w:val="0"/>
          <w:color w:val="auto"/>
          <w:sz w:val="21"/>
          <w:szCs w:val="21"/>
          <w:highlight w:val="none"/>
          <w:lang w:val="en-US" w:eastAsia="zh-CN"/>
        </w:rPr>
        <w:t>2.报价为含税总价，需开具增值税专用发票，报价金额包含完成本项目全部工作内容的所有成本、费用，采购人无需另行支付任何其他费用</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default" w:asciiTheme="minorEastAsia" w:hAnsiTheme="minorEastAsia" w:eastAsiaTheme="minorEastAsia" w:cstheme="minorEastAsia"/>
          <w:b w:val="0"/>
          <w:bCs w:val="0"/>
          <w:i w:val="0"/>
          <w:iCs w:val="0"/>
          <w:color w:val="auto"/>
          <w:sz w:val="21"/>
          <w:szCs w:val="21"/>
          <w:highlight w:val="none"/>
          <w:lang w:val="en-US" w:eastAsia="zh-CN"/>
        </w:rPr>
        <w:t>3.付款账户必须为成交供应商对公账户，不接受委托收款、第三方代收</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default" w:asciiTheme="minorEastAsia" w:hAnsiTheme="minorEastAsia" w:eastAsiaTheme="minorEastAsia" w:cstheme="minorEastAsia"/>
          <w:b w:val="0"/>
          <w:bCs w:val="0"/>
          <w:i w:val="0"/>
          <w:iCs w:val="0"/>
          <w:color w:val="auto"/>
          <w:sz w:val="21"/>
          <w:szCs w:val="21"/>
          <w:highlight w:val="none"/>
          <w:lang w:val="en-US" w:eastAsia="zh-CN"/>
        </w:rPr>
        <w:t>4.本项目为</w:t>
      </w:r>
      <w:r>
        <w:rPr>
          <w:rFonts w:hint="eastAsia" w:asciiTheme="minorEastAsia" w:hAnsiTheme="minorEastAsia" w:eastAsiaTheme="minorEastAsia" w:cstheme="minorEastAsia"/>
          <w:b w:val="0"/>
          <w:bCs w:val="0"/>
          <w:i w:val="0"/>
          <w:iCs w:val="0"/>
          <w:color w:val="auto"/>
          <w:sz w:val="21"/>
          <w:szCs w:val="21"/>
          <w:highlight w:val="none"/>
          <w:lang w:val="en-US" w:eastAsia="zh-CN"/>
        </w:rPr>
        <w:t>载重无人机远程防控孔明灯装置制作材料供货、配套服务</w:t>
      </w:r>
      <w:r>
        <w:rPr>
          <w:rFonts w:hint="default" w:asciiTheme="minorEastAsia" w:hAnsiTheme="minorEastAsia" w:eastAsiaTheme="minorEastAsia" w:cstheme="minorEastAsia"/>
          <w:b w:val="0"/>
          <w:bCs w:val="0"/>
          <w:i w:val="0"/>
          <w:iCs w:val="0"/>
          <w:color w:val="auto"/>
          <w:sz w:val="21"/>
          <w:szCs w:val="21"/>
          <w:highlight w:val="none"/>
          <w:lang w:val="en-US" w:eastAsia="zh-CN"/>
        </w:rPr>
        <w:t>，按中标价进行签订合同并结算</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七、其他要求：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1.本项目所包含的的材料、质量检验全部由投标方提供；</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2.投标方应建立健全物质管理制度，完备物质出、入库手续，并详细记录。投标方使用的材料、设备的质量和规格型号必须经招标方认可后方能用于项目；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3.投标方使用的材料必须达到国家标准或行业标准、施工验收规范以及设计技术要求。不论是否经过招标方代表检验，均由投标方对其质量负责。如发现投标方将不合格产品、设备用于该项目，招标方有权要求投标方更换并承担全部费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4.投标方使用的材料必须有完整的产品合格证、材质证明书并于开工前向招标方提供复印件，如果不符合质量要求，招标方有权拒绝投标方在工程中使用；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5.招标方有权到投标方选定的供货商检查设备、材料质量。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0D600A"/>
    <w:rsid w:val="00A85C55"/>
    <w:rsid w:val="020D600A"/>
    <w:rsid w:val="02661F6C"/>
    <w:rsid w:val="03012F7E"/>
    <w:rsid w:val="032B6341"/>
    <w:rsid w:val="064E1F37"/>
    <w:rsid w:val="091B0828"/>
    <w:rsid w:val="0984618D"/>
    <w:rsid w:val="0A351CCC"/>
    <w:rsid w:val="10A20A57"/>
    <w:rsid w:val="12287334"/>
    <w:rsid w:val="14EB7423"/>
    <w:rsid w:val="1876461E"/>
    <w:rsid w:val="18854A4A"/>
    <w:rsid w:val="18B35B1E"/>
    <w:rsid w:val="193A79F0"/>
    <w:rsid w:val="197A40D4"/>
    <w:rsid w:val="1F521978"/>
    <w:rsid w:val="20EC2376"/>
    <w:rsid w:val="25203ECF"/>
    <w:rsid w:val="25EC799C"/>
    <w:rsid w:val="260B04D9"/>
    <w:rsid w:val="266A6A94"/>
    <w:rsid w:val="277A0E4F"/>
    <w:rsid w:val="2C4A2AB2"/>
    <w:rsid w:val="30F67F72"/>
    <w:rsid w:val="331174F5"/>
    <w:rsid w:val="37D52D87"/>
    <w:rsid w:val="3AD91A8D"/>
    <w:rsid w:val="3D664705"/>
    <w:rsid w:val="3E992C55"/>
    <w:rsid w:val="41305C04"/>
    <w:rsid w:val="420561E0"/>
    <w:rsid w:val="44611D83"/>
    <w:rsid w:val="45932935"/>
    <w:rsid w:val="472A5ECE"/>
    <w:rsid w:val="48BA78DE"/>
    <w:rsid w:val="4DFE7486"/>
    <w:rsid w:val="54C95AD3"/>
    <w:rsid w:val="56586FB6"/>
    <w:rsid w:val="67777E04"/>
    <w:rsid w:val="6A5A26C8"/>
    <w:rsid w:val="6FAA007F"/>
    <w:rsid w:val="7351736A"/>
    <w:rsid w:val="7A784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paragraph" w:styleId="4">
    <w:name w:val="heading 2"/>
    <w:basedOn w:val="1"/>
    <w:next w:val="5"/>
    <w:qFormat/>
    <w:uiPriority w:val="0"/>
    <w:pPr>
      <w:keepNext/>
      <w:keepLines/>
      <w:spacing w:before="160" w:after="160"/>
      <w:contextualSpacing/>
      <w:outlineLvl w:val="1"/>
    </w:pPr>
    <w:rPr>
      <w:rFonts w:ascii="楷体_GB2312" w:hAnsi="Arial" w:eastAsia="宋体"/>
      <w:b/>
      <w:sz w:val="32"/>
      <w:szCs w:val="20"/>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39"/>
    <w:pPr>
      <w:ind w:left="420" w:leftChars="200"/>
    </w:pPr>
  </w:style>
  <w:style w:type="paragraph" w:styleId="5">
    <w:name w:val="Normal Indent"/>
    <w:basedOn w:val="1"/>
    <w:uiPriority w:val="0"/>
    <w:pPr>
      <w:ind w:firstLine="420" w:firstLineChars="200"/>
    </w:pPr>
  </w:style>
  <w:style w:type="paragraph" w:styleId="6">
    <w:name w:val="Body Text"/>
    <w:basedOn w:val="7"/>
    <w:next w:val="7"/>
    <w:unhideWhenUsed/>
    <w:qFormat/>
    <w:uiPriority w:val="99"/>
    <w:rPr>
      <w:rFonts w:eastAsia="仿宋_GB2312"/>
      <w:sz w:val="32"/>
    </w:rPr>
  </w:style>
  <w:style w:type="paragraph" w:styleId="7">
    <w:name w:val="Title"/>
    <w:basedOn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2026-07-22T08:35:00Z</dcterms:created>
  <dc:creator>HNDW</dc:creator>
  <cp:lastModifiedBy>HNDW</cp:lastModifiedBy>
  <dcterms:modified xsi:type="dcterms:W3CDTF">2026-07-28T00:43:22Z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B53C8264827A4283B299C4C337D61F7C</vt:lpwstr>
  </property>
</Properties>
</file>