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FD48CA">
      <w:pPr>
        <w:pStyle w:val="8"/>
        <w:jc w:val="center"/>
        <w:rPr>
          <w:rFonts w:ascii="隶书" w:eastAsia="隶书"/>
          <w:sz w:val="56"/>
          <w:szCs w:val="56"/>
        </w:rPr>
      </w:pPr>
    </w:p>
    <w:p w14:paraId="34735D83">
      <w:pPr>
        <w:pStyle w:val="8"/>
        <w:jc w:val="center"/>
        <w:rPr>
          <w:rFonts w:ascii="隶书" w:eastAsia="隶书"/>
          <w:sz w:val="56"/>
          <w:szCs w:val="56"/>
        </w:rPr>
      </w:pPr>
    </w:p>
    <w:p w14:paraId="538446C5">
      <w:pPr>
        <w:pStyle w:val="8"/>
        <w:jc w:val="center"/>
        <w:rPr>
          <w:rFonts w:ascii="隶书" w:eastAsia="隶书"/>
          <w:sz w:val="56"/>
          <w:szCs w:val="56"/>
        </w:rPr>
      </w:pPr>
    </w:p>
    <w:p w14:paraId="0C32A413">
      <w:pPr>
        <w:pStyle w:val="19"/>
        <w:rPr>
          <w:rFonts w:hint="eastAsia" w:ascii="黑体" w:hAnsi="黑体" w:eastAsia="黑体" w:cs="黑体"/>
          <w:szCs w:val="52"/>
          <w:lang w:eastAsia="zh-CN"/>
        </w:rPr>
      </w:pPr>
      <w:r>
        <w:rPr>
          <w:rFonts w:hint="default" w:ascii="黑体" w:hAnsi="黑体" w:eastAsia="黑体" w:cs="黑体"/>
          <w:szCs w:val="52"/>
        </w:rPr>
        <w:t>基于云景平台的变电运行信息数据看板</w:t>
      </w:r>
      <w:r>
        <w:rPr>
          <w:rFonts w:hint="eastAsia" w:ascii="黑体" w:hAnsi="黑体" w:eastAsia="黑体" w:cs="黑体"/>
          <w:szCs w:val="52"/>
          <w:lang w:val="en-US" w:eastAsia="zh-CN"/>
        </w:rPr>
        <w:t>职创项目</w:t>
      </w:r>
      <w:r>
        <w:rPr>
          <w:rFonts w:hint="eastAsia" w:ascii="黑体" w:hAnsi="黑体" w:eastAsia="黑体" w:cs="黑体"/>
          <w:szCs w:val="52"/>
        </w:rPr>
        <w:t>软件</w:t>
      </w:r>
      <w:r>
        <w:rPr>
          <w:rFonts w:hint="eastAsia" w:ascii="黑体" w:hAnsi="黑体" w:eastAsia="黑体" w:cs="黑体"/>
          <w:szCs w:val="52"/>
          <w:lang w:val="en-US" w:eastAsia="zh-CN"/>
        </w:rPr>
        <w:t>加工费零星采购</w:t>
      </w:r>
    </w:p>
    <w:p w14:paraId="008678EF">
      <w:pPr>
        <w:pStyle w:val="19"/>
        <w:rPr>
          <w:rFonts w:hint="eastAsia" w:ascii="黑体" w:hAnsi="黑体" w:eastAsia="黑体" w:cs="黑体"/>
          <w:szCs w:val="52"/>
        </w:rPr>
      </w:pPr>
    </w:p>
    <w:p w14:paraId="364E9C51">
      <w:pPr>
        <w:pStyle w:val="19"/>
        <w:rPr>
          <w:rFonts w:hint="eastAsia" w:ascii="黑体" w:hAnsi="黑体" w:eastAsia="黑体" w:cs="黑体"/>
          <w:szCs w:val="52"/>
        </w:rPr>
      </w:pPr>
    </w:p>
    <w:p w14:paraId="3B75BCBA">
      <w:pPr>
        <w:pStyle w:val="19"/>
        <w:rPr>
          <w:rFonts w:hint="eastAsia" w:ascii="黑体" w:hAnsi="黑体" w:eastAsia="黑体" w:cs="黑体"/>
          <w:szCs w:val="52"/>
        </w:rPr>
      </w:pPr>
    </w:p>
    <w:p w14:paraId="407584E3">
      <w:pPr>
        <w:pStyle w:val="19"/>
        <w:rPr>
          <w:rFonts w:hint="eastAsia" w:ascii="黑体" w:hAnsi="黑体" w:eastAsia="黑体" w:cs="黑体"/>
          <w:szCs w:val="52"/>
        </w:rPr>
      </w:pPr>
      <w:r>
        <w:rPr>
          <w:rFonts w:hint="eastAsia" w:ascii="黑体" w:hAnsi="黑体" w:eastAsia="黑体" w:cs="黑体"/>
          <w:szCs w:val="52"/>
        </w:rPr>
        <w:t>技术规范书</w:t>
      </w:r>
    </w:p>
    <w:p w14:paraId="3BF8C998">
      <w:pPr>
        <w:spacing w:before="156" w:beforeLines="50"/>
        <w:rPr>
          <w:rFonts w:ascii="楷体_GB2312" w:hAnsi="宋体" w:eastAsia="楷体_GB2312"/>
          <w:sz w:val="32"/>
          <w:szCs w:val="32"/>
        </w:rPr>
      </w:pPr>
    </w:p>
    <w:p w14:paraId="539FE09A">
      <w:pPr>
        <w:spacing w:before="156" w:beforeLines="50"/>
        <w:jc w:val="center"/>
        <w:rPr>
          <w:rFonts w:ascii="楷体_GB2312" w:hAnsi="宋体" w:eastAsia="楷体_GB2312"/>
          <w:sz w:val="32"/>
          <w:szCs w:val="32"/>
        </w:rPr>
      </w:pPr>
    </w:p>
    <w:p w14:paraId="41B61D95">
      <w:pPr>
        <w:spacing w:beforeLines="50"/>
        <w:jc w:val="center"/>
        <w:rPr>
          <w:rFonts w:hint="default" w:ascii="楷体_GB2312" w:hAnsi="宋体" w:eastAsia="楷体_GB2312"/>
          <w:kern w:val="0"/>
          <w:sz w:val="32"/>
          <w:szCs w:val="32"/>
          <w:lang w:val="en-US" w:eastAsia="zh-CN"/>
        </w:rPr>
      </w:pPr>
      <w:bookmarkStart w:id="0" w:name="_Toc6059"/>
      <w:bookmarkStart w:id="1" w:name="_Toc29868"/>
      <w:bookmarkStart w:id="2" w:name="_Toc26266"/>
      <w:r>
        <w:rPr>
          <w:rFonts w:hint="eastAsia" w:ascii="楷体_GB2312" w:hAnsi="宋体" w:eastAsia="楷体_GB2312"/>
          <w:kern w:val="0"/>
          <w:sz w:val="32"/>
          <w:szCs w:val="32"/>
          <w:lang w:val="en-US" w:eastAsia="zh-CN"/>
        </w:rPr>
        <w:t>2026年  7 月 24  日</w:t>
      </w:r>
    </w:p>
    <w:p w14:paraId="5C254BE5">
      <w:pPr>
        <w:spacing w:line="480" w:lineRule="auto"/>
        <w:jc w:val="center"/>
        <w:outlineLvl w:val="0"/>
        <w:rPr>
          <w:rFonts w:asciiTheme="minorEastAsia" w:hAnsiTheme="minorEastAsia" w:eastAsiaTheme="minorEastAsia" w:cstheme="minorEastAsia"/>
          <w:bCs/>
          <w:sz w:val="44"/>
          <w:szCs w:val="36"/>
        </w:rPr>
      </w:pPr>
    </w:p>
    <w:p w14:paraId="26B9B2FB">
      <w:pPr>
        <w:rPr>
          <w:rFonts w:hint="eastAsia" w:asciiTheme="minorEastAsia" w:hAnsiTheme="minorEastAsia" w:eastAsiaTheme="minorEastAsia" w:cstheme="minorEastAsia"/>
          <w:bCs/>
          <w:sz w:val="44"/>
          <w:szCs w:val="36"/>
        </w:rPr>
      </w:pPr>
      <w:r>
        <w:rPr>
          <w:rFonts w:hint="eastAsia" w:asciiTheme="minorEastAsia" w:hAnsiTheme="minorEastAsia" w:eastAsiaTheme="minorEastAsia" w:cstheme="minorEastAsia"/>
          <w:bCs/>
          <w:sz w:val="44"/>
          <w:szCs w:val="36"/>
        </w:rPr>
        <w:br w:type="page"/>
      </w:r>
    </w:p>
    <w:bookmarkEnd w:id="0"/>
    <w:bookmarkEnd w:id="1"/>
    <w:bookmarkEnd w:id="2"/>
    <w:p w14:paraId="3751B2E1">
      <w:pPr>
        <w:pStyle w:val="23"/>
        <w:spacing w:before="312"/>
        <w:rPr>
          <w:szCs w:val="22"/>
        </w:rPr>
      </w:pPr>
    </w:p>
    <w:p w14:paraId="7AC85C0E">
      <w:pPr>
        <w:pStyle w:val="23"/>
        <w:spacing w:before="312"/>
        <w:outlineLvl w:val="0"/>
        <w:rPr>
          <w:rFonts w:ascii="黑体" w:hAnsi="黑体" w:eastAsia="黑体" w:cs="黑体"/>
          <w:sz w:val="28"/>
          <w:szCs w:val="28"/>
        </w:rPr>
      </w:pPr>
      <w:bookmarkStart w:id="3" w:name="_Toc16459"/>
      <w:r>
        <w:rPr>
          <w:rFonts w:hint="eastAsia" w:ascii="黑体" w:hAnsi="黑体" w:eastAsia="黑体" w:cs="黑体"/>
          <w:sz w:val="28"/>
          <w:szCs w:val="28"/>
        </w:rPr>
        <w:t>1  标的概况</w:t>
      </w:r>
      <w:bookmarkEnd w:id="3"/>
      <w:bookmarkStart w:id="4" w:name="_Toc17049"/>
      <w:bookmarkStart w:id="5" w:name="_Toc7301"/>
    </w:p>
    <w:p w14:paraId="4F969019">
      <w:pPr>
        <w:adjustRightInd w:val="0"/>
        <w:snapToGrid w:val="0"/>
        <w:spacing w:line="360" w:lineRule="auto"/>
        <w:ind w:firstLine="480" w:firstLineChars="200"/>
        <w:outlineLvl w:val="0"/>
        <w:rPr>
          <w:rFonts w:hint="eastAsia" w:ascii="宋体" w:hAnsi="宋体" w:eastAsia="宋体" w:cs="宋体"/>
          <w:color w:val="000000"/>
          <w:kern w:val="0"/>
          <w:sz w:val="24"/>
          <w:szCs w:val="20"/>
          <w:lang w:eastAsia="zh-CN"/>
        </w:rPr>
      </w:pPr>
      <w:r>
        <w:rPr>
          <w:rFonts w:hint="eastAsia" w:ascii="宋体" w:hAnsi="宋体" w:cs="宋体"/>
          <w:color w:val="000000"/>
          <w:kern w:val="0"/>
          <w:sz w:val="24"/>
          <w:szCs w:val="20"/>
        </w:rPr>
        <w:t>标的名称：</w:t>
      </w:r>
      <w:bookmarkEnd w:id="4"/>
      <w:bookmarkEnd w:id="5"/>
      <w:r>
        <w:rPr>
          <w:rFonts w:hint="eastAsia" w:ascii="宋体" w:hAnsi="宋体" w:cs="宋体"/>
          <w:color w:val="000000"/>
          <w:kern w:val="0"/>
          <w:sz w:val="24"/>
          <w:szCs w:val="20"/>
        </w:rPr>
        <w:t>“基于云景平台的变电运行信息数据看板”项目软件加工费零星采购</w:t>
      </w:r>
      <w:r>
        <w:rPr>
          <w:rFonts w:hint="eastAsia" w:ascii="宋体" w:hAnsi="宋体" w:cs="宋体"/>
          <w:color w:val="000000"/>
          <w:kern w:val="0"/>
          <w:sz w:val="24"/>
          <w:szCs w:val="20"/>
          <w:lang w:eastAsia="zh-CN"/>
        </w:rPr>
        <w:t>。</w:t>
      </w:r>
    </w:p>
    <w:p w14:paraId="0B50C519">
      <w:pPr>
        <w:adjustRightInd w:val="0"/>
        <w:snapToGrid w:val="0"/>
        <w:spacing w:line="360" w:lineRule="auto"/>
        <w:ind w:firstLine="480" w:firstLineChars="200"/>
        <w:outlineLvl w:val="0"/>
        <w:rPr>
          <w:rFonts w:hint="eastAsia" w:ascii="宋体" w:hAnsi="宋体" w:cs="宋体"/>
          <w:color w:val="000000"/>
          <w:kern w:val="0"/>
          <w:sz w:val="24"/>
          <w:szCs w:val="20"/>
        </w:rPr>
      </w:pPr>
      <w:r>
        <w:rPr>
          <w:rFonts w:hint="default" w:ascii="宋体" w:hAnsi="宋体" w:cs="宋体"/>
          <w:color w:val="000000"/>
          <w:kern w:val="0"/>
          <w:sz w:val="24"/>
          <w:szCs w:val="20"/>
        </w:rPr>
        <w:t>本项目面向变电运行管理业务领域，基于南方电网云景平台进行变电运行信息数据看板应用开发，采用大数据挖掘分析、highcharts可视化报表展示等技术，整合当日作业计划、人员情况、两票情况、工器具管理信息等多元业务数据。项目旨在解决当前业务部门数据需求场景多样、传统数据响应与呈现方式效率不足等问题，实现生产运行数据指标看板功能，满足企业数据分析和可视化展示需求，为管理人员了解业务情况提供决策支撑。</w:t>
      </w:r>
    </w:p>
    <w:p w14:paraId="3B19C77A">
      <w:pPr>
        <w:adjustRightInd w:val="0"/>
        <w:snapToGrid w:val="0"/>
        <w:spacing w:line="360" w:lineRule="auto"/>
        <w:ind w:firstLine="480" w:firstLineChars="200"/>
        <w:outlineLvl w:val="0"/>
        <w:rPr>
          <w:rFonts w:hint="default" w:ascii="宋体" w:hAnsi="宋体" w:cs="宋体"/>
          <w:color w:val="000000"/>
          <w:kern w:val="0"/>
          <w:sz w:val="24"/>
          <w:szCs w:val="20"/>
        </w:rPr>
      </w:pPr>
      <w:r>
        <w:rPr>
          <w:rFonts w:hint="default" w:ascii="宋体" w:hAnsi="宋体" w:cs="宋体"/>
          <w:color w:val="000000"/>
          <w:kern w:val="0"/>
          <w:sz w:val="24"/>
          <w:szCs w:val="20"/>
        </w:rPr>
        <w:t>项目需通过本次零星采购软件加工服务，使软件达到项目成果技术要求，主要工作包括：基于云景平台的数据建模与分析、看板界面开发与功能完善、多源数据整合与可视化展示、软件工具加工封装及代码优化等。</w:t>
      </w:r>
    </w:p>
    <w:p w14:paraId="7AB73EE5">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数量：</w:t>
      </w:r>
      <w:r>
        <w:rPr>
          <w:rFonts w:hint="default" w:ascii="宋体" w:hAnsi="宋体" w:cs="宋体"/>
          <w:color w:val="000000"/>
          <w:kern w:val="0"/>
          <w:sz w:val="24"/>
          <w:szCs w:val="20"/>
        </w:rPr>
        <w:t>基于云景平台的变电运行信息数据看板软件1套</w:t>
      </w:r>
      <w:r>
        <w:rPr>
          <w:rFonts w:ascii="Segoe UI" w:hAnsi="Segoe UI" w:eastAsia="Segoe UI" w:cs="Segoe UI"/>
          <w:i w:val="0"/>
          <w:iCs w:val="0"/>
          <w:caps w:val="0"/>
          <w:color w:val="0F1115"/>
          <w:spacing w:val="0"/>
          <w:sz w:val="24"/>
          <w:szCs w:val="24"/>
          <w:shd w:val="clear" w:fill="FFFFFF"/>
        </w:rPr>
        <w:t>。</w:t>
      </w:r>
    </w:p>
    <w:p w14:paraId="39AD756C">
      <w:pPr>
        <w:adjustRightInd w:val="0"/>
        <w:snapToGrid w:val="0"/>
        <w:spacing w:line="360" w:lineRule="auto"/>
        <w:ind w:firstLine="480" w:firstLineChars="200"/>
        <w:outlineLvl w:val="0"/>
        <w:rPr>
          <w:rFonts w:hint="default" w:ascii="宋体" w:hAnsi="宋体" w:cs="宋体"/>
          <w:color w:val="000000"/>
          <w:kern w:val="0"/>
          <w:sz w:val="24"/>
          <w:szCs w:val="20"/>
        </w:rPr>
      </w:pPr>
      <w:r>
        <w:rPr>
          <w:rFonts w:hint="eastAsia" w:ascii="宋体" w:hAnsi="宋体" w:cs="宋体"/>
          <w:color w:val="000000"/>
          <w:kern w:val="0"/>
          <w:sz w:val="24"/>
          <w:szCs w:val="20"/>
          <w:lang w:val="en-US" w:eastAsia="zh-CN"/>
        </w:rPr>
        <w:t>加工</w:t>
      </w:r>
      <w:r>
        <w:rPr>
          <w:rFonts w:hint="eastAsia" w:ascii="宋体" w:hAnsi="宋体" w:cs="宋体"/>
          <w:color w:val="000000"/>
          <w:kern w:val="0"/>
          <w:sz w:val="24"/>
          <w:szCs w:val="20"/>
        </w:rPr>
        <w:t>地点：</w:t>
      </w:r>
      <w:r>
        <w:rPr>
          <w:rFonts w:hint="default" w:ascii="宋体" w:hAnsi="宋体" w:cs="宋体"/>
          <w:color w:val="000000"/>
          <w:kern w:val="0"/>
          <w:sz w:val="24"/>
          <w:szCs w:val="20"/>
        </w:rPr>
        <w:t>东莞供电局变电管理一所。</w:t>
      </w:r>
    </w:p>
    <w:p w14:paraId="6CEAE605">
      <w:pPr>
        <w:adjustRightInd w:val="0"/>
        <w:snapToGrid w:val="0"/>
        <w:spacing w:line="360" w:lineRule="auto"/>
        <w:ind w:firstLine="480" w:firstLineChars="200"/>
        <w:outlineLvl w:val="0"/>
        <w:rPr>
          <w:rFonts w:hint="eastAsia" w:ascii="宋体" w:hAnsi="宋体" w:cs="宋体"/>
          <w:color w:val="000000"/>
          <w:kern w:val="0"/>
          <w:sz w:val="24"/>
          <w:szCs w:val="20"/>
        </w:rPr>
      </w:pPr>
      <w:r>
        <w:rPr>
          <w:rFonts w:hint="eastAsia" w:ascii="宋体" w:hAnsi="宋体" w:cs="宋体"/>
          <w:color w:val="000000"/>
          <w:kern w:val="0"/>
          <w:sz w:val="24"/>
          <w:szCs w:val="20"/>
        </w:rPr>
        <w:t>工期：</w:t>
      </w:r>
      <w:r>
        <w:rPr>
          <w:rFonts w:hint="default" w:ascii="宋体" w:hAnsi="宋体" w:cs="宋体"/>
          <w:color w:val="000000"/>
          <w:kern w:val="0"/>
          <w:sz w:val="24"/>
          <w:szCs w:val="20"/>
        </w:rPr>
        <w:t>2026年</w:t>
      </w:r>
      <w:r>
        <w:rPr>
          <w:rFonts w:hint="eastAsia" w:ascii="宋体" w:hAnsi="宋体" w:cs="宋体"/>
          <w:color w:val="000000"/>
          <w:kern w:val="0"/>
          <w:sz w:val="24"/>
          <w:szCs w:val="20"/>
          <w:lang w:val="en-US" w:eastAsia="zh-CN"/>
        </w:rPr>
        <w:t>10</w:t>
      </w:r>
      <w:r>
        <w:rPr>
          <w:rFonts w:hint="default" w:ascii="宋体" w:hAnsi="宋体" w:cs="宋体"/>
          <w:color w:val="000000"/>
          <w:kern w:val="0"/>
          <w:sz w:val="24"/>
          <w:szCs w:val="20"/>
        </w:rPr>
        <w:t>月3</w:t>
      </w:r>
      <w:r>
        <w:rPr>
          <w:rFonts w:hint="eastAsia" w:ascii="宋体" w:hAnsi="宋体" w:cs="宋体"/>
          <w:color w:val="000000"/>
          <w:kern w:val="0"/>
          <w:sz w:val="24"/>
          <w:szCs w:val="20"/>
          <w:lang w:val="en-US" w:eastAsia="zh-CN"/>
        </w:rPr>
        <w:t>0</w:t>
      </w:r>
      <w:r>
        <w:rPr>
          <w:rFonts w:hint="default" w:ascii="宋体" w:hAnsi="宋体" w:cs="宋体"/>
          <w:color w:val="000000"/>
          <w:kern w:val="0"/>
          <w:sz w:val="24"/>
          <w:szCs w:val="20"/>
        </w:rPr>
        <w:t>日</w:t>
      </w:r>
      <w:r>
        <w:rPr>
          <w:rFonts w:hint="eastAsia" w:ascii="宋体" w:hAnsi="宋体" w:cs="宋体"/>
          <w:color w:val="000000"/>
          <w:kern w:val="0"/>
          <w:sz w:val="24"/>
          <w:szCs w:val="20"/>
          <w:lang w:val="en-US" w:eastAsia="zh-CN"/>
        </w:rPr>
        <w:t>前</w:t>
      </w:r>
      <w:r>
        <w:rPr>
          <w:rFonts w:hint="default" w:ascii="宋体" w:hAnsi="宋体" w:cs="宋体"/>
          <w:color w:val="000000"/>
          <w:kern w:val="0"/>
          <w:sz w:val="24"/>
          <w:szCs w:val="20"/>
        </w:rPr>
        <w:t>。</w:t>
      </w:r>
    </w:p>
    <w:p w14:paraId="076F70E2">
      <w:pPr>
        <w:pStyle w:val="23"/>
        <w:spacing w:before="312"/>
        <w:outlineLvl w:val="0"/>
        <w:rPr>
          <w:rFonts w:ascii="黑体" w:hAnsi="黑体" w:eastAsia="黑体" w:cs="黑体"/>
          <w:sz w:val="28"/>
          <w:szCs w:val="28"/>
        </w:rPr>
      </w:pPr>
      <w:bookmarkStart w:id="6" w:name="_Toc7671"/>
      <w:r>
        <w:rPr>
          <w:rFonts w:hint="eastAsia" w:ascii="黑体" w:hAnsi="黑体" w:eastAsia="黑体" w:cs="黑体"/>
          <w:sz w:val="28"/>
          <w:szCs w:val="28"/>
        </w:rPr>
        <w:t xml:space="preserve">2  </w:t>
      </w:r>
      <w:r>
        <w:rPr>
          <w:rFonts w:hint="eastAsia" w:ascii="黑体" w:hAnsi="黑体" w:eastAsia="黑体" w:cs="黑体"/>
          <w:sz w:val="28"/>
          <w:szCs w:val="28"/>
          <w:lang w:val="en-US" w:eastAsia="zh-CN"/>
        </w:rPr>
        <w:t>加工</w:t>
      </w:r>
      <w:r>
        <w:rPr>
          <w:rFonts w:hint="eastAsia" w:ascii="黑体" w:hAnsi="黑体" w:eastAsia="黑体" w:cs="黑体"/>
          <w:sz w:val="28"/>
          <w:szCs w:val="28"/>
        </w:rPr>
        <w:t>项目要求</w:t>
      </w:r>
      <w:bookmarkEnd w:id="6"/>
    </w:p>
    <w:p w14:paraId="2E83CF85">
      <w:pPr>
        <w:spacing w:line="360" w:lineRule="auto"/>
        <w:outlineLvl w:val="1"/>
        <w:rPr>
          <w:rFonts w:ascii="黑体" w:hAnsi="黑体" w:eastAsia="黑体" w:cs="黑体"/>
          <w:bCs/>
          <w:sz w:val="24"/>
        </w:rPr>
      </w:pPr>
      <w:bookmarkStart w:id="7" w:name="_Toc9074"/>
      <w:r>
        <w:rPr>
          <w:rFonts w:hint="eastAsia" w:ascii="黑体" w:hAnsi="黑体" w:eastAsia="黑体" w:cs="黑体"/>
          <w:bCs/>
          <w:sz w:val="24"/>
        </w:rPr>
        <w:t>2.1 项目及标准</w:t>
      </w:r>
      <w:bookmarkEnd w:id="7"/>
    </w:p>
    <w:p w14:paraId="3134A07C">
      <w:pPr>
        <w:adjustRightInd w:val="0"/>
        <w:snapToGrid w:val="0"/>
        <w:spacing w:line="360" w:lineRule="auto"/>
        <w:ind w:firstLine="480" w:firstLineChars="200"/>
        <w:outlineLvl w:val="0"/>
        <w:rPr>
          <w:rFonts w:hint="default" w:ascii="宋体" w:hAnsi="宋体" w:cs="宋体"/>
          <w:color w:val="000000"/>
          <w:kern w:val="0"/>
          <w:sz w:val="24"/>
          <w:szCs w:val="20"/>
        </w:rPr>
      </w:pPr>
      <w:r>
        <w:rPr>
          <w:rFonts w:hint="default" w:ascii="宋体" w:hAnsi="宋体" w:cs="宋体"/>
          <w:color w:val="000000"/>
          <w:kern w:val="0"/>
          <w:sz w:val="24"/>
          <w:szCs w:val="20"/>
        </w:rPr>
        <w:t>本项目围绕基于云景平台的变电运行信息数据看板，共涉及以下</w:t>
      </w:r>
      <w:r>
        <w:rPr>
          <w:rFonts w:hint="eastAsia" w:ascii="宋体" w:hAnsi="宋体" w:cs="宋体"/>
          <w:color w:val="000000"/>
          <w:kern w:val="0"/>
          <w:sz w:val="24"/>
          <w:szCs w:val="20"/>
          <w:lang w:val="en-US" w:eastAsia="zh-CN"/>
        </w:rPr>
        <w:t>4</w:t>
      </w:r>
      <w:r>
        <w:rPr>
          <w:rFonts w:hint="default" w:ascii="宋体" w:hAnsi="宋体" w:cs="宋体"/>
          <w:color w:val="000000"/>
          <w:kern w:val="0"/>
          <w:sz w:val="24"/>
          <w:szCs w:val="20"/>
        </w:rPr>
        <w:t>项软件加工项目，具体加工内容和标准如下表所示：</w:t>
      </w:r>
    </w:p>
    <w:p w14:paraId="3160C60F">
      <w:pPr>
        <w:spacing w:line="360" w:lineRule="auto"/>
        <w:jc w:val="center"/>
        <w:rPr>
          <w:rFonts w:ascii="黑体" w:hAnsi="黑体" w:eastAsia="黑体" w:cs="黑体"/>
          <w:bCs/>
          <w:color w:val="000000"/>
          <w:szCs w:val="21"/>
        </w:rPr>
      </w:pPr>
      <w:r>
        <w:rPr>
          <w:rFonts w:hint="eastAsia" w:ascii="黑体" w:hAnsi="黑体" w:eastAsia="黑体" w:cs="黑体"/>
          <w:bCs/>
          <w:color w:val="000000"/>
          <w:szCs w:val="21"/>
        </w:rPr>
        <w:t>表1.1 基于云景平台的变电运行信息数据看板软件加工项目</w:t>
      </w:r>
    </w:p>
    <w:tbl>
      <w:tblPr>
        <w:tblStyle w:val="14"/>
        <w:tblW w:w="839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94"/>
        <w:gridCol w:w="3799"/>
        <w:gridCol w:w="3798"/>
      </w:tblGrid>
      <w:tr w14:paraId="0024C00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tcBorders>
              <w:tl2br w:val="nil"/>
              <w:tr2bl w:val="nil"/>
            </w:tcBorders>
            <w:vAlign w:val="center"/>
          </w:tcPr>
          <w:p w14:paraId="27271D29">
            <w:pPr>
              <w:jc w:val="center"/>
              <w:rPr>
                <w:rFonts w:ascii="宋体" w:hAnsi="宋体" w:cs="宋体"/>
                <w:bCs/>
                <w:szCs w:val="21"/>
              </w:rPr>
            </w:pPr>
            <w:r>
              <w:rPr>
                <w:rFonts w:hint="eastAsia" w:ascii="宋体" w:hAnsi="宋体" w:cs="宋体"/>
                <w:bCs/>
                <w:szCs w:val="21"/>
              </w:rPr>
              <w:t>序号</w:t>
            </w:r>
          </w:p>
        </w:tc>
        <w:tc>
          <w:tcPr>
            <w:tcW w:w="3799" w:type="dxa"/>
            <w:tcBorders>
              <w:tl2br w:val="nil"/>
              <w:tr2bl w:val="nil"/>
            </w:tcBorders>
            <w:vAlign w:val="center"/>
          </w:tcPr>
          <w:p w14:paraId="72BF20CD">
            <w:pPr>
              <w:jc w:val="center"/>
              <w:rPr>
                <w:rFonts w:ascii="宋体" w:hAnsi="宋体" w:cs="宋体"/>
                <w:bCs/>
                <w:szCs w:val="21"/>
              </w:rPr>
            </w:pPr>
            <w:r>
              <w:rPr>
                <w:rFonts w:hint="eastAsia" w:ascii="宋体" w:hAnsi="宋体" w:cs="宋体"/>
                <w:bCs/>
                <w:szCs w:val="21"/>
              </w:rPr>
              <w:t>项目名称</w:t>
            </w:r>
          </w:p>
        </w:tc>
        <w:tc>
          <w:tcPr>
            <w:tcW w:w="3798" w:type="dxa"/>
            <w:tcBorders>
              <w:tl2br w:val="nil"/>
              <w:tr2bl w:val="nil"/>
            </w:tcBorders>
            <w:vAlign w:val="center"/>
          </w:tcPr>
          <w:p w14:paraId="1F703AE1">
            <w:pPr>
              <w:jc w:val="center"/>
              <w:rPr>
                <w:rFonts w:ascii="宋体" w:hAnsi="宋体" w:cs="宋体"/>
                <w:bCs/>
                <w:szCs w:val="21"/>
              </w:rPr>
            </w:pPr>
            <w:r>
              <w:rPr>
                <w:rFonts w:hint="eastAsia" w:ascii="宋体" w:hAnsi="宋体" w:cs="宋体"/>
                <w:bCs/>
                <w:szCs w:val="21"/>
                <w:lang w:val="en-US" w:eastAsia="zh-CN"/>
              </w:rPr>
              <w:t>加工</w:t>
            </w:r>
            <w:r>
              <w:rPr>
                <w:rFonts w:hint="eastAsia" w:ascii="宋体" w:hAnsi="宋体" w:cs="宋体"/>
                <w:bCs/>
                <w:szCs w:val="21"/>
              </w:rPr>
              <w:t>标准</w:t>
            </w:r>
          </w:p>
        </w:tc>
      </w:tr>
      <w:tr w14:paraId="44F5B4B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tcBorders>
              <w:tl2br w:val="nil"/>
              <w:tr2bl w:val="nil"/>
            </w:tcBorders>
            <w:vAlign w:val="center"/>
          </w:tcPr>
          <w:p w14:paraId="33F15DFF">
            <w:pPr>
              <w:jc w:val="center"/>
              <w:rPr>
                <w:rFonts w:ascii="宋体" w:hAnsi="宋体" w:cs="宋体"/>
                <w:bCs/>
                <w:szCs w:val="21"/>
              </w:rPr>
            </w:pPr>
            <w:r>
              <w:rPr>
                <w:rFonts w:hint="eastAsia" w:ascii="宋体" w:hAnsi="宋体" w:cs="宋体"/>
                <w:bCs/>
                <w:szCs w:val="21"/>
              </w:rPr>
              <w:t>1</w:t>
            </w:r>
          </w:p>
        </w:tc>
        <w:tc>
          <w:tcPr>
            <w:tcW w:w="3799" w:type="dxa"/>
            <w:tcBorders>
              <w:tl2br w:val="nil"/>
              <w:tr2bl w:val="nil"/>
            </w:tcBorders>
            <w:vAlign w:val="center"/>
          </w:tcPr>
          <w:p w14:paraId="557078BF">
            <w:pPr>
              <w:jc w:val="center"/>
              <w:rPr>
                <w:rFonts w:ascii="宋体" w:hAnsi="宋体" w:cs="宋体"/>
                <w:bCs/>
                <w:szCs w:val="21"/>
              </w:rPr>
            </w:pPr>
            <w:r>
              <w:rPr>
                <w:rFonts w:hint="eastAsia" w:ascii="宋体" w:hAnsi="宋体" w:cs="宋体"/>
                <w:bCs/>
                <w:szCs w:val="21"/>
              </w:rPr>
              <w:t>作业风险提醒看板开发</w:t>
            </w:r>
          </w:p>
        </w:tc>
        <w:tc>
          <w:tcPr>
            <w:tcW w:w="3798" w:type="dxa"/>
            <w:tcBorders>
              <w:tl2br w:val="nil"/>
              <w:tr2bl w:val="nil"/>
            </w:tcBorders>
            <w:vAlign w:val="center"/>
          </w:tcPr>
          <w:p w14:paraId="00764CC2">
            <w:pPr>
              <w:jc w:val="left"/>
              <w:rPr>
                <w:rFonts w:ascii="宋体" w:hAnsi="宋体" w:cs="宋体"/>
                <w:bCs/>
                <w:szCs w:val="21"/>
              </w:rPr>
            </w:pPr>
            <w:r>
              <w:rPr>
                <w:rFonts w:ascii="Segoe UI" w:hAnsi="Segoe UI" w:eastAsia="Segoe UI" w:cs="Segoe UI"/>
                <w:i w:val="0"/>
                <w:iCs w:val="0"/>
                <w:caps w:val="0"/>
                <w:color w:val="0F1115"/>
                <w:spacing w:val="0"/>
                <w:sz w:val="22"/>
                <w:szCs w:val="22"/>
                <w:shd w:val="clear" w:fill="FFFFFF"/>
              </w:rPr>
              <w:t>基于云景平台，采用大数据挖掘分析技术，对当日作业计划、人员情况、两票情况、工器具管理信息等多元业务数据进行整合分析与图形化展示，形成可交互的数据指标看板</w:t>
            </w:r>
          </w:p>
        </w:tc>
      </w:tr>
      <w:tr w14:paraId="564DC2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tcBorders>
              <w:tl2br w:val="nil"/>
              <w:tr2bl w:val="nil"/>
            </w:tcBorders>
            <w:vAlign w:val="center"/>
          </w:tcPr>
          <w:p w14:paraId="70892F87">
            <w:pPr>
              <w:jc w:val="center"/>
              <w:rPr>
                <w:rFonts w:ascii="宋体" w:hAnsi="宋体" w:cs="宋体"/>
                <w:bCs/>
                <w:szCs w:val="21"/>
              </w:rPr>
            </w:pPr>
            <w:r>
              <w:rPr>
                <w:rFonts w:hint="eastAsia" w:ascii="宋体" w:hAnsi="宋体" w:cs="宋体"/>
                <w:bCs/>
                <w:szCs w:val="21"/>
              </w:rPr>
              <w:t>2</w:t>
            </w:r>
          </w:p>
        </w:tc>
        <w:tc>
          <w:tcPr>
            <w:tcW w:w="3799" w:type="dxa"/>
            <w:tcBorders>
              <w:tl2br w:val="nil"/>
              <w:tr2bl w:val="nil"/>
            </w:tcBorders>
            <w:vAlign w:val="center"/>
          </w:tcPr>
          <w:p w14:paraId="176A10F9">
            <w:pPr>
              <w:jc w:val="center"/>
              <w:rPr>
                <w:rFonts w:ascii="宋体" w:hAnsi="宋体" w:cs="宋体"/>
                <w:bCs/>
                <w:szCs w:val="21"/>
              </w:rPr>
            </w:pPr>
            <w:r>
              <w:rPr>
                <w:rFonts w:ascii="Segoe UI" w:hAnsi="Segoe UI" w:eastAsia="Segoe UI" w:cs="Segoe UI"/>
                <w:i w:val="0"/>
                <w:iCs w:val="0"/>
                <w:caps w:val="0"/>
                <w:color w:val="0F1115"/>
                <w:spacing w:val="0"/>
                <w:sz w:val="22"/>
                <w:szCs w:val="22"/>
                <w:shd w:val="clear" w:fill="FFFFFF"/>
              </w:rPr>
              <w:t>缺陷闭环管理系统开发</w:t>
            </w:r>
          </w:p>
        </w:tc>
        <w:tc>
          <w:tcPr>
            <w:tcW w:w="3798" w:type="dxa"/>
            <w:tcBorders>
              <w:tl2br w:val="nil"/>
              <w:tr2bl w:val="nil"/>
            </w:tcBorders>
            <w:vAlign w:val="center"/>
          </w:tcPr>
          <w:p w14:paraId="7BCC0E64">
            <w:pPr>
              <w:jc w:val="left"/>
              <w:rPr>
                <w:rFonts w:ascii="宋体" w:hAnsi="宋体" w:cs="宋体"/>
                <w:bCs/>
                <w:szCs w:val="21"/>
              </w:rPr>
            </w:pPr>
            <w:r>
              <w:rPr>
                <w:rFonts w:ascii="Segoe UI" w:hAnsi="Segoe UI" w:eastAsia="Segoe UI" w:cs="Segoe UI"/>
                <w:i w:val="0"/>
                <w:iCs w:val="0"/>
                <w:caps w:val="0"/>
                <w:color w:val="0F1115"/>
                <w:spacing w:val="0"/>
                <w:sz w:val="22"/>
                <w:szCs w:val="22"/>
                <w:shd w:val="clear" w:fill="FFFFFF"/>
              </w:rPr>
              <w:t>建立缺陷看板统计系统，实现缺陷实时监控、分类统计与趋势分析，定期输出缺陷分析报告并提出改进建议，缺陷数据不对外交互，具备权限控制和数据审核功能</w:t>
            </w:r>
          </w:p>
        </w:tc>
      </w:tr>
      <w:tr w14:paraId="5B14AE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tcBorders>
              <w:tl2br w:val="nil"/>
              <w:tr2bl w:val="nil"/>
            </w:tcBorders>
            <w:vAlign w:val="center"/>
          </w:tcPr>
          <w:p w14:paraId="49C9D9A0">
            <w:pPr>
              <w:jc w:val="center"/>
              <w:rPr>
                <w:rFonts w:ascii="宋体" w:hAnsi="宋体" w:cs="宋体"/>
                <w:bCs/>
                <w:szCs w:val="21"/>
              </w:rPr>
            </w:pPr>
            <w:r>
              <w:rPr>
                <w:rFonts w:hint="eastAsia" w:ascii="宋体" w:hAnsi="宋体" w:cs="宋体"/>
                <w:bCs/>
                <w:szCs w:val="21"/>
              </w:rPr>
              <w:t>3</w:t>
            </w:r>
          </w:p>
        </w:tc>
        <w:tc>
          <w:tcPr>
            <w:tcW w:w="3799" w:type="dxa"/>
            <w:tcBorders>
              <w:tl2br w:val="nil"/>
              <w:tr2bl w:val="nil"/>
            </w:tcBorders>
            <w:vAlign w:val="center"/>
          </w:tcPr>
          <w:p w14:paraId="7004D026">
            <w:pPr>
              <w:jc w:val="center"/>
              <w:rPr>
                <w:rFonts w:ascii="宋体" w:hAnsi="宋体" w:cs="宋体"/>
                <w:bCs/>
                <w:szCs w:val="21"/>
              </w:rPr>
            </w:pPr>
            <w:r>
              <w:rPr>
                <w:rFonts w:ascii="Segoe UI" w:hAnsi="Segoe UI" w:eastAsia="Segoe UI" w:cs="Segoe UI"/>
                <w:i w:val="0"/>
                <w:iCs w:val="0"/>
                <w:caps w:val="0"/>
                <w:color w:val="0F1115"/>
                <w:spacing w:val="0"/>
                <w:sz w:val="22"/>
                <w:szCs w:val="22"/>
                <w:shd w:val="clear" w:fill="FFFFFF"/>
              </w:rPr>
              <w:t>停电检修单管理系统开发</w:t>
            </w:r>
          </w:p>
        </w:tc>
        <w:tc>
          <w:tcPr>
            <w:tcW w:w="3798" w:type="dxa"/>
            <w:tcBorders>
              <w:tl2br w:val="nil"/>
              <w:tr2bl w:val="nil"/>
            </w:tcBorders>
            <w:vAlign w:val="center"/>
          </w:tcPr>
          <w:p w14:paraId="053AED5A">
            <w:pPr>
              <w:jc w:val="left"/>
              <w:rPr>
                <w:rFonts w:ascii="宋体" w:hAnsi="宋体" w:cs="宋体"/>
                <w:bCs/>
                <w:szCs w:val="21"/>
              </w:rPr>
            </w:pPr>
            <w:r>
              <w:rPr>
                <w:rFonts w:ascii="Segoe UI" w:hAnsi="Segoe UI" w:eastAsia="Segoe UI" w:cs="Segoe UI"/>
                <w:i w:val="0"/>
                <w:iCs w:val="0"/>
                <w:caps w:val="0"/>
                <w:color w:val="0F1115"/>
                <w:spacing w:val="0"/>
                <w:sz w:val="22"/>
                <w:szCs w:val="22"/>
                <w:shd w:val="clear" w:fill="FFFFFF"/>
              </w:rPr>
              <w:t>实现一键查询各巡维检修单，检修单自动匹配缺陷管理模块现存缺陷，实现逢停必修，根据检修单内容自动生成停电计划初稿</w:t>
            </w:r>
          </w:p>
        </w:tc>
      </w:tr>
      <w:tr w14:paraId="53AE79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tcBorders>
              <w:tl2br w:val="nil"/>
              <w:tr2bl w:val="nil"/>
            </w:tcBorders>
            <w:vAlign w:val="center"/>
          </w:tcPr>
          <w:p w14:paraId="7264BCFA">
            <w:pPr>
              <w:jc w:val="center"/>
              <w:rPr>
                <w:rFonts w:ascii="宋体" w:hAnsi="宋体" w:cs="宋体"/>
                <w:bCs/>
                <w:szCs w:val="21"/>
              </w:rPr>
            </w:pPr>
            <w:r>
              <w:rPr>
                <w:rFonts w:hint="eastAsia" w:ascii="宋体" w:hAnsi="宋体" w:cs="宋体"/>
                <w:bCs/>
                <w:szCs w:val="21"/>
              </w:rPr>
              <w:t>4</w:t>
            </w:r>
          </w:p>
        </w:tc>
        <w:tc>
          <w:tcPr>
            <w:tcW w:w="3799" w:type="dxa"/>
            <w:tcBorders>
              <w:tl2br w:val="nil"/>
              <w:tr2bl w:val="nil"/>
            </w:tcBorders>
            <w:vAlign w:val="center"/>
          </w:tcPr>
          <w:p w14:paraId="39237387">
            <w:pPr>
              <w:jc w:val="center"/>
              <w:rPr>
                <w:rFonts w:ascii="宋体" w:hAnsi="宋体" w:cs="宋体"/>
                <w:bCs/>
                <w:szCs w:val="21"/>
              </w:rPr>
            </w:pPr>
            <w:r>
              <w:rPr>
                <w:rFonts w:ascii="Segoe UI" w:hAnsi="Segoe UI" w:eastAsia="Segoe UI" w:cs="Segoe UI"/>
                <w:i w:val="0"/>
                <w:iCs w:val="0"/>
                <w:caps w:val="0"/>
                <w:color w:val="0F1115"/>
                <w:spacing w:val="0"/>
                <w:sz w:val="22"/>
                <w:szCs w:val="22"/>
                <w:shd w:val="clear" w:fill="FFFFFF"/>
              </w:rPr>
              <w:t>数据建模与安全处理</w:t>
            </w:r>
          </w:p>
        </w:tc>
        <w:tc>
          <w:tcPr>
            <w:tcW w:w="3798" w:type="dxa"/>
            <w:tcBorders>
              <w:tl2br w:val="nil"/>
              <w:tr2bl w:val="nil"/>
            </w:tcBorders>
            <w:vAlign w:val="center"/>
          </w:tcPr>
          <w:p w14:paraId="4BF04180">
            <w:pPr>
              <w:jc w:val="center"/>
              <w:rPr>
                <w:rFonts w:ascii="宋体" w:hAnsi="宋体" w:cs="宋体"/>
                <w:bCs/>
                <w:szCs w:val="21"/>
              </w:rPr>
            </w:pPr>
            <w:r>
              <w:rPr>
                <w:rFonts w:ascii="Segoe UI" w:hAnsi="Segoe UI" w:eastAsia="Segoe UI" w:cs="Segoe UI"/>
                <w:i w:val="0"/>
                <w:iCs w:val="0"/>
                <w:caps w:val="0"/>
                <w:color w:val="0F1115"/>
                <w:spacing w:val="0"/>
                <w:sz w:val="22"/>
                <w:szCs w:val="22"/>
                <w:shd w:val="clear" w:fill="FFFFFF"/>
              </w:rPr>
              <w:t>对异构数据进行清洗转换，建立标准化数据模型；通过智能网关对采集的数据进行封装、压缩和加密处理后上传至云平台</w:t>
            </w:r>
          </w:p>
        </w:tc>
      </w:tr>
    </w:tbl>
    <w:p w14:paraId="5E93735B">
      <w:pPr>
        <w:bidi w:val="0"/>
      </w:pPr>
      <w:bookmarkStart w:id="8" w:name="_Toc30644"/>
    </w:p>
    <w:p w14:paraId="678F60C9">
      <w:pPr>
        <w:spacing w:line="360" w:lineRule="auto"/>
        <w:outlineLvl w:val="1"/>
        <w:rPr>
          <w:rFonts w:asciiTheme="minorEastAsia" w:hAnsiTheme="minorEastAsia" w:eastAsiaTheme="minorEastAsia" w:cstheme="minorEastAsia"/>
          <w:color w:val="000000"/>
          <w:sz w:val="24"/>
        </w:rPr>
      </w:pPr>
      <w:r>
        <w:rPr>
          <w:rFonts w:hint="eastAsia" w:ascii="黑体" w:hAnsi="黑体" w:eastAsia="黑体" w:cs="黑体"/>
          <w:bCs/>
          <w:sz w:val="24"/>
        </w:rPr>
        <w:t>2.2 运输方式</w:t>
      </w:r>
      <w:bookmarkEnd w:id="8"/>
      <w:bookmarkStart w:id="9" w:name="_Toc9636"/>
      <w:bookmarkStart w:id="10" w:name="_Toc6770"/>
    </w:p>
    <w:bookmarkEnd w:id="9"/>
    <w:bookmarkEnd w:id="10"/>
    <w:p w14:paraId="79669080">
      <w:pPr>
        <w:adjustRightInd w:val="0"/>
        <w:snapToGrid w:val="0"/>
        <w:spacing w:line="360" w:lineRule="auto"/>
        <w:ind w:firstLine="480" w:firstLineChars="200"/>
        <w:outlineLvl w:val="0"/>
        <w:rPr>
          <w:rFonts w:hint="default" w:ascii="宋体" w:hAnsi="宋体" w:cs="宋体"/>
          <w:color w:val="000000"/>
          <w:kern w:val="0"/>
          <w:sz w:val="24"/>
          <w:szCs w:val="20"/>
          <w:lang w:val="en-US" w:eastAsia="zh-CN"/>
        </w:rPr>
      </w:pPr>
      <w:bookmarkStart w:id="11" w:name="_Toc16082"/>
      <w:r>
        <w:rPr>
          <w:rFonts w:hint="default" w:ascii="宋体" w:hAnsi="宋体" w:cs="宋体"/>
          <w:color w:val="000000"/>
          <w:kern w:val="0"/>
          <w:sz w:val="24"/>
          <w:szCs w:val="20"/>
          <w:lang w:val="en-US" w:eastAsia="zh-CN"/>
        </w:rPr>
        <w:t>本项目为软件加工服务，不涉及实体货物运输。</w:t>
      </w:r>
    </w:p>
    <w:p w14:paraId="1743D0CD">
      <w:pPr>
        <w:pStyle w:val="23"/>
        <w:spacing w:before="312"/>
        <w:outlineLvl w:val="0"/>
        <w:rPr>
          <w:rFonts w:ascii="黑体" w:hAnsi="黑体" w:eastAsia="黑体" w:cs="黑体"/>
          <w:sz w:val="28"/>
          <w:szCs w:val="28"/>
        </w:rPr>
      </w:pPr>
      <w:r>
        <w:rPr>
          <w:rFonts w:hint="eastAsia" w:ascii="黑体" w:hAnsi="黑体" w:eastAsia="黑体" w:cs="黑体"/>
          <w:sz w:val="28"/>
          <w:szCs w:val="28"/>
        </w:rPr>
        <w:t>3  技术服务的要求</w:t>
      </w:r>
      <w:bookmarkEnd w:id="11"/>
    </w:p>
    <w:p w14:paraId="23A68982">
      <w:pPr>
        <w:spacing w:line="360" w:lineRule="auto"/>
        <w:outlineLvl w:val="1"/>
        <w:rPr>
          <w:rFonts w:hint="eastAsia" w:ascii="黑体" w:hAnsi="黑体" w:eastAsia="黑体" w:cs="黑体"/>
          <w:bCs/>
          <w:sz w:val="24"/>
        </w:rPr>
      </w:pPr>
      <w:bookmarkStart w:id="12" w:name="_Toc1749"/>
      <w:r>
        <w:rPr>
          <w:rFonts w:hint="eastAsia" w:ascii="黑体" w:hAnsi="黑体" w:eastAsia="黑体" w:cs="黑体"/>
          <w:bCs/>
          <w:sz w:val="24"/>
        </w:rPr>
        <w:t>3.1 资质要求</w:t>
      </w:r>
      <w:bookmarkEnd w:id="12"/>
    </w:p>
    <w:p w14:paraId="7211E8F6">
      <w:pPr>
        <w:adjustRightInd w:val="0"/>
        <w:snapToGrid w:val="0"/>
        <w:spacing w:line="360" w:lineRule="auto"/>
        <w:ind w:firstLine="480" w:firstLineChars="200"/>
        <w:outlineLvl w:val="0"/>
        <w:rPr>
          <w:rFonts w:hint="eastAsia" w:ascii="宋体" w:hAnsi="宋体" w:cs="宋体"/>
          <w:color w:val="000000"/>
          <w:kern w:val="0"/>
          <w:sz w:val="24"/>
          <w:szCs w:val="20"/>
          <w:lang w:val="en-US" w:eastAsia="zh-CN"/>
        </w:rPr>
      </w:pPr>
      <w:r>
        <w:rPr>
          <w:rFonts w:hint="eastAsia" w:ascii="宋体" w:hAnsi="宋体" w:cs="宋体"/>
          <w:b w:val="0"/>
          <w:color w:val="auto"/>
          <w:kern w:val="0"/>
          <w:sz w:val="24"/>
          <w:szCs w:val="20"/>
          <w:highlight w:val="none"/>
          <w:lang w:val="en-US" w:eastAsia="zh-CN" w:bidi="ar-SA"/>
        </w:rPr>
        <w:t>近三年同类项目（软件开发、加工）业绩</w:t>
      </w:r>
      <w:r>
        <w:rPr>
          <w:rFonts w:hint="eastAsia" w:ascii="宋体" w:hAnsi="宋体" w:cs="宋体"/>
          <w:color w:val="000000"/>
          <w:kern w:val="0"/>
          <w:sz w:val="24"/>
          <w:szCs w:val="20"/>
          <w:lang w:val="en-US" w:eastAsia="zh-CN"/>
        </w:rPr>
        <w:t>。</w:t>
      </w:r>
    </w:p>
    <w:p w14:paraId="4A23FA48">
      <w:pPr>
        <w:spacing w:line="360" w:lineRule="auto"/>
        <w:outlineLvl w:val="1"/>
        <w:rPr>
          <w:rFonts w:asciiTheme="minorEastAsia" w:hAnsiTheme="minorEastAsia" w:eastAsiaTheme="minorEastAsia" w:cstheme="minorEastAsia"/>
          <w:color w:val="000000"/>
          <w:sz w:val="24"/>
        </w:rPr>
      </w:pPr>
      <w:bookmarkStart w:id="13" w:name="_Toc16023"/>
      <w:r>
        <w:rPr>
          <w:rFonts w:hint="eastAsia" w:ascii="黑体" w:hAnsi="黑体" w:eastAsia="黑体" w:cs="黑体"/>
          <w:bCs/>
          <w:sz w:val="24"/>
        </w:rPr>
        <w:t>3.2 人员、设备及场地要求</w:t>
      </w:r>
      <w:bookmarkEnd w:id="13"/>
    </w:p>
    <w:p w14:paraId="0886DB7D">
      <w:pPr>
        <w:pStyle w:val="13"/>
        <w:keepNext w:val="0"/>
        <w:keepLines w:val="0"/>
        <w:widowControl/>
        <w:suppressLineNumbers w:val="0"/>
        <w:shd w:val="clear" w:fill="FFFFFF"/>
        <w:spacing w:before="240" w:beforeAutospacing="0" w:after="240" w:afterAutospacing="0"/>
        <w:ind w:left="0" w:right="0" w:firstLine="0"/>
        <w:rPr>
          <w:rFonts w:hint="eastAsia" w:ascii="宋体" w:hAnsi="宋体" w:eastAsia="宋体" w:cs="宋体"/>
          <w:b w:val="0"/>
          <w:color w:val="000000"/>
          <w:kern w:val="0"/>
          <w:sz w:val="24"/>
          <w:szCs w:val="20"/>
          <w:lang w:val="en-US" w:eastAsia="zh-CN" w:bidi="ar-SA"/>
        </w:rPr>
      </w:pPr>
      <w:bookmarkStart w:id="14" w:name="_Toc9853"/>
      <w:r>
        <w:rPr>
          <w:rFonts w:hint="default" w:ascii="宋体" w:hAnsi="宋体" w:eastAsia="宋体" w:cs="宋体"/>
          <w:b w:val="0"/>
          <w:color w:val="000000"/>
          <w:kern w:val="0"/>
          <w:sz w:val="24"/>
          <w:szCs w:val="20"/>
          <w:lang w:val="en-US" w:eastAsia="zh-CN" w:bidi="ar-SA"/>
        </w:rPr>
        <w:t>（1）投标方应组建不少于3人的项目开发团队</w:t>
      </w:r>
      <w:r>
        <w:rPr>
          <w:rFonts w:hint="eastAsia" w:ascii="宋体" w:hAnsi="宋体" w:cs="宋体"/>
          <w:b w:val="0"/>
          <w:color w:val="000000"/>
          <w:kern w:val="0"/>
          <w:sz w:val="24"/>
          <w:szCs w:val="20"/>
          <w:lang w:val="en-US" w:eastAsia="zh-CN" w:bidi="ar-SA"/>
        </w:rPr>
        <w:t>。</w:t>
      </w:r>
    </w:p>
    <w:p w14:paraId="59A7A171">
      <w:pPr>
        <w:pStyle w:val="13"/>
        <w:keepNext w:val="0"/>
        <w:keepLines w:val="0"/>
        <w:widowControl/>
        <w:suppressLineNumbers w:val="0"/>
        <w:shd w:val="clear" w:fill="FFFFFF"/>
        <w:spacing w:before="240" w:beforeAutospacing="0" w:after="240" w:afterAutospacing="0"/>
        <w:ind w:left="0" w:right="0" w:firstLine="0"/>
        <w:rPr>
          <w:rFonts w:hint="default" w:ascii="宋体" w:hAnsi="宋体" w:eastAsia="宋体" w:cs="宋体"/>
          <w:b w:val="0"/>
          <w:color w:val="000000"/>
          <w:kern w:val="0"/>
          <w:sz w:val="24"/>
          <w:szCs w:val="20"/>
          <w:lang w:val="en-US" w:eastAsia="zh-CN" w:bidi="ar-SA"/>
        </w:rPr>
      </w:pPr>
      <w:r>
        <w:rPr>
          <w:rFonts w:hint="default" w:ascii="宋体" w:hAnsi="宋体" w:eastAsia="宋体" w:cs="宋体"/>
          <w:b w:val="0"/>
          <w:color w:val="000000"/>
          <w:kern w:val="0"/>
          <w:sz w:val="24"/>
          <w:szCs w:val="20"/>
          <w:lang w:val="en-US" w:eastAsia="zh-CN" w:bidi="ar-SA"/>
        </w:rPr>
        <w:t>（2）投标方须承诺至少安排一人定期驻点（不少于1个月）协助甲方完成项目。</w:t>
      </w:r>
    </w:p>
    <w:p w14:paraId="27EE5B33">
      <w:pPr>
        <w:pStyle w:val="13"/>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宋体" w:hAnsi="宋体" w:eastAsia="宋体" w:cs="宋体"/>
          <w:b w:val="0"/>
          <w:color w:val="000000"/>
          <w:kern w:val="0"/>
          <w:sz w:val="24"/>
          <w:szCs w:val="20"/>
          <w:lang w:val="en-US" w:eastAsia="zh-CN" w:bidi="ar-SA"/>
        </w:rPr>
        <w:t>（3）投标方应具备开展云景平台应用开发所需的软硬件设备和测试环境。</w:t>
      </w:r>
    </w:p>
    <w:p w14:paraId="1EB92D98">
      <w:pPr>
        <w:spacing w:line="360" w:lineRule="auto"/>
        <w:outlineLvl w:val="1"/>
        <w:rPr>
          <w:rFonts w:asciiTheme="minorEastAsia" w:hAnsiTheme="minorEastAsia" w:eastAsiaTheme="minorEastAsia" w:cstheme="minorEastAsia"/>
          <w:color w:val="000000"/>
          <w:sz w:val="24"/>
        </w:rPr>
      </w:pPr>
      <w:r>
        <w:rPr>
          <w:rFonts w:hint="eastAsia" w:ascii="黑体" w:hAnsi="黑体" w:eastAsia="黑体" w:cs="黑体"/>
          <w:bCs/>
          <w:sz w:val="24"/>
        </w:rPr>
        <w:t>3.3 转包及分包要求</w:t>
      </w:r>
      <w:bookmarkEnd w:id="14"/>
      <w:bookmarkStart w:id="15" w:name="_Toc31460"/>
      <w:bookmarkStart w:id="16" w:name="_Toc27056"/>
    </w:p>
    <w:bookmarkEnd w:id="15"/>
    <w:bookmarkEnd w:id="16"/>
    <w:p w14:paraId="2A380924">
      <w:pPr>
        <w:adjustRightInd w:val="0"/>
        <w:snapToGrid w:val="0"/>
        <w:spacing w:line="360" w:lineRule="auto"/>
        <w:ind w:firstLine="480" w:firstLineChars="200"/>
        <w:outlineLvl w:val="0"/>
        <w:rPr>
          <w:rFonts w:hint="eastAsia" w:ascii="宋体" w:hAnsi="宋体" w:cs="宋体"/>
          <w:color w:val="000000"/>
          <w:kern w:val="0"/>
          <w:sz w:val="24"/>
          <w:szCs w:val="20"/>
          <w:lang w:eastAsia="zh-CN"/>
        </w:rPr>
      </w:pPr>
      <w:bookmarkStart w:id="17" w:name="_Toc22454"/>
      <w:r>
        <w:rPr>
          <w:rFonts w:hint="default" w:ascii="宋体" w:hAnsi="宋体" w:cs="宋体"/>
          <w:color w:val="000000"/>
          <w:kern w:val="0"/>
          <w:sz w:val="24"/>
          <w:szCs w:val="20"/>
        </w:rPr>
        <w:t>不准将业务进行转包或分包</w:t>
      </w:r>
      <w:r>
        <w:rPr>
          <w:rFonts w:hint="eastAsia" w:ascii="宋体" w:hAnsi="宋体" w:cs="宋体"/>
          <w:color w:val="000000"/>
          <w:kern w:val="0"/>
          <w:sz w:val="24"/>
          <w:szCs w:val="20"/>
          <w:lang w:eastAsia="zh-CN"/>
        </w:rPr>
        <w:t>。</w:t>
      </w:r>
    </w:p>
    <w:p w14:paraId="510CB184">
      <w:pPr>
        <w:spacing w:line="360" w:lineRule="auto"/>
        <w:outlineLvl w:val="1"/>
        <w:rPr>
          <w:rFonts w:asciiTheme="minorEastAsia" w:hAnsiTheme="minorEastAsia" w:eastAsiaTheme="minorEastAsia" w:cstheme="minorEastAsia"/>
          <w:color w:val="000000"/>
          <w:sz w:val="24"/>
        </w:rPr>
      </w:pPr>
      <w:r>
        <w:rPr>
          <w:rFonts w:hint="eastAsia" w:ascii="黑体" w:hAnsi="黑体" w:eastAsia="黑体" w:cs="黑体"/>
          <w:bCs/>
          <w:sz w:val="24"/>
        </w:rPr>
        <w:t>3.4 信息保密要求</w:t>
      </w:r>
      <w:bookmarkEnd w:id="17"/>
    </w:p>
    <w:p w14:paraId="0CF0B5CC">
      <w:pPr>
        <w:adjustRightInd w:val="0"/>
        <w:snapToGrid w:val="0"/>
        <w:spacing w:line="360" w:lineRule="auto"/>
        <w:ind w:firstLine="480" w:firstLineChars="200"/>
        <w:outlineLvl w:val="0"/>
        <w:rPr>
          <w:rFonts w:hint="eastAsia" w:eastAsia="宋体" w:asciiTheme="minorEastAsia" w:hAnsiTheme="minorEastAsia" w:cstheme="minorEastAsia"/>
          <w:bCs/>
          <w:color w:val="C00000"/>
          <w:sz w:val="24"/>
          <w:lang w:eastAsia="zh-CN"/>
        </w:rPr>
      </w:pPr>
      <w:r>
        <w:rPr>
          <w:rFonts w:hint="default" w:ascii="宋体" w:hAnsi="宋体" w:cs="宋体"/>
          <w:color w:val="000000"/>
          <w:kern w:val="0"/>
          <w:sz w:val="24"/>
          <w:szCs w:val="20"/>
        </w:rPr>
        <w:t>需签订保密协议</w:t>
      </w:r>
      <w:r>
        <w:rPr>
          <w:rFonts w:hint="eastAsia" w:ascii="宋体" w:hAnsi="宋体" w:cs="宋体"/>
          <w:color w:val="000000"/>
          <w:kern w:val="0"/>
          <w:sz w:val="24"/>
          <w:szCs w:val="20"/>
          <w:lang w:eastAsia="zh-CN"/>
        </w:rPr>
        <w:t>，</w:t>
      </w:r>
      <w:r>
        <w:rPr>
          <w:rFonts w:hint="default" w:ascii="宋体" w:hAnsi="宋体" w:cs="宋体"/>
          <w:color w:val="000000"/>
          <w:kern w:val="0"/>
          <w:sz w:val="24"/>
          <w:szCs w:val="20"/>
        </w:rPr>
        <w:t>投标方在项目开发过程中接触到的所有业务数据、技术资料及甲方内部信息均属保密范围，未经甲方书面同意不得向任何第三方泄露</w:t>
      </w:r>
      <w:r>
        <w:rPr>
          <w:rFonts w:hint="eastAsia" w:ascii="宋体" w:hAnsi="宋体" w:cs="宋体"/>
          <w:color w:val="000000"/>
          <w:kern w:val="0"/>
          <w:sz w:val="24"/>
          <w:szCs w:val="20"/>
          <w:lang w:eastAsia="zh-CN"/>
        </w:rPr>
        <w:t>。</w:t>
      </w:r>
    </w:p>
    <w:p w14:paraId="4EBB538F">
      <w:pPr>
        <w:spacing w:line="360" w:lineRule="auto"/>
        <w:outlineLvl w:val="1"/>
        <w:rPr>
          <w:rFonts w:asciiTheme="minorEastAsia" w:hAnsiTheme="minorEastAsia" w:eastAsiaTheme="minorEastAsia" w:cstheme="minorEastAsia"/>
          <w:color w:val="000000"/>
          <w:sz w:val="24"/>
        </w:rPr>
      </w:pPr>
      <w:bookmarkStart w:id="18" w:name="_Toc23607"/>
      <w:r>
        <w:rPr>
          <w:rFonts w:hint="eastAsia" w:ascii="黑体" w:hAnsi="黑体" w:eastAsia="黑体" w:cs="黑体"/>
          <w:bCs/>
          <w:sz w:val="24"/>
        </w:rPr>
        <w:t>3.5 其他要求</w:t>
      </w:r>
      <w:bookmarkEnd w:id="18"/>
      <w:bookmarkStart w:id="19" w:name="_Toc30921"/>
      <w:bookmarkStart w:id="20" w:name="_Toc17063"/>
    </w:p>
    <w:bookmarkEnd w:id="19"/>
    <w:bookmarkEnd w:id="20"/>
    <w:p w14:paraId="33009242">
      <w:pPr>
        <w:adjustRightInd w:val="0"/>
        <w:snapToGrid w:val="0"/>
        <w:spacing w:line="360" w:lineRule="auto"/>
        <w:ind w:firstLine="480" w:firstLineChars="200"/>
        <w:outlineLvl w:val="0"/>
        <w:rPr>
          <w:rFonts w:hint="eastAsia" w:ascii="宋体" w:hAnsi="宋体" w:cs="宋体"/>
          <w:b w:val="0"/>
          <w:color w:val="auto"/>
          <w:kern w:val="0"/>
          <w:sz w:val="24"/>
          <w:szCs w:val="20"/>
          <w:highlight w:val="none"/>
          <w:lang w:val="en-US" w:eastAsia="zh-CN" w:bidi="ar-SA"/>
        </w:rPr>
      </w:pPr>
      <w:r>
        <w:rPr>
          <w:rFonts w:hint="eastAsia" w:ascii="宋体" w:hAnsi="宋体" w:cs="宋体"/>
          <w:color w:val="auto"/>
          <w:kern w:val="0"/>
          <w:sz w:val="24"/>
          <w:szCs w:val="20"/>
          <w:highlight w:val="none"/>
          <w:lang w:eastAsia="zh-CN"/>
        </w:rPr>
        <w:t>（</w:t>
      </w:r>
      <w:r>
        <w:rPr>
          <w:rFonts w:hint="eastAsia" w:ascii="宋体" w:hAnsi="宋体" w:cs="宋体"/>
          <w:color w:val="auto"/>
          <w:kern w:val="0"/>
          <w:sz w:val="24"/>
          <w:szCs w:val="20"/>
          <w:highlight w:val="none"/>
          <w:lang w:val="en-US" w:eastAsia="zh-CN"/>
        </w:rPr>
        <w:t>1</w:t>
      </w:r>
      <w:r>
        <w:rPr>
          <w:rFonts w:hint="eastAsia" w:ascii="宋体" w:hAnsi="宋体" w:cs="宋体"/>
          <w:color w:val="auto"/>
          <w:kern w:val="0"/>
          <w:sz w:val="24"/>
          <w:szCs w:val="20"/>
          <w:highlight w:val="none"/>
          <w:lang w:eastAsia="zh-CN"/>
        </w:rPr>
        <w:t>）</w:t>
      </w:r>
      <w:r>
        <w:rPr>
          <w:rFonts w:hint="default" w:ascii="宋体" w:hAnsi="宋体" w:eastAsia="宋体" w:cs="宋体"/>
          <w:b w:val="0"/>
          <w:color w:val="auto"/>
          <w:kern w:val="0"/>
          <w:sz w:val="24"/>
          <w:szCs w:val="20"/>
          <w:highlight w:val="none"/>
          <w:lang w:val="en-US" w:eastAsia="zh-CN" w:bidi="ar-SA"/>
        </w:rPr>
        <w:t>投标方</w:t>
      </w:r>
      <w:r>
        <w:rPr>
          <w:rFonts w:hint="eastAsia" w:ascii="宋体" w:hAnsi="宋体" w:cs="宋体"/>
          <w:b w:val="0"/>
          <w:color w:val="auto"/>
          <w:kern w:val="0"/>
          <w:sz w:val="24"/>
          <w:szCs w:val="20"/>
          <w:highlight w:val="none"/>
          <w:lang w:val="en-US" w:eastAsia="zh-CN" w:bidi="ar-SA"/>
        </w:rPr>
        <w:t>提供有效营业执照；</w:t>
      </w:r>
    </w:p>
    <w:p w14:paraId="6A2EF6B8">
      <w:pPr>
        <w:adjustRightInd w:val="0"/>
        <w:snapToGrid w:val="0"/>
        <w:spacing w:line="360" w:lineRule="auto"/>
        <w:ind w:firstLine="480" w:firstLineChars="200"/>
        <w:outlineLvl w:val="0"/>
        <w:rPr>
          <w:rFonts w:hint="default" w:ascii="宋体" w:hAnsi="宋体" w:eastAsia="宋体" w:cs="宋体"/>
          <w:color w:val="auto"/>
          <w:kern w:val="0"/>
          <w:sz w:val="24"/>
          <w:szCs w:val="20"/>
          <w:highlight w:val="none"/>
          <w:lang w:val="en-US" w:eastAsia="zh-CN"/>
        </w:rPr>
      </w:pPr>
      <w:r>
        <w:rPr>
          <w:rFonts w:hint="eastAsia" w:ascii="宋体" w:hAnsi="宋体" w:cs="宋体"/>
          <w:b w:val="0"/>
          <w:color w:val="auto"/>
          <w:kern w:val="0"/>
          <w:sz w:val="24"/>
          <w:szCs w:val="20"/>
          <w:highlight w:val="none"/>
          <w:lang w:val="en-US" w:eastAsia="zh-CN" w:bidi="ar-SA"/>
        </w:rPr>
        <w:t>（2）投标方提供近三年同类项目（软件开发、加工）业绩至少1份。</w:t>
      </w:r>
    </w:p>
    <w:p w14:paraId="7C87D2FD">
      <w:pPr>
        <w:adjustRightInd w:val="0"/>
        <w:snapToGrid w:val="0"/>
        <w:spacing w:line="360" w:lineRule="auto"/>
        <w:ind w:firstLine="480" w:firstLineChars="200"/>
        <w:outlineLvl w:val="0"/>
        <w:rPr>
          <w:rFonts w:hint="eastAsia" w:ascii="宋体" w:hAnsi="宋体" w:cs="宋体"/>
          <w:color w:val="000000"/>
          <w:kern w:val="0"/>
          <w:sz w:val="24"/>
          <w:szCs w:val="20"/>
          <w:lang w:eastAsia="zh-CN"/>
        </w:rPr>
      </w:pPr>
      <w:r>
        <w:rPr>
          <w:rFonts w:hint="eastAsia" w:ascii="宋体" w:hAnsi="宋体" w:cs="宋体"/>
          <w:color w:val="000000"/>
          <w:kern w:val="0"/>
          <w:sz w:val="24"/>
          <w:szCs w:val="20"/>
          <w:lang w:eastAsia="zh-CN"/>
        </w:rPr>
        <w:t>（</w:t>
      </w:r>
      <w:r>
        <w:rPr>
          <w:rFonts w:hint="eastAsia" w:ascii="宋体" w:hAnsi="宋体" w:cs="宋体"/>
          <w:color w:val="000000"/>
          <w:kern w:val="0"/>
          <w:sz w:val="24"/>
          <w:szCs w:val="20"/>
          <w:lang w:val="en-US" w:eastAsia="zh-CN"/>
        </w:rPr>
        <w:t>4</w:t>
      </w:r>
      <w:r>
        <w:rPr>
          <w:rFonts w:hint="eastAsia" w:ascii="宋体" w:hAnsi="宋体" w:cs="宋体"/>
          <w:color w:val="000000"/>
          <w:kern w:val="0"/>
          <w:sz w:val="24"/>
          <w:szCs w:val="20"/>
          <w:lang w:eastAsia="zh-CN"/>
        </w:rPr>
        <w:t>）</w:t>
      </w:r>
      <w:r>
        <w:rPr>
          <w:rFonts w:hint="eastAsia" w:ascii="宋体" w:hAnsi="宋体" w:cs="宋体"/>
          <w:color w:val="000000"/>
          <w:kern w:val="0"/>
          <w:sz w:val="24"/>
          <w:szCs w:val="20"/>
        </w:rPr>
        <w:t>若报价低于公告的最高限价的90%，报价方须提供成本分析报告，若出现两家及以上的单位报价一致且最低，优先选择报价时间早的单位</w:t>
      </w:r>
      <w:r>
        <w:rPr>
          <w:rFonts w:hint="eastAsia" w:ascii="宋体" w:hAnsi="宋体" w:cs="宋体"/>
          <w:color w:val="000000"/>
          <w:kern w:val="0"/>
          <w:sz w:val="24"/>
          <w:szCs w:val="20"/>
          <w:lang w:eastAsia="zh-CN"/>
        </w:rPr>
        <w:t>。（成本分析报告需充分说明费用的组成、降低成本的合理措施及在其它项目应用过的经验等，未提供成本分析报告或提供的成本分析报告不符合上述要求视为原则性不响应采购要求，做否决投标处理）</w:t>
      </w:r>
    </w:p>
    <w:p w14:paraId="77111F9E">
      <w:pPr>
        <w:pStyle w:val="23"/>
        <w:spacing w:before="312"/>
        <w:outlineLvl w:val="0"/>
        <w:rPr>
          <w:rFonts w:hint="eastAsia" w:ascii="黑体" w:hAnsi="黑体" w:eastAsia="黑体" w:cs="黑体"/>
          <w:sz w:val="28"/>
          <w:szCs w:val="28"/>
        </w:rPr>
      </w:pPr>
      <w:bookmarkStart w:id="21" w:name="_Toc266713650"/>
      <w:bookmarkStart w:id="22" w:name="_Toc21612"/>
      <w:r>
        <w:rPr>
          <w:rFonts w:hint="eastAsia" w:ascii="黑体" w:hAnsi="黑体" w:eastAsia="黑体" w:cs="黑体"/>
          <w:sz w:val="28"/>
          <w:szCs w:val="28"/>
        </w:rPr>
        <w:t>4  时间进度要求</w:t>
      </w:r>
      <w:bookmarkEnd w:id="21"/>
      <w:bookmarkEnd w:id="22"/>
      <w:bookmarkStart w:id="29" w:name="_GoBack"/>
      <w:bookmarkEnd w:id="29"/>
    </w:p>
    <w:p w14:paraId="2FEBC8E8">
      <w:pPr>
        <w:bidi w:val="0"/>
        <w:rPr>
          <w:rFonts w:hint="eastAsia"/>
        </w:rPr>
      </w:pPr>
    </w:p>
    <w:tbl>
      <w:tblPr>
        <w:tblStyle w:val="15"/>
        <w:tblpPr w:leftFromText="180" w:rightFromText="180" w:vertAnchor="text" w:horzAnchor="page" w:tblpX="2459" w:tblpY="176"/>
        <w:tblOverlap w:val="never"/>
        <w:tblW w:w="75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2450"/>
        <w:gridCol w:w="4137"/>
      </w:tblGrid>
      <w:tr w14:paraId="07239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tcPr>
          <w:p w14:paraId="5A073E1A">
            <w:pPr>
              <w:pStyle w:val="2"/>
              <w:rPr>
                <w:rFonts w:hint="eastAsia"/>
                <w:vertAlign w:val="baseline"/>
                <w:lang w:eastAsia="zh-CN"/>
              </w:rPr>
            </w:pPr>
            <w:r>
              <w:rPr>
                <w:rFonts w:hint="eastAsia" w:ascii="宋体" w:hAnsi="宋体"/>
                <w:sz w:val="24"/>
              </w:rPr>
              <w:t>时间段</w:t>
            </w:r>
          </w:p>
        </w:tc>
        <w:tc>
          <w:tcPr>
            <w:tcW w:w="2450" w:type="dxa"/>
            <w:shd w:val="clear" w:color="auto" w:fill="auto"/>
            <w:vAlign w:val="top"/>
          </w:tcPr>
          <w:p w14:paraId="097FAC8A">
            <w:pPr>
              <w:pStyle w:val="2"/>
              <w:rPr>
                <w:rFonts w:hint="eastAsia" w:ascii="Arial" w:hAnsi="Arial" w:eastAsia="宋体" w:cs="Arial"/>
                <w:b/>
                <w:bCs/>
                <w:kern w:val="2"/>
                <w:sz w:val="24"/>
                <w:szCs w:val="32"/>
                <w:vertAlign w:val="baseline"/>
                <w:lang w:val="en-US" w:eastAsia="zh-CN" w:bidi="ar-SA"/>
              </w:rPr>
            </w:pPr>
            <w:r>
              <w:rPr>
                <w:rFonts w:hint="eastAsia" w:ascii="宋体" w:hAnsi="宋体"/>
                <w:sz w:val="24"/>
              </w:rPr>
              <w:t>时间段</w:t>
            </w:r>
          </w:p>
        </w:tc>
        <w:tc>
          <w:tcPr>
            <w:tcW w:w="4137" w:type="dxa"/>
            <w:shd w:val="clear" w:color="auto" w:fill="auto"/>
            <w:vAlign w:val="top"/>
          </w:tcPr>
          <w:p w14:paraId="1E98CA74">
            <w:pPr>
              <w:pStyle w:val="2"/>
              <w:rPr>
                <w:rFonts w:hint="eastAsia" w:ascii="Arial" w:hAnsi="Arial" w:eastAsia="宋体" w:cs="Arial"/>
                <w:b/>
                <w:bCs/>
                <w:kern w:val="2"/>
                <w:sz w:val="24"/>
                <w:szCs w:val="32"/>
                <w:vertAlign w:val="baseline"/>
                <w:lang w:val="en-US" w:eastAsia="zh-CN" w:bidi="ar-SA"/>
              </w:rPr>
            </w:pPr>
            <w:r>
              <w:rPr>
                <w:rFonts w:hint="eastAsia" w:ascii="宋体" w:hAnsi="宋体"/>
                <w:sz w:val="24"/>
              </w:rPr>
              <w:t>主要工作内容</w:t>
            </w:r>
          </w:p>
        </w:tc>
      </w:tr>
      <w:tr w14:paraId="1EACB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trPr>
        <w:tc>
          <w:tcPr>
            <w:tcW w:w="946" w:type="dxa"/>
            <w:vMerge w:val="restart"/>
            <w:shd w:val="clear" w:color="auto" w:fill="auto"/>
            <w:vAlign w:val="center"/>
          </w:tcPr>
          <w:p w14:paraId="47BABE79">
            <w:pPr>
              <w:jc w:val="center"/>
              <w:rPr>
                <w:rFonts w:hint="eastAsia" w:ascii="宋体" w:hAnsi="宋体" w:eastAsia="宋体" w:cs="Times New Roman"/>
                <w:kern w:val="2"/>
                <w:sz w:val="24"/>
                <w:szCs w:val="24"/>
                <w:lang w:val="en-US" w:eastAsia="zh-CN" w:bidi="ar-SA"/>
              </w:rPr>
            </w:pPr>
            <w:r>
              <w:rPr>
                <w:rFonts w:hint="eastAsia" w:ascii="宋体" w:hAnsi="宋体"/>
                <w:spacing w:val="30"/>
                <w:sz w:val="24"/>
              </w:rPr>
              <w:t>工作总体安排进度</w:t>
            </w:r>
          </w:p>
        </w:tc>
        <w:tc>
          <w:tcPr>
            <w:tcW w:w="2450" w:type="dxa"/>
            <w:shd w:val="clear" w:color="auto" w:fill="auto"/>
            <w:vAlign w:val="center"/>
          </w:tcPr>
          <w:p w14:paraId="45279C81">
            <w:pPr>
              <w:jc w:val="center"/>
              <w:rPr>
                <w:rFonts w:hint="eastAsia" w:ascii="宋体" w:hAnsi="宋体" w:eastAsia="宋体" w:cs="Times New Roman"/>
                <w:kern w:val="2"/>
                <w:sz w:val="24"/>
                <w:szCs w:val="24"/>
                <w:lang w:val="en-US" w:eastAsia="zh-CN" w:bidi="ar-SA"/>
              </w:rPr>
            </w:pPr>
            <w:r>
              <w:rPr>
                <w:rFonts w:hint="eastAsia" w:ascii="宋体" w:hAnsi="宋体"/>
                <w:color w:val="000000"/>
                <w:sz w:val="24"/>
                <w:highlight w:val="none"/>
                <w:lang w:eastAsia="zh-CN"/>
              </w:rPr>
              <w:t>2026</w:t>
            </w:r>
            <w:r>
              <w:rPr>
                <w:rFonts w:hint="eastAsia" w:ascii="宋体" w:hAnsi="宋体"/>
                <w:color w:val="000000"/>
                <w:sz w:val="24"/>
                <w:highlight w:val="none"/>
              </w:rPr>
              <w:t>.0</w:t>
            </w:r>
            <w:r>
              <w:rPr>
                <w:rFonts w:hint="eastAsia" w:ascii="宋体" w:hAnsi="宋体"/>
                <w:color w:val="000000"/>
                <w:sz w:val="24"/>
                <w:highlight w:val="none"/>
                <w:lang w:val="en-US" w:eastAsia="zh-CN"/>
              </w:rPr>
              <w:t>8</w:t>
            </w:r>
            <w:r>
              <w:rPr>
                <w:rFonts w:hint="eastAsia" w:ascii="宋体" w:hAnsi="宋体"/>
                <w:color w:val="000000"/>
                <w:sz w:val="24"/>
                <w:highlight w:val="none"/>
              </w:rPr>
              <w:t>-</w:t>
            </w:r>
            <w:r>
              <w:rPr>
                <w:rFonts w:hint="eastAsia" w:ascii="宋体" w:hAnsi="宋体"/>
                <w:color w:val="000000"/>
                <w:sz w:val="24"/>
                <w:highlight w:val="none"/>
                <w:lang w:eastAsia="zh-CN"/>
              </w:rPr>
              <w:t>2026</w:t>
            </w:r>
            <w:r>
              <w:rPr>
                <w:rFonts w:hint="eastAsia" w:ascii="宋体" w:hAnsi="宋体"/>
                <w:color w:val="000000"/>
                <w:sz w:val="24"/>
                <w:highlight w:val="none"/>
              </w:rPr>
              <w:t>.</w:t>
            </w:r>
            <w:r>
              <w:rPr>
                <w:rFonts w:hint="eastAsia" w:ascii="宋体" w:hAnsi="宋体"/>
                <w:color w:val="000000"/>
                <w:sz w:val="24"/>
                <w:highlight w:val="none"/>
                <w:lang w:val="en-US" w:eastAsia="zh-CN"/>
              </w:rPr>
              <w:t>09</w:t>
            </w:r>
          </w:p>
        </w:tc>
        <w:tc>
          <w:tcPr>
            <w:tcW w:w="4137" w:type="dxa"/>
            <w:shd w:val="clear" w:color="auto" w:fill="auto"/>
            <w:vAlign w:val="center"/>
          </w:tcPr>
          <w:p w14:paraId="3949A0BA">
            <w:pPr>
              <w:pStyle w:val="25"/>
              <w:snapToGrid w:val="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lang w:val="en-US" w:eastAsia="zh-CN"/>
              </w:rPr>
              <w:t>软件加工、</w:t>
            </w:r>
            <w:r>
              <w:rPr>
                <w:rFonts w:hint="eastAsia" w:ascii="Times New Roman" w:hAnsi="Times New Roman" w:eastAsia="宋体" w:cs="Times New Roman"/>
                <w:sz w:val="24"/>
                <w:lang w:val="en-US" w:eastAsia="zh-CN"/>
              </w:rPr>
              <w:t>申请</w:t>
            </w:r>
            <w:r>
              <w:rPr>
                <w:rFonts w:hint="eastAsia" w:ascii="Times New Roman" w:hAnsi="Times New Roman" w:eastAsia="宋体" w:cs="Times New Roman"/>
                <w:sz w:val="24"/>
              </w:rPr>
              <w:t>专利</w:t>
            </w:r>
            <w:r>
              <w:rPr>
                <w:rFonts w:hint="eastAsia" w:ascii="Times New Roman" w:hAnsi="Times New Roman" w:eastAsia="宋体" w:cs="Times New Roman"/>
                <w:sz w:val="24"/>
                <w:lang w:val="en-US" w:eastAsia="zh-CN"/>
              </w:rPr>
              <w:t>与软件著作权</w:t>
            </w:r>
            <w:r>
              <w:rPr>
                <w:rFonts w:hint="eastAsia" w:ascii="Times New Roman" w:hAnsi="Times New Roman" w:eastAsia="宋体" w:cs="Times New Roman"/>
                <w:lang w:eastAsia="zh-CN"/>
              </w:rPr>
              <w:t>、</w:t>
            </w:r>
            <w:r>
              <w:rPr>
                <w:rFonts w:hint="eastAsia" w:ascii="Times New Roman" w:hAnsi="Times New Roman" w:eastAsia="宋体" w:cs="Times New Roman"/>
              </w:rPr>
              <w:t>形成使用说明书</w:t>
            </w:r>
          </w:p>
        </w:tc>
      </w:tr>
      <w:tr w14:paraId="11607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946" w:type="dxa"/>
            <w:vMerge w:val="continue"/>
            <w:shd w:val="clear" w:color="auto" w:fill="auto"/>
            <w:vAlign w:val="center"/>
          </w:tcPr>
          <w:p w14:paraId="20E68472">
            <w:pPr>
              <w:jc w:val="center"/>
              <w:rPr>
                <w:rFonts w:hint="eastAsia" w:ascii="宋体" w:hAnsi="宋体" w:eastAsia="宋体" w:cs="Times New Roman"/>
                <w:kern w:val="2"/>
                <w:sz w:val="24"/>
                <w:szCs w:val="24"/>
                <w:lang w:val="en-US" w:eastAsia="zh-CN" w:bidi="ar-SA"/>
              </w:rPr>
            </w:pPr>
          </w:p>
        </w:tc>
        <w:tc>
          <w:tcPr>
            <w:tcW w:w="2450" w:type="dxa"/>
            <w:shd w:val="clear" w:color="auto" w:fill="auto"/>
            <w:vAlign w:val="center"/>
          </w:tcPr>
          <w:p w14:paraId="3B39B7ED">
            <w:pPr>
              <w:jc w:val="center"/>
              <w:rPr>
                <w:rFonts w:hint="eastAsia" w:ascii="宋体" w:hAnsi="宋体" w:eastAsia="宋体" w:cs="Times New Roman"/>
                <w:kern w:val="2"/>
                <w:sz w:val="24"/>
                <w:szCs w:val="24"/>
                <w:lang w:val="en-US" w:eastAsia="zh-CN" w:bidi="ar-SA"/>
              </w:rPr>
            </w:pPr>
            <w:r>
              <w:rPr>
                <w:rFonts w:hint="eastAsia" w:ascii="宋体" w:hAnsi="宋体"/>
                <w:color w:val="000000"/>
                <w:sz w:val="24"/>
                <w:highlight w:val="none"/>
                <w:lang w:eastAsia="zh-CN"/>
              </w:rPr>
              <w:t>2026</w:t>
            </w:r>
            <w:r>
              <w:rPr>
                <w:rFonts w:hint="eastAsia" w:ascii="宋体" w:hAnsi="宋体"/>
                <w:color w:val="000000"/>
                <w:sz w:val="24"/>
                <w:highlight w:val="none"/>
              </w:rPr>
              <w:t>.</w:t>
            </w:r>
            <w:r>
              <w:rPr>
                <w:rFonts w:hint="eastAsia" w:ascii="宋体" w:hAnsi="宋体"/>
                <w:color w:val="000000"/>
                <w:sz w:val="24"/>
                <w:highlight w:val="none"/>
                <w:lang w:val="en-US" w:eastAsia="zh-CN"/>
              </w:rPr>
              <w:t>09</w:t>
            </w:r>
            <w:r>
              <w:rPr>
                <w:rFonts w:hint="eastAsia" w:ascii="宋体" w:hAnsi="宋体"/>
                <w:color w:val="000000"/>
                <w:sz w:val="24"/>
                <w:highlight w:val="none"/>
              </w:rPr>
              <w:t>-</w:t>
            </w:r>
            <w:r>
              <w:rPr>
                <w:rFonts w:hint="eastAsia" w:ascii="宋体" w:hAnsi="宋体"/>
                <w:color w:val="000000"/>
                <w:sz w:val="24"/>
                <w:highlight w:val="none"/>
                <w:lang w:eastAsia="zh-CN"/>
              </w:rPr>
              <w:t>2026</w:t>
            </w:r>
            <w:r>
              <w:rPr>
                <w:rFonts w:hint="eastAsia" w:ascii="宋体" w:hAnsi="宋体"/>
                <w:color w:val="000000"/>
                <w:sz w:val="24"/>
                <w:highlight w:val="none"/>
              </w:rPr>
              <w:t>.</w:t>
            </w:r>
            <w:r>
              <w:rPr>
                <w:rFonts w:hint="eastAsia" w:ascii="宋体" w:hAnsi="宋体"/>
                <w:color w:val="000000"/>
                <w:sz w:val="24"/>
                <w:highlight w:val="none"/>
                <w:lang w:val="en-US" w:eastAsia="zh-CN"/>
              </w:rPr>
              <w:t>10</w:t>
            </w:r>
          </w:p>
        </w:tc>
        <w:tc>
          <w:tcPr>
            <w:tcW w:w="4137" w:type="dxa"/>
            <w:shd w:val="clear" w:color="auto" w:fill="auto"/>
            <w:vAlign w:val="center"/>
          </w:tcPr>
          <w:p w14:paraId="3B2E9F1F">
            <w:pPr>
              <w:pStyle w:val="25"/>
              <w:snapToGrid w:val="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sz w:val="24"/>
              </w:rPr>
              <w:t>项目试点应用</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总结、编制项目报告</w:t>
            </w:r>
            <w:r>
              <w:rPr>
                <w:rFonts w:hint="eastAsia" w:ascii="Times New Roman" w:eastAsia="宋体" w:cs="Times New Roman"/>
                <w:sz w:val="24"/>
                <w:lang w:val="en-US" w:eastAsia="zh-CN"/>
              </w:rPr>
              <w:t>、</w:t>
            </w:r>
            <w:r>
              <w:rPr>
                <w:rFonts w:hint="eastAsia" w:ascii="Times New Roman" w:hAnsi="Times New Roman" w:eastAsia="宋体" w:cs="Times New Roman"/>
                <w:sz w:val="24"/>
              </w:rPr>
              <w:t>项目验收</w:t>
            </w:r>
          </w:p>
        </w:tc>
      </w:tr>
    </w:tbl>
    <w:p w14:paraId="4D02CE78">
      <w:pPr>
        <w:pStyle w:val="23"/>
        <w:spacing w:before="312"/>
        <w:outlineLvl w:val="0"/>
        <w:rPr>
          <w:rFonts w:ascii="黑体" w:hAnsi="黑体" w:eastAsia="黑体" w:cs="黑体"/>
          <w:sz w:val="28"/>
          <w:szCs w:val="28"/>
        </w:rPr>
      </w:pPr>
      <w:bookmarkStart w:id="23" w:name="_Toc8651"/>
      <w:r>
        <w:rPr>
          <w:rFonts w:hint="eastAsia" w:ascii="黑体" w:hAnsi="黑体" w:eastAsia="黑体" w:cs="黑体"/>
          <w:sz w:val="28"/>
          <w:szCs w:val="28"/>
        </w:rPr>
        <w:t>5  交付与验收</w:t>
      </w:r>
      <w:bookmarkEnd w:id="23"/>
    </w:p>
    <w:p w14:paraId="0218B377">
      <w:pPr>
        <w:spacing w:line="360" w:lineRule="auto"/>
        <w:outlineLvl w:val="1"/>
        <w:rPr>
          <w:rFonts w:hint="eastAsia" w:ascii="黑体" w:hAnsi="黑体" w:eastAsia="黑体" w:cs="黑体"/>
          <w:bCs/>
          <w:sz w:val="24"/>
          <w:highlight w:val="magenta"/>
        </w:rPr>
      </w:pPr>
      <w:bookmarkStart w:id="24" w:name="_Toc3677"/>
      <w:r>
        <w:rPr>
          <w:rFonts w:hint="eastAsia" w:ascii="黑体" w:hAnsi="黑体" w:eastAsia="黑体" w:cs="黑体"/>
          <w:bCs/>
          <w:sz w:val="24"/>
        </w:rPr>
        <w:t>5.</w:t>
      </w:r>
      <w:r>
        <w:rPr>
          <w:rFonts w:hint="eastAsia" w:ascii="黑体" w:hAnsi="黑体" w:eastAsia="黑体" w:cs="黑体"/>
          <w:bCs/>
          <w:sz w:val="24"/>
          <w:highlight w:val="none"/>
        </w:rPr>
        <w:t>1 交付形式及数量要求</w:t>
      </w:r>
      <w:bookmarkEnd w:id="24"/>
    </w:p>
    <w:p w14:paraId="7D023EE0">
      <w:pPr>
        <w:adjustRightInd w:val="0"/>
        <w:snapToGrid w:val="0"/>
        <w:spacing w:line="360" w:lineRule="auto"/>
        <w:ind w:firstLine="480" w:firstLineChars="200"/>
        <w:outlineLvl w:val="0"/>
        <w:rPr>
          <w:rFonts w:hint="default" w:ascii="宋体" w:hAnsi="宋体" w:cs="宋体"/>
          <w:color w:val="000000"/>
          <w:kern w:val="0"/>
          <w:sz w:val="24"/>
          <w:szCs w:val="20"/>
          <w:highlight w:val="none"/>
        </w:rPr>
      </w:pPr>
      <w:r>
        <w:rPr>
          <w:rFonts w:hint="default" w:ascii="宋体" w:hAnsi="宋体" w:cs="宋体"/>
          <w:color w:val="000000"/>
          <w:kern w:val="0"/>
          <w:sz w:val="24"/>
          <w:szCs w:val="20"/>
          <w:highlight w:val="none"/>
        </w:rPr>
        <w:t>投标方需交付以下成果：</w:t>
      </w:r>
    </w:p>
    <w:p w14:paraId="798DFD06">
      <w:pPr>
        <w:adjustRightInd w:val="0"/>
        <w:snapToGrid w:val="0"/>
        <w:spacing w:line="360" w:lineRule="auto"/>
        <w:ind w:firstLine="480" w:firstLineChars="200"/>
        <w:outlineLvl w:val="0"/>
        <w:rPr>
          <w:rFonts w:hint="default" w:ascii="宋体" w:hAnsi="宋体" w:cs="宋体"/>
          <w:color w:val="000000"/>
          <w:kern w:val="0"/>
          <w:sz w:val="24"/>
          <w:szCs w:val="20"/>
          <w:highlight w:val="none"/>
        </w:rPr>
      </w:pPr>
      <w:r>
        <w:rPr>
          <w:rFonts w:hint="default" w:ascii="宋体" w:hAnsi="宋体" w:cs="宋体"/>
          <w:color w:val="000000"/>
          <w:kern w:val="0"/>
          <w:sz w:val="24"/>
          <w:szCs w:val="20"/>
          <w:highlight w:val="none"/>
        </w:rPr>
        <w:t>（1）基于云景平台的变电运行信息数据看板1套；</w:t>
      </w:r>
    </w:p>
    <w:p w14:paraId="26F01CDF">
      <w:pPr>
        <w:adjustRightInd w:val="0"/>
        <w:snapToGrid w:val="0"/>
        <w:spacing w:line="360" w:lineRule="auto"/>
        <w:ind w:firstLine="480" w:firstLineChars="200"/>
        <w:outlineLvl w:val="0"/>
        <w:rPr>
          <w:rFonts w:hint="default" w:ascii="宋体" w:hAnsi="宋体" w:cs="宋体"/>
          <w:color w:val="000000"/>
          <w:kern w:val="0"/>
          <w:sz w:val="24"/>
          <w:szCs w:val="20"/>
          <w:highlight w:val="none"/>
        </w:rPr>
      </w:pPr>
      <w:r>
        <w:rPr>
          <w:rFonts w:hint="default" w:ascii="宋体" w:hAnsi="宋体" w:cs="宋体"/>
          <w:color w:val="000000"/>
          <w:kern w:val="0"/>
          <w:sz w:val="24"/>
          <w:szCs w:val="20"/>
          <w:highlight w:val="none"/>
        </w:rPr>
        <w:t>（2）</w:t>
      </w:r>
      <w:r>
        <w:rPr>
          <w:rFonts w:hint="eastAsia" w:ascii="宋体" w:hAnsi="宋体" w:cs="宋体"/>
          <w:szCs w:val="21"/>
          <w:highlight w:val="none"/>
        </w:rPr>
        <w:t>配合甲方完成 1 项发明专利技术交底书、并申请受理</w:t>
      </w:r>
      <w:r>
        <w:rPr>
          <w:rFonts w:hint="default" w:ascii="宋体" w:hAnsi="宋体" w:cs="宋体"/>
          <w:color w:val="000000"/>
          <w:kern w:val="0"/>
          <w:sz w:val="24"/>
          <w:szCs w:val="20"/>
          <w:highlight w:val="none"/>
        </w:rPr>
        <w:t>；</w:t>
      </w:r>
    </w:p>
    <w:p w14:paraId="2FF6E2CE">
      <w:pPr>
        <w:adjustRightInd w:val="0"/>
        <w:snapToGrid w:val="0"/>
        <w:spacing w:line="360" w:lineRule="auto"/>
        <w:ind w:firstLine="480" w:firstLineChars="200"/>
        <w:outlineLvl w:val="0"/>
        <w:rPr>
          <w:rFonts w:hint="default" w:ascii="宋体" w:hAnsi="宋体" w:cs="宋体"/>
          <w:color w:val="000000"/>
          <w:kern w:val="0"/>
          <w:sz w:val="24"/>
          <w:szCs w:val="20"/>
          <w:highlight w:val="none"/>
        </w:rPr>
      </w:pPr>
      <w:r>
        <w:rPr>
          <w:rFonts w:hint="default" w:ascii="宋体" w:hAnsi="宋体" w:cs="宋体"/>
          <w:color w:val="000000"/>
          <w:kern w:val="0"/>
          <w:sz w:val="24"/>
          <w:szCs w:val="20"/>
          <w:highlight w:val="none"/>
        </w:rPr>
        <w:t>（3）</w:t>
      </w:r>
      <w:r>
        <w:rPr>
          <w:rFonts w:hint="eastAsia" w:ascii="宋体" w:hAnsi="宋体" w:cs="宋体"/>
          <w:szCs w:val="21"/>
          <w:highlight w:val="none"/>
        </w:rPr>
        <w:t>配合甲方完成 1 项</w:t>
      </w:r>
      <w:r>
        <w:rPr>
          <w:rFonts w:hint="default" w:ascii="宋体" w:hAnsi="宋体" w:cs="宋体"/>
          <w:color w:val="000000"/>
          <w:kern w:val="0"/>
          <w:sz w:val="24"/>
          <w:szCs w:val="20"/>
          <w:highlight w:val="none"/>
        </w:rPr>
        <w:t>软件著作权</w:t>
      </w:r>
      <w:r>
        <w:rPr>
          <w:rFonts w:hint="eastAsia" w:ascii="宋体" w:hAnsi="宋体" w:cs="宋体"/>
          <w:szCs w:val="21"/>
          <w:highlight w:val="none"/>
        </w:rPr>
        <w:t>申请受理</w:t>
      </w:r>
      <w:r>
        <w:rPr>
          <w:rFonts w:hint="default" w:ascii="宋体" w:hAnsi="宋体" w:cs="宋体"/>
          <w:color w:val="000000"/>
          <w:kern w:val="0"/>
          <w:sz w:val="24"/>
          <w:szCs w:val="20"/>
          <w:highlight w:val="none"/>
        </w:rPr>
        <w:t>；</w:t>
      </w:r>
    </w:p>
    <w:p w14:paraId="3D6B13FD">
      <w:pPr>
        <w:adjustRightInd w:val="0"/>
        <w:snapToGrid w:val="0"/>
        <w:spacing w:line="360" w:lineRule="auto"/>
        <w:ind w:firstLine="480" w:firstLineChars="200"/>
        <w:outlineLvl w:val="0"/>
        <w:rPr>
          <w:rFonts w:hint="default" w:ascii="宋体" w:hAnsi="宋体" w:cs="宋体"/>
          <w:color w:val="000000"/>
          <w:kern w:val="0"/>
          <w:sz w:val="24"/>
          <w:szCs w:val="20"/>
          <w:highlight w:val="none"/>
        </w:rPr>
      </w:pPr>
      <w:r>
        <w:rPr>
          <w:rFonts w:hint="default" w:ascii="宋体" w:hAnsi="宋体" w:cs="宋体"/>
          <w:color w:val="000000"/>
          <w:kern w:val="0"/>
          <w:sz w:val="24"/>
          <w:szCs w:val="20"/>
          <w:highlight w:val="none"/>
        </w:rPr>
        <w:t>（</w:t>
      </w:r>
      <w:r>
        <w:rPr>
          <w:rFonts w:hint="eastAsia" w:ascii="宋体" w:hAnsi="宋体" w:cs="宋体"/>
          <w:color w:val="000000"/>
          <w:kern w:val="0"/>
          <w:sz w:val="24"/>
          <w:szCs w:val="20"/>
          <w:highlight w:val="none"/>
          <w:lang w:val="en-US" w:eastAsia="zh-CN"/>
        </w:rPr>
        <w:t>4</w:t>
      </w:r>
      <w:r>
        <w:rPr>
          <w:rFonts w:hint="default" w:ascii="宋体" w:hAnsi="宋体" w:cs="宋体"/>
          <w:color w:val="000000"/>
          <w:kern w:val="0"/>
          <w:sz w:val="24"/>
          <w:szCs w:val="20"/>
          <w:highlight w:val="none"/>
        </w:rPr>
        <w:t>）软件代码1套；</w:t>
      </w:r>
    </w:p>
    <w:p w14:paraId="119FBE3D">
      <w:pPr>
        <w:adjustRightInd w:val="0"/>
        <w:snapToGrid w:val="0"/>
        <w:spacing w:line="360" w:lineRule="auto"/>
        <w:ind w:firstLine="480" w:firstLineChars="200"/>
        <w:outlineLvl w:val="0"/>
        <w:rPr>
          <w:rFonts w:hint="default" w:ascii="宋体" w:hAnsi="宋体" w:cs="宋体"/>
          <w:color w:val="000000"/>
          <w:kern w:val="0"/>
          <w:sz w:val="24"/>
          <w:szCs w:val="20"/>
        </w:rPr>
      </w:pPr>
      <w:r>
        <w:rPr>
          <w:rFonts w:hint="default" w:ascii="宋体" w:hAnsi="宋体" w:cs="宋体"/>
          <w:color w:val="000000"/>
          <w:kern w:val="0"/>
          <w:sz w:val="24"/>
          <w:szCs w:val="20"/>
        </w:rPr>
        <w:t>（</w:t>
      </w:r>
      <w:r>
        <w:rPr>
          <w:rFonts w:hint="eastAsia" w:ascii="宋体" w:hAnsi="宋体" w:cs="宋体"/>
          <w:color w:val="000000"/>
          <w:kern w:val="0"/>
          <w:sz w:val="24"/>
          <w:szCs w:val="20"/>
          <w:lang w:val="en-US" w:eastAsia="zh-CN"/>
        </w:rPr>
        <w:t>5</w:t>
      </w:r>
      <w:r>
        <w:rPr>
          <w:rFonts w:hint="default" w:ascii="宋体" w:hAnsi="宋体" w:cs="宋体"/>
          <w:color w:val="000000"/>
          <w:kern w:val="0"/>
          <w:sz w:val="24"/>
          <w:szCs w:val="20"/>
        </w:rPr>
        <w:t>）操作说明书1份；</w:t>
      </w:r>
    </w:p>
    <w:p w14:paraId="6323F9FA">
      <w:pPr>
        <w:adjustRightInd w:val="0"/>
        <w:snapToGrid w:val="0"/>
        <w:spacing w:line="360" w:lineRule="auto"/>
        <w:ind w:firstLine="480" w:firstLineChars="200"/>
        <w:outlineLvl w:val="0"/>
        <w:rPr>
          <w:rFonts w:hint="eastAsia"/>
          <w:lang w:eastAsia="zh-CN"/>
        </w:rPr>
      </w:pPr>
      <w:r>
        <w:rPr>
          <w:rFonts w:hint="default" w:ascii="宋体" w:hAnsi="宋体" w:cs="宋体"/>
          <w:color w:val="000000"/>
          <w:kern w:val="0"/>
          <w:sz w:val="24"/>
          <w:szCs w:val="20"/>
        </w:rPr>
        <w:t>（</w:t>
      </w:r>
      <w:r>
        <w:rPr>
          <w:rFonts w:hint="eastAsia" w:ascii="宋体" w:hAnsi="宋体" w:cs="宋体"/>
          <w:color w:val="000000"/>
          <w:kern w:val="0"/>
          <w:sz w:val="24"/>
          <w:szCs w:val="20"/>
          <w:lang w:val="en-US" w:eastAsia="zh-CN"/>
        </w:rPr>
        <w:t>6</w:t>
      </w:r>
      <w:r>
        <w:rPr>
          <w:rFonts w:hint="default" w:ascii="宋体" w:hAnsi="宋体" w:cs="宋体"/>
          <w:color w:val="000000"/>
          <w:kern w:val="0"/>
          <w:sz w:val="24"/>
          <w:szCs w:val="20"/>
        </w:rPr>
        <w:t>）试点应用报告1份；</w:t>
      </w:r>
    </w:p>
    <w:p w14:paraId="1D24E7AD">
      <w:pPr>
        <w:spacing w:line="360" w:lineRule="auto"/>
        <w:outlineLvl w:val="1"/>
        <w:rPr>
          <w:rFonts w:asciiTheme="minorEastAsia" w:hAnsiTheme="minorEastAsia" w:eastAsiaTheme="minorEastAsia" w:cstheme="minorEastAsia"/>
          <w:color w:val="000000"/>
          <w:sz w:val="24"/>
        </w:rPr>
      </w:pPr>
      <w:bookmarkStart w:id="25" w:name="_Toc21560"/>
      <w:r>
        <w:rPr>
          <w:rFonts w:hint="eastAsia" w:ascii="黑体" w:hAnsi="黑体" w:eastAsia="黑体" w:cs="黑体"/>
          <w:bCs/>
          <w:sz w:val="24"/>
        </w:rPr>
        <w:t>5.2 验收</w:t>
      </w:r>
      <w:bookmarkEnd w:id="25"/>
      <w:bookmarkStart w:id="26" w:name="_Toc536"/>
      <w:bookmarkStart w:id="27" w:name="_Toc23588"/>
    </w:p>
    <w:bookmarkEnd w:id="26"/>
    <w:bookmarkEnd w:id="27"/>
    <w:p w14:paraId="775E12FF">
      <w:pPr>
        <w:adjustRightInd w:val="0"/>
        <w:snapToGrid w:val="0"/>
        <w:spacing w:line="360" w:lineRule="auto"/>
        <w:ind w:firstLine="480" w:firstLineChars="200"/>
        <w:outlineLvl w:val="0"/>
        <w:rPr>
          <w:rFonts w:hint="default" w:ascii="宋体" w:hAnsi="宋体" w:cs="宋体"/>
          <w:color w:val="000000"/>
          <w:kern w:val="0"/>
          <w:sz w:val="24"/>
          <w:szCs w:val="20"/>
        </w:rPr>
      </w:pPr>
      <w:bookmarkStart w:id="28" w:name="_Toc859"/>
      <w:r>
        <w:rPr>
          <w:rFonts w:hint="default" w:ascii="宋体" w:hAnsi="宋体" w:cs="宋体"/>
          <w:color w:val="000000"/>
          <w:kern w:val="0"/>
          <w:sz w:val="24"/>
          <w:szCs w:val="20"/>
        </w:rPr>
        <w:t>采取现场验收的方式。验收标准如下：</w:t>
      </w:r>
    </w:p>
    <w:p w14:paraId="4E7257D5">
      <w:pPr>
        <w:adjustRightInd w:val="0"/>
        <w:snapToGrid w:val="0"/>
        <w:spacing w:line="360" w:lineRule="auto"/>
        <w:ind w:firstLine="480" w:firstLineChars="200"/>
        <w:outlineLvl w:val="0"/>
        <w:rPr>
          <w:rFonts w:hint="default" w:ascii="宋体" w:hAnsi="宋体" w:cs="宋体"/>
          <w:color w:val="000000"/>
          <w:kern w:val="0"/>
          <w:sz w:val="24"/>
          <w:szCs w:val="20"/>
        </w:rPr>
      </w:pPr>
      <w:r>
        <w:rPr>
          <w:rFonts w:hint="default" w:ascii="宋体" w:hAnsi="宋体" w:cs="宋体"/>
          <w:color w:val="000000"/>
          <w:kern w:val="0"/>
          <w:sz w:val="24"/>
          <w:szCs w:val="20"/>
        </w:rPr>
        <w:t>（1）软件功能完整，满足本技术规范书第2.1条所列各项功能要求；</w:t>
      </w:r>
    </w:p>
    <w:p w14:paraId="1D20C404">
      <w:pPr>
        <w:adjustRightInd w:val="0"/>
        <w:snapToGrid w:val="0"/>
        <w:spacing w:line="360" w:lineRule="auto"/>
        <w:ind w:firstLine="480" w:firstLineChars="200"/>
        <w:outlineLvl w:val="0"/>
        <w:rPr>
          <w:rFonts w:hint="default" w:ascii="宋体" w:hAnsi="宋体" w:cs="宋体"/>
          <w:color w:val="000000"/>
          <w:kern w:val="0"/>
          <w:sz w:val="24"/>
          <w:szCs w:val="20"/>
        </w:rPr>
      </w:pPr>
      <w:r>
        <w:rPr>
          <w:rFonts w:hint="default" w:ascii="宋体" w:hAnsi="宋体" w:cs="宋体"/>
          <w:color w:val="000000"/>
          <w:kern w:val="0"/>
          <w:sz w:val="24"/>
          <w:szCs w:val="20"/>
        </w:rPr>
        <w:t>（2）通过第三方测试，测试结果合格；</w:t>
      </w:r>
    </w:p>
    <w:p w14:paraId="4B211B10">
      <w:pPr>
        <w:adjustRightInd w:val="0"/>
        <w:snapToGrid w:val="0"/>
        <w:spacing w:line="360" w:lineRule="auto"/>
        <w:ind w:firstLine="480" w:firstLineChars="200"/>
        <w:outlineLvl w:val="0"/>
        <w:rPr>
          <w:rFonts w:hint="default" w:ascii="宋体" w:hAnsi="宋体" w:cs="宋体"/>
          <w:color w:val="000000"/>
          <w:kern w:val="0"/>
          <w:sz w:val="24"/>
          <w:szCs w:val="20"/>
        </w:rPr>
      </w:pPr>
      <w:r>
        <w:rPr>
          <w:rFonts w:hint="default" w:ascii="宋体" w:hAnsi="宋体" w:cs="宋体"/>
          <w:color w:val="000000"/>
          <w:kern w:val="0"/>
          <w:sz w:val="24"/>
          <w:szCs w:val="20"/>
        </w:rPr>
        <w:t>（3）在东莞供电局变电管理一所完成试点应用，试点应用报告经甲方确认；</w:t>
      </w:r>
    </w:p>
    <w:p w14:paraId="4D9C4073">
      <w:pPr>
        <w:adjustRightInd w:val="0"/>
        <w:snapToGrid w:val="0"/>
        <w:spacing w:line="360" w:lineRule="auto"/>
        <w:ind w:firstLine="480" w:firstLineChars="200"/>
        <w:outlineLvl w:val="0"/>
        <w:rPr>
          <w:rFonts w:hint="default" w:ascii="宋体" w:hAnsi="宋体" w:cs="宋体"/>
          <w:color w:val="000000"/>
          <w:kern w:val="0"/>
          <w:sz w:val="24"/>
          <w:szCs w:val="20"/>
        </w:rPr>
      </w:pPr>
      <w:r>
        <w:rPr>
          <w:rFonts w:hint="default" w:ascii="宋体" w:hAnsi="宋体" w:cs="宋体"/>
          <w:color w:val="000000"/>
          <w:kern w:val="0"/>
          <w:sz w:val="24"/>
          <w:szCs w:val="20"/>
        </w:rPr>
        <w:t>（4）交付成果资料齐全、完整。</w:t>
      </w:r>
    </w:p>
    <w:p w14:paraId="0091CFFF">
      <w:pPr>
        <w:adjustRightInd w:val="0"/>
        <w:snapToGrid w:val="0"/>
        <w:spacing w:line="360" w:lineRule="auto"/>
        <w:ind w:firstLine="480" w:firstLineChars="200"/>
        <w:outlineLvl w:val="0"/>
        <w:rPr>
          <w:rFonts w:hint="default" w:ascii="宋体" w:hAnsi="宋体" w:cs="宋体"/>
          <w:color w:val="000000"/>
          <w:kern w:val="0"/>
          <w:sz w:val="24"/>
          <w:szCs w:val="20"/>
        </w:rPr>
      </w:pPr>
      <w:r>
        <w:rPr>
          <w:rFonts w:hint="default" w:ascii="宋体" w:hAnsi="宋体" w:cs="宋体"/>
          <w:color w:val="000000"/>
          <w:kern w:val="0"/>
          <w:sz w:val="24"/>
          <w:szCs w:val="20"/>
        </w:rPr>
        <w:t>逾期交付成果的，每逾期1日扣除合同金额的0.5%。</w:t>
      </w:r>
    </w:p>
    <w:bookmarkEnd w:id="28"/>
    <w:p w14:paraId="19F34398">
      <w:pPr>
        <w:spacing w:line="360" w:lineRule="auto"/>
        <w:rPr>
          <w:rFonts w:asciiTheme="minorEastAsia" w:hAnsiTheme="minorEastAsia" w:eastAsiaTheme="minorEastAsia" w:cstheme="minorEastAsia"/>
          <w:color w:val="000000"/>
          <w:sz w:val="24"/>
          <w:highlight w:val="yellow"/>
        </w:rPr>
      </w:pP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AFF" w:usb1="C0007841"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AC47A">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F0CAE2">
                          <w:pPr>
                            <w:pStyle w:val="9"/>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2CF0CAE2">
                    <w:pPr>
                      <w:pStyle w:val="9"/>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18"/>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112EA9"/>
    <w:rsid w:val="000C764F"/>
    <w:rsid w:val="00DE6232"/>
    <w:rsid w:val="01D35542"/>
    <w:rsid w:val="027C11FC"/>
    <w:rsid w:val="0295401A"/>
    <w:rsid w:val="0303051E"/>
    <w:rsid w:val="047B7BC4"/>
    <w:rsid w:val="04A9394B"/>
    <w:rsid w:val="04BF0B83"/>
    <w:rsid w:val="04FE4EAD"/>
    <w:rsid w:val="05312146"/>
    <w:rsid w:val="056D4E14"/>
    <w:rsid w:val="06F52B3B"/>
    <w:rsid w:val="07E53700"/>
    <w:rsid w:val="08EE7F45"/>
    <w:rsid w:val="09842C00"/>
    <w:rsid w:val="09F078C2"/>
    <w:rsid w:val="0A08515B"/>
    <w:rsid w:val="0A9773AF"/>
    <w:rsid w:val="0B715FA9"/>
    <w:rsid w:val="0BD1033B"/>
    <w:rsid w:val="0BFD7548"/>
    <w:rsid w:val="0C8C1EEF"/>
    <w:rsid w:val="0D0C14ED"/>
    <w:rsid w:val="0D6039E5"/>
    <w:rsid w:val="0D6F5857"/>
    <w:rsid w:val="0DDE0C6E"/>
    <w:rsid w:val="0E590AFF"/>
    <w:rsid w:val="0FBF064C"/>
    <w:rsid w:val="0FCB160C"/>
    <w:rsid w:val="10011F66"/>
    <w:rsid w:val="10972384"/>
    <w:rsid w:val="11402C86"/>
    <w:rsid w:val="12576123"/>
    <w:rsid w:val="13117BFA"/>
    <w:rsid w:val="13566E57"/>
    <w:rsid w:val="13A42991"/>
    <w:rsid w:val="14421D4B"/>
    <w:rsid w:val="147F0C66"/>
    <w:rsid w:val="1558413F"/>
    <w:rsid w:val="155E4129"/>
    <w:rsid w:val="16CE51A3"/>
    <w:rsid w:val="16F77748"/>
    <w:rsid w:val="18BA4DAD"/>
    <w:rsid w:val="19391844"/>
    <w:rsid w:val="1A316175"/>
    <w:rsid w:val="1A830B36"/>
    <w:rsid w:val="1ADD4B0E"/>
    <w:rsid w:val="1B843116"/>
    <w:rsid w:val="1BF021DF"/>
    <w:rsid w:val="1BFA3C82"/>
    <w:rsid w:val="1C672B50"/>
    <w:rsid w:val="1D8D437A"/>
    <w:rsid w:val="1DA01B05"/>
    <w:rsid w:val="1FBD1E67"/>
    <w:rsid w:val="1FD9003C"/>
    <w:rsid w:val="20D07F44"/>
    <w:rsid w:val="21CA3C88"/>
    <w:rsid w:val="22BD28C6"/>
    <w:rsid w:val="234277A0"/>
    <w:rsid w:val="234B187D"/>
    <w:rsid w:val="23A116F1"/>
    <w:rsid w:val="23E742C1"/>
    <w:rsid w:val="24C9435F"/>
    <w:rsid w:val="24EA7C79"/>
    <w:rsid w:val="250F564D"/>
    <w:rsid w:val="252B1EB7"/>
    <w:rsid w:val="256870E0"/>
    <w:rsid w:val="25E42BF8"/>
    <w:rsid w:val="265249D6"/>
    <w:rsid w:val="275D5D26"/>
    <w:rsid w:val="275F7D29"/>
    <w:rsid w:val="27F81146"/>
    <w:rsid w:val="28BE48E2"/>
    <w:rsid w:val="29F81415"/>
    <w:rsid w:val="2A441357"/>
    <w:rsid w:val="2B6721B0"/>
    <w:rsid w:val="2C191EA0"/>
    <w:rsid w:val="2C4618E3"/>
    <w:rsid w:val="2CA3124A"/>
    <w:rsid w:val="2D3371BF"/>
    <w:rsid w:val="2D7977AC"/>
    <w:rsid w:val="2D8F39A1"/>
    <w:rsid w:val="2DAC4578"/>
    <w:rsid w:val="2DB36870"/>
    <w:rsid w:val="2DEA6350"/>
    <w:rsid w:val="2E260032"/>
    <w:rsid w:val="2E2E5B4F"/>
    <w:rsid w:val="2E380045"/>
    <w:rsid w:val="2EFA1D2E"/>
    <w:rsid w:val="2EFE34E1"/>
    <w:rsid w:val="2EFF2BA5"/>
    <w:rsid w:val="2F2E6BFF"/>
    <w:rsid w:val="2FC241F2"/>
    <w:rsid w:val="30045C2F"/>
    <w:rsid w:val="30DF2B6C"/>
    <w:rsid w:val="313E1E7A"/>
    <w:rsid w:val="318B0463"/>
    <w:rsid w:val="32653DEB"/>
    <w:rsid w:val="32887BF4"/>
    <w:rsid w:val="330E4E8B"/>
    <w:rsid w:val="33161353"/>
    <w:rsid w:val="33471388"/>
    <w:rsid w:val="334E3954"/>
    <w:rsid w:val="34255CC8"/>
    <w:rsid w:val="347E10AE"/>
    <w:rsid w:val="35791EC8"/>
    <w:rsid w:val="358A1AD4"/>
    <w:rsid w:val="358B06A1"/>
    <w:rsid w:val="35DF4389"/>
    <w:rsid w:val="35E41FA9"/>
    <w:rsid w:val="35F55D16"/>
    <w:rsid w:val="360B40D3"/>
    <w:rsid w:val="3661221B"/>
    <w:rsid w:val="37A433E0"/>
    <w:rsid w:val="37AE0477"/>
    <w:rsid w:val="38004B22"/>
    <w:rsid w:val="38D05FCB"/>
    <w:rsid w:val="390A3500"/>
    <w:rsid w:val="39140E3A"/>
    <w:rsid w:val="39855B4F"/>
    <w:rsid w:val="398C2739"/>
    <w:rsid w:val="39E974DB"/>
    <w:rsid w:val="3C4C5078"/>
    <w:rsid w:val="3DDE3626"/>
    <w:rsid w:val="3EA348A3"/>
    <w:rsid w:val="401C5798"/>
    <w:rsid w:val="40794199"/>
    <w:rsid w:val="408A19B3"/>
    <w:rsid w:val="40F0643B"/>
    <w:rsid w:val="410217F6"/>
    <w:rsid w:val="419C13AE"/>
    <w:rsid w:val="41A73FEA"/>
    <w:rsid w:val="41B40E40"/>
    <w:rsid w:val="42A30678"/>
    <w:rsid w:val="42A37264"/>
    <w:rsid w:val="42DF02D2"/>
    <w:rsid w:val="44C917FC"/>
    <w:rsid w:val="45AD67D6"/>
    <w:rsid w:val="45CF1EF0"/>
    <w:rsid w:val="46264A58"/>
    <w:rsid w:val="47097B32"/>
    <w:rsid w:val="47194E6E"/>
    <w:rsid w:val="47382C50"/>
    <w:rsid w:val="48205CF0"/>
    <w:rsid w:val="48AE5D4E"/>
    <w:rsid w:val="49F22A9F"/>
    <w:rsid w:val="4A4B4604"/>
    <w:rsid w:val="4A566A25"/>
    <w:rsid w:val="4A7A1254"/>
    <w:rsid w:val="4A9A3B4D"/>
    <w:rsid w:val="4AED6DD8"/>
    <w:rsid w:val="4B18258B"/>
    <w:rsid w:val="4C3F54C3"/>
    <w:rsid w:val="4CE147A6"/>
    <w:rsid w:val="4CF766DE"/>
    <w:rsid w:val="4DBF3FC8"/>
    <w:rsid w:val="4DC64097"/>
    <w:rsid w:val="4DDB7BC5"/>
    <w:rsid w:val="4E287A4C"/>
    <w:rsid w:val="4EDB0676"/>
    <w:rsid w:val="4EDE6AF3"/>
    <w:rsid w:val="50692104"/>
    <w:rsid w:val="50C4507C"/>
    <w:rsid w:val="50E83C80"/>
    <w:rsid w:val="50E84976"/>
    <w:rsid w:val="515406D7"/>
    <w:rsid w:val="51CB638B"/>
    <w:rsid w:val="52D27864"/>
    <w:rsid w:val="53CD308F"/>
    <w:rsid w:val="54C17E31"/>
    <w:rsid w:val="54E75E4E"/>
    <w:rsid w:val="54EC5F00"/>
    <w:rsid w:val="55BB08CE"/>
    <w:rsid w:val="55F5265A"/>
    <w:rsid w:val="56112EA9"/>
    <w:rsid w:val="56634F6B"/>
    <w:rsid w:val="56705FB3"/>
    <w:rsid w:val="56FE5647"/>
    <w:rsid w:val="572004CE"/>
    <w:rsid w:val="576E3E36"/>
    <w:rsid w:val="579161E1"/>
    <w:rsid w:val="57D62605"/>
    <w:rsid w:val="57D91936"/>
    <w:rsid w:val="58BA3515"/>
    <w:rsid w:val="593E4146"/>
    <w:rsid w:val="59BD7DED"/>
    <w:rsid w:val="59E4535B"/>
    <w:rsid w:val="5AE252E1"/>
    <w:rsid w:val="5BAC42C7"/>
    <w:rsid w:val="5CBC1717"/>
    <w:rsid w:val="5E0B23A4"/>
    <w:rsid w:val="5E7F2B1D"/>
    <w:rsid w:val="5E9479C8"/>
    <w:rsid w:val="5EFF55AD"/>
    <w:rsid w:val="60446F8A"/>
    <w:rsid w:val="60A8111F"/>
    <w:rsid w:val="60B802FB"/>
    <w:rsid w:val="61633BDA"/>
    <w:rsid w:val="61B23647"/>
    <w:rsid w:val="61E33B45"/>
    <w:rsid w:val="62542CC4"/>
    <w:rsid w:val="630015B9"/>
    <w:rsid w:val="63FE5340"/>
    <w:rsid w:val="640B1F26"/>
    <w:rsid w:val="64132F2C"/>
    <w:rsid w:val="650664D0"/>
    <w:rsid w:val="65355760"/>
    <w:rsid w:val="666908C2"/>
    <w:rsid w:val="669900D9"/>
    <w:rsid w:val="673113AB"/>
    <w:rsid w:val="67593ED7"/>
    <w:rsid w:val="67FF4572"/>
    <w:rsid w:val="68AC152E"/>
    <w:rsid w:val="695323C7"/>
    <w:rsid w:val="696E2998"/>
    <w:rsid w:val="69C67F6C"/>
    <w:rsid w:val="69EA7D86"/>
    <w:rsid w:val="6A2D0FBD"/>
    <w:rsid w:val="6B023115"/>
    <w:rsid w:val="6D2B4CBE"/>
    <w:rsid w:val="6D401C96"/>
    <w:rsid w:val="6D4A0BE9"/>
    <w:rsid w:val="6E06100F"/>
    <w:rsid w:val="6E5B1FD7"/>
    <w:rsid w:val="708F1B04"/>
    <w:rsid w:val="70E237AF"/>
    <w:rsid w:val="710C1A65"/>
    <w:rsid w:val="71497715"/>
    <w:rsid w:val="71704C61"/>
    <w:rsid w:val="71C94BB9"/>
    <w:rsid w:val="72F13B80"/>
    <w:rsid w:val="7377313A"/>
    <w:rsid w:val="73FA6E86"/>
    <w:rsid w:val="744F7DDF"/>
    <w:rsid w:val="74572EAA"/>
    <w:rsid w:val="74E106B7"/>
    <w:rsid w:val="75700D85"/>
    <w:rsid w:val="75715F41"/>
    <w:rsid w:val="76497732"/>
    <w:rsid w:val="76890F73"/>
    <w:rsid w:val="770F4753"/>
    <w:rsid w:val="78376D79"/>
    <w:rsid w:val="790428F9"/>
    <w:rsid w:val="79AC6E77"/>
    <w:rsid w:val="7A126AE1"/>
    <w:rsid w:val="7ABE2378"/>
    <w:rsid w:val="7AFB3926"/>
    <w:rsid w:val="7B4C4049"/>
    <w:rsid w:val="7BFC3589"/>
    <w:rsid w:val="7C185614"/>
    <w:rsid w:val="7C257594"/>
    <w:rsid w:val="7CD02D3B"/>
    <w:rsid w:val="7E352FE9"/>
    <w:rsid w:val="7E6214B0"/>
    <w:rsid w:val="7EB61EE5"/>
    <w:rsid w:val="7F6C312B"/>
    <w:rsid w:val="7FCE0606"/>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6" w:lineRule="auto"/>
      <w:outlineLvl w:val="0"/>
    </w:pPr>
    <w:rPr>
      <w:b/>
      <w:kern w:val="44"/>
      <w:sz w:val="44"/>
    </w:rPr>
  </w:style>
  <w:style w:type="paragraph" w:styleId="5">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6">
    <w:name w:val="heading 3"/>
    <w:basedOn w:val="1"/>
    <w:next w:val="1"/>
    <w:unhideWhenUsed/>
    <w:qFormat/>
    <w:uiPriority w:val="0"/>
    <w:pPr>
      <w:keepNext/>
      <w:keepLines/>
      <w:spacing w:before="260" w:after="260" w:line="413" w:lineRule="auto"/>
      <w:outlineLvl w:val="2"/>
    </w:pPr>
    <w:rPr>
      <w:b/>
      <w:sz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rPr>
      <w:sz w:val="24"/>
    </w:rPr>
  </w:style>
  <w:style w:type="paragraph" w:styleId="3">
    <w:name w:val="Title"/>
    <w:basedOn w:val="1"/>
    <w:next w:val="1"/>
    <w:qFormat/>
    <w:uiPriority w:val="0"/>
    <w:pPr>
      <w:spacing w:before="120" w:after="60" w:line="240" w:lineRule="atLeast"/>
      <w:jc w:val="center"/>
      <w:outlineLvl w:val="0"/>
    </w:pPr>
    <w:rPr>
      <w:rFonts w:ascii="Arial" w:hAnsi="Arial" w:cs="Arial"/>
      <w:b/>
      <w:bCs/>
      <w:sz w:val="36"/>
      <w:szCs w:val="32"/>
    </w:rPr>
  </w:style>
  <w:style w:type="paragraph" w:styleId="7">
    <w:name w:val="annotation text"/>
    <w:basedOn w:val="1"/>
    <w:qFormat/>
    <w:uiPriority w:val="0"/>
    <w:pPr>
      <w:jc w:val="left"/>
    </w:pPr>
  </w:style>
  <w:style w:type="paragraph" w:styleId="8">
    <w:name w:val="Plain Text"/>
    <w:basedOn w:val="1"/>
    <w:qFormat/>
    <w:uiPriority w:val="0"/>
    <w:rPr>
      <w:rFonts w:ascii="宋体" w:hAnsi="Courier New" w:cs="Courier New"/>
      <w:szCs w:val="21"/>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toc 1"/>
    <w:basedOn w:val="1"/>
    <w:next w:val="1"/>
    <w:qFormat/>
    <w:uiPriority w:val="0"/>
  </w:style>
  <w:style w:type="paragraph" w:styleId="12">
    <w:name w:val="toc 2"/>
    <w:basedOn w:val="1"/>
    <w:next w:val="1"/>
    <w:qFormat/>
    <w:uiPriority w:val="0"/>
    <w:pPr>
      <w:tabs>
        <w:tab w:val="right" w:leader="dot" w:pos="8302"/>
      </w:tabs>
      <w:snapToGrid w:val="0"/>
      <w:spacing w:line="360" w:lineRule="auto"/>
      <w:ind w:left="525" w:hanging="4"/>
    </w:pPr>
    <w:rPr>
      <w:sz w:val="24"/>
      <w:szCs w:val="20"/>
    </w:rPr>
  </w:style>
  <w:style w:type="paragraph" w:styleId="13">
    <w:name w:val="Normal (Web)"/>
    <w:basedOn w:val="1"/>
    <w:qFormat/>
    <w:uiPriority w:val="0"/>
    <w:rPr>
      <w:sz w:val="24"/>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Hyperlink"/>
    <w:basedOn w:val="16"/>
    <w:qFormat/>
    <w:uiPriority w:val="0"/>
  </w:style>
  <w:style w:type="paragraph" w:customStyle="1" w:styleId="18">
    <w:name w:val="标题1"/>
    <w:basedOn w:val="5"/>
    <w:next w:val="1"/>
    <w:qFormat/>
    <w:uiPriority w:val="0"/>
    <w:pPr>
      <w:numPr>
        <w:ilvl w:val="0"/>
        <w:numId w:val="1"/>
      </w:numPr>
    </w:pPr>
    <w:rPr>
      <w:rFonts w:hAnsi="黑体"/>
    </w:rPr>
  </w:style>
  <w:style w:type="paragraph" w:customStyle="1" w:styleId="19">
    <w:name w:val="首页项目名称"/>
    <w:link w:val="21"/>
    <w:qFormat/>
    <w:uiPriority w:val="0"/>
    <w:pPr>
      <w:jc w:val="center"/>
    </w:pPr>
    <w:rPr>
      <w:rFonts w:ascii="Times New Roman" w:hAnsi="Times New Roman" w:eastAsia="隶书" w:cs="Times New Roman"/>
      <w:sz w:val="52"/>
      <w:lang w:val="en-US" w:eastAsia="zh-CN" w:bidi="ar-SA"/>
    </w:rPr>
  </w:style>
  <w:style w:type="paragraph" w:customStyle="1" w:styleId="20">
    <w:name w:val="首页日期"/>
    <w:basedOn w:val="1"/>
    <w:link w:val="22"/>
    <w:qFormat/>
    <w:uiPriority w:val="0"/>
    <w:pPr>
      <w:jc w:val="center"/>
    </w:pPr>
    <w:rPr>
      <w:rFonts w:eastAsia="楷体"/>
      <w:sz w:val="32"/>
    </w:rPr>
  </w:style>
  <w:style w:type="character" w:customStyle="1" w:styleId="21">
    <w:name w:val="首页项目名称 Char"/>
    <w:link w:val="19"/>
    <w:qFormat/>
    <w:uiPriority w:val="0"/>
    <w:rPr>
      <w:rFonts w:ascii="Times New Roman" w:hAnsi="Times New Roman" w:eastAsia="隶书"/>
      <w:sz w:val="52"/>
    </w:rPr>
  </w:style>
  <w:style w:type="character" w:customStyle="1" w:styleId="22">
    <w:name w:val="首页日期 Char"/>
    <w:link w:val="20"/>
    <w:qFormat/>
    <w:uiPriority w:val="0"/>
    <w:rPr>
      <w:rFonts w:ascii="Times New Roman" w:hAnsi="Times New Roman" w:eastAsia="楷体"/>
      <w:sz w:val="32"/>
    </w:rPr>
  </w:style>
  <w:style w:type="paragraph" w:customStyle="1" w:styleId="23">
    <w:name w:val="一标题"/>
    <w:link w:val="24"/>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4">
    <w:name w:val="一标题 Char"/>
    <w:link w:val="23"/>
    <w:qFormat/>
    <w:uiPriority w:val="0"/>
    <w:rPr>
      <w:rFonts w:ascii="宋体" w:hAnsi="宋体" w:eastAsia="宋体" w:cs="Times New Roman"/>
      <w:b/>
      <w:sz w:val="24"/>
    </w:rPr>
  </w:style>
  <w:style w:type="paragraph" w:customStyle="1" w:styleId="25">
    <w:name w:val="表格仿宋小四靠左"/>
    <w:basedOn w:val="1"/>
    <w:qFormat/>
    <w:uiPriority w:val="99"/>
    <w:rPr>
      <w:rFonts w:ascii="仿宋_GB2312" w:eastAsia="仿宋_GB2312"/>
      <w:sz w:val="24"/>
    </w:rPr>
  </w:style>
  <w:style w:type="paragraph" w:customStyle="1" w:styleId="26">
    <w:name w:val="表格仿宋小四居中"/>
    <w:basedOn w:val="1"/>
    <w:qFormat/>
    <w:uiPriority w:val="99"/>
    <w:pPr>
      <w:framePr w:hSpace="180" w:wrap="around" w:vAnchor="text" w:hAnchor="page" w:x="1327" w:y="205"/>
      <w:jc w:val="center"/>
    </w:pPr>
    <w:rPr>
      <w:rFonts w:ascii="仿宋" w:hAnsi="仿宋" w:eastAsia="仿宋"/>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1496</Words>
  <Characters>1575</Characters>
  <Lines>12</Lines>
  <Paragraphs>7</Paragraphs>
  <TotalTime>10</TotalTime>
  <ScaleCrop>false</ScaleCrop>
  <LinksUpToDate>false</LinksUpToDate>
  <CharactersWithSpaces>1605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2020-01-03T01:39:00Z</dcterms:created>
  <dc:creator>shenpeiyi</dc:creator>
  <cp:lastModifiedBy>任燕</cp:lastModifiedBy>
  <dcterms:modified xsi:type="dcterms:W3CDTF">2026-07-30T07:28:06Z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858C953018CD4A33B471860EE75EF71F_13</vt:lpwstr>
  </property>
  <property fmtid="{D5CDD505-2E9C-101B-9397-08002B2CF9AE}" pid="4" name="KSOTemplateDocerSaveRecord">
    <vt:lpwstr>eyJoZGlkIjoiNGY0YWE1ZmVhMzZkYmRjODM3OWQ0OWJhNDUwYTU0MmEiLCJ1c2VySWQiOiIyNzg0NTk1NDMifQ==</vt:lpwstr>
  </property>
</Properties>
</file>