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FD4F19">
      <w:pPr>
        <w:spacing w:line="360" w:lineRule="auto"/>
        <w:jc w:val="center"/>
        <w:rPr>
          <w:rFonts w:hint="eastAsia" w:ascii="黑体" w:hAnsi="黑体" w:eastAsia="黑体" w:cs="黑体"/>
          <w:b/>
          <w:bCs/>
          <w:sz w:val="32"/>
          <w:szCs w:val="32"/>
          <w:lang w:val="en-US" w:eastAsia="zh-CN"/>
        </w:rPr>
      </w:pPr>
    </w:p>
    <w:p w14:paraId="49F95E28">
      <w:pPr>
        <w:spacing w:line="360" w:lineRule="auto"/>
        <w:jc w:val="center"/>
        <w:rPr>
          <w:rFonts w:hint="eastAsia" w:ascii="黑体" w:hAnsi="黑体" w:eastAsia="黑体" w:cs="黑体"/>
          <w:b/>
          <w:bCs/>
          <w:sz w:val="32"/>
          <w:szCs w:val="32"/>
          <w:lang w:val="en-US" w:eastAsia="zh-CN"/>
        </w:rPr>
      </w:pPr>
    </w:p>
    <w:p w14:paraId="63C89F5B">
      <w:pPr>
        <w:spacing w:line="360" w:lineRule="auto"/>
        <w:jc w:val="center"/>
        <w:rPr>
          <w:rFonts w:hint="eastAsia" w:ascii="黑体" w:hAnsi="黑体" w:eastAsia="黑体" w:cs="黑体"/>
          <w:b/>
          <w:bCs/>
          <w:sz w:val="32"/>
          <w:szCs w:val="32"/>
          <w:lang w:val="en-US" w:eastAsia="zh-CN"/>
        </w:rPr>
      </w:pPr>
    </w:p>
    <w:p w14:paraId="6BA63CA8">
      <w:pPr>
        <w:spacing w:line="360" w:lineRule="auto"/>
        <w:jc w:val="center"/>
        <w:rPr>
          <w:rFonts w:hint="eastAsia" w:ascii="黑体" w:hAnsi="黑体" w:eastAsia="黑体" w:cs="黑体"/>
          <w:b/>
          <w:bCs/>
          <w:sz w:val="32"/>
          <w:szCs w:val="32"/>
          <w:lang w:val="en-US" w:eastAsia="zh-CN"/>
        </w:rPr>
      </w:pPr>
    </w:p>
    <w:p w14:paraId="05CAFD14">
      <w:pPr>
        <w:spacing w:line="360" w:lineRule="auto"/>
        <w:jc w:val="center"/>
        <w:rPr>
          <w:rFonts w:hint="eastAsia" w:ascii="黑体" w:hAnsi="黑体" w:eastAsia="黑体" w:cs="黑体"/>
          <w:b/>
          <w:bCs/>
          <w:sz w:val="32"/>
          <w:szCs w:val="32"/>
          <w:lang w:val="en-US" w:eastAsia="zh-CN"/>
        </w:rPr>
      </w:pPr>
    </w:p>
    <w:p w14:paraId="0F76C944">
      <w:pPr>
        <w:spacing w:line="360" w:lineRule="auto"/>
        <w:jc w:val="center"/>
        <w:rPr>
          <w:rFonts w:hint="eastAsia" w:ascii="黑体" w:hAnsi="黑体" w:eastAsia="黑体" w:cs="黑体"/>
          <w:b/>
          <w:bCs/>
          <w:sz w:val="32"/>
          <w:szCs w:val="32"/>
          <w:lang w:val="en-US" w:eastAsia="zh-CN"/>
        </w:rPr>
      </w:pPr>
    </w:p>
    <w:p w14:paraId="3809B8DC">
      <w:pPr>
        <w:spacing w:line="360" w:lineRule="auto"/>
        <w:jc w:val="center"/>
        <w:rPr>
          <w:rFonts w:hint="default" w:ascii="黑体" w:hAnsi="黑体" w:eastAsia="黑体" w:cs="黑体"/>
          <w:b/>
          <w:bCs/>
          <w:sz w:val="52"/>
          <w:szCs w:val="52"/>
          <w:lang w:val="en-US" w:eastAsia="zh-CN"/>
        </w:rPr>
      </w:pPr>
      <w:r>
        <w:rPr>
          <w:rFonts w:hint="eastAsia" w:ascii="黑体" w:hAnsi="黑体" w:eastAsia="黑体" w:cs="黑体"/>
          <w:b/>
          <w:bCs/>
          <w:sz w:val="52"/>
          <w:szCs w:val="52"/>
          <w:lang w:val="en-US" w:eastAsia="zh-CN"/>
        </w:rPr>
        <w:t>2026年贵州广思信息网络有限公司CQC认证年度监督审查零星采购</w:t>
      </w:r>
    </w:p>
    <w:p w14:paraId="00C7E657">
      <w:pPr>
        <w:spacing w:line="360" w:lineRule="auto"/>
        <w:jc w:val="center"/>
        <w:rPr>
          <w:rFonts w:ascii="黑体" w:hAnsi="黑体" w:eastAsia="黑体" w:cs="黑体"/>
          <w:b/>
          <w:bCs/>
          <w:sz w:val="52"/>
          <w:szCs w:val="52"/>
        </w:rPr>
      </w:pPr>
      <w:r>
        <w:rPr>
          <w:rFonts w:hint="eastAsia" w:ascii="黑体" w:hAnsi="黑体" w:eastAsia="黑体" w:cs="黑体"/>
          <w:b/>
          <w:bCs/>
          <w:sz w:val="52"/>
          <w:szCs w:val="52"/>
        </w:rPr>
        <w:t>技术规范书</w:t>
      </w:r>
    </w:p>
    <w:p w14:paraId="5952424E">
      <w:pPr>
        <w:spacing w:line="360" w:lineRule="auto"/>
        <w:rPr>
          <w:rFonts w:ascii="宋体" w:hAnsi="宋体" w:cs="宋体"/>
          <w:b/>
          <w:bCs/>
          <w:sz w:val="28"/>
          <w:szCs w:val="28"/>
        </w:rPr>
      </w:pPr>
    </w:p>
    <w:p w14:paraId="32AB7CEF">
      <w:pPr>
        <w:spacing w:line="360" w:lineRule="auto"/>
        <w:rPr>
          <w:rFonts w:hint="eastAsia" w:ascii="宋体" w:hAnsi="宋体" w:cs="宋体"/>
          <w:b/>
          <w:bCs/>
          <w:sz w:val="28"/>
          <w:szCs w:val="28"/>
        </w:rPr>
      </w:pPr>
    </w:p>
    <w:p w14:paraId="7640118B">
      <w:pPr>
        <w:spacing w:line="360" w:lineRule="auto"/>
        <w:rPr>
          <w:rFonts w:hint="eastAsia" w:ascii="宋体" w:hAnsi="宋体" w:cs="宋体"/>
          <w:b/>
          <w:bCs/>
          <w:sz w:val="28"/>
          <w:szCs w:val="28"/>
        </w:rPr>
      </w:pPr>
    </w:p>
    <w:p w14:paraId="0F8BDC8E">
      <w:pPr>
        <w:spacing w:line="360" w:lineRule="auto"/>
        <w:rPr>
          <w:rFonts w:hint="eastAsia" w:ascii="宋体" w:hAnsi="宋体" w:cs="宋体"/>
          <w:b/>
          <w:bCs/>
          <w:sz w:val="28"/>
          <w:szCs w:val="28"/>
        </w:rPr>
      </w:pPr>
    </w:p>
    <w:p w14:paraId="49F2DF8F">
      <w:pPr>
        <w:spacing w:line="360" w:lineRule="auto"/>
        <w:rPr>
          <w:rFonts w:hint="eastAsia" w:ascii="宋体" w:hAnsi="宋体" w:cs="宋体"/>
          <w:b/>
          <w:bCs/>
          <w:sz w:val="28"/>
          <w:szCs w:val="28"/>
        </w:rPr>
      </w:pPr>
    </w:p>
    <w:p w14:paraId="2578BFBB">
      <w:pPr>
        <w:spacing w:line="360" w:lineRule="auto"/>
        <w:rPr>
          <w:rFonts w:hint="eastAsia" w:ascii="宋体" w:hAnsi="宋体" w:cs="宋体"/>
          <w:b/>
          <w:bCs/>
          <w:sz w:val="28"/>
          <w:szCs w:val="28"/>
        </w:rPr>
      </w:pPr>
    </w:p>
    <w:p w14:paraId="7A41D729">
      <w:pPr>
        <w:spacing w:line="360" w:lineRule="auto"/>
        <w:rPr>
          <w:rFonts w:hint="eastAsia" w:ascii="宋体" w:hAnsi="宋体" w:cs="宋体"/>
          <w:b/>
          <w:bCs/>
          <w:sz w:val="28"/>
          <w:szCs w:val="28"/>
        </w:rPr>
      </w:pPr>
    </w:p>
    <w:p w14:paraId="115A933C">
      <w:pPr>
        <w:spacing w:line="360" w:lineRule="auto"/>
        <w:rPr>
          <w:rFonts w:hint="eastAsia" w:ascii="宋体" w:hAnsi="宋体" w:cs="宋体"/>
          <w:b/>
          <w:bCs/>
          <w:sz w:val="28"/>
          <w:szCs w:val="28"/>
        </w:rPr>
      </w:pPr>
    </w:p>
    <w:p w14:paraId="6669FF99">
      <w:pPr>
        <w:spacing w:line="360" w:lineRule="auto"/>
        <w:rPr>
          <w:rFonts w:hint="eastAsia" w:ascii="宋体" w:hAnsi="宋体" w:cs="宋体"/>
          <w:b/>
          <w:bCs/>
          <w:sz w:val="28"/>
          <w:szCs w:val="28"/>
        </w:rPr>
      </w:pPr>
    </w:p>
    <w:p w14:paraId="698BBE0E">
      <w:pPr>
        <w:spacing w:line="360" w:lineRule="auto"/>
        <w:rPr>
          <w:rFonts w:hint="eastAsia" w:ascii="宋体" w:hAnsi="宋体" w:cs="宋体"/>
          <w:b/>
          <w:bCs/>
          <w:sz w:val="28"/>
          <w:szCs w:val="28"/>
        </w:rPr>
      </w:pPr>
    </w:p>
    <w:p w14:paraId="37C6EE8E">
      <w:pPr>
        <w:spacing w:line="360" w:lineRule="auto"/>
        <w:rPr>
          <w:rFonts w:hint="eastAsia" w:ascii="宋体" w:hAnsi="宋体" w:cs="宋体"/>
          <w:b/>
          <w:bCs/>
          <w:sz w:val="28"/>
          <w:szCs w:val="28"/>
        </w:rPr>
      </w:pPr>
    </w:p>
    <w:p w14:paraId="0E63834C">
      <w:pPr>
        <w:spacing w:line="360" w:lineRule="auto"/>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 xml:space="preserve">                        2026年7月</w:t>
      </w:r>
    </w:p>
    <w:p w14:paraId="4B5F6C56">
      <w:pPr>
        <w:spacing w:line="360" w:lineRule="auto"/>
        <w:rPr>
          <w:rFonts w:hint="eastAsia" w:ascii="宋体" w:hAnsi="宋体" w:cs="宋体"/>
          <w:b/>
          <w:bCs/>
          <w:sz w:val="28"/>
          <w:szCs w:val="28"/>
          <w:lang w:val="en-US" w:eastAsia="zh-CN"/>
        </w:rPr>
      </w:pPr>
      <w:r>
        <w:rPr>
          <w:rFonts w:hint="eastAsia" w:ascii="宋体" w:hAnsi="宋体" w:cs="宋体"/>
          <w:b/>
          <w:bCs/>
          <w:sz w:val="28"/>
          <w:szCs w:val="28"/>
          <w:lang w:val="en-US" w:eastAsia="zh-CN"/>
        </w:rPr>
        <w:t>技术规范书中标注★号的，供应商必须在标书中进行响应，若无响应，将作否决处理。</w:t>
      </w:r>
    </w:p>
    <w:p w14:paraId="44481EE4">
      <w:pPr>
        <w:keepNext w:val="0"/>
        <w:keepLines w:val="0"/>
        <w:pageBreakBefore w:val="0"/>
        <w:widowControl w:val="0"/>
        <w:numPr>
          <w:ilvl w:val="0"/>
          <w:numId w:val="3"/>
        </w:numPr>
        <w:kinsoku/>
        <w:wordWrap/>
        <w:overflowPunct/>
        <w:topLinePunct w:val="0"/>
        <w:autoSpaceDE/>
        <w:autoSpaceDN/>
        <w:bidi w:val="0"/>
        <w:adjustRightInd w:val="0"/>
        <w:snapToGrid w:val="0"/>
        <w:spacing w:line="580" w:lineRule="exact"/>
        <w:ind w:firstLine="602" w:firstLineChars="200"/>
        <w:jc w:val="both"/>
        <w:textAlignment w:val="auto"/>
        <w:rPr>
          <w:rFonts w:hint="eastAsia" w:ascii="仿宋" w:hAnsi="仿宋" w:eastAsia="仿宋" w:cs="仿宋"/>
          <w:b/>
          <w:bCs/>
          <w:color w:val="000000"/>
          <w:sz w:val="30"/>
          <w:szCs w:val="30"/>
          <w:highlight w:val="none"/>
          <w:shd w:val="clear" w:color="auto" w:fill="auto"/>
          <w:lang w:val="en-US" w:eastAsia="zh-CN"/>
        </w:rPr>
      </w:pPr>
      <w:r>
        <w:rPr>
          <w:rFonts w:hint="eastAsia" w:ascii="仿宋" w:hAnsi="仿宋" w:eastAsia="仿宋" w:cs="仿宋"/>
          <w:b/>
          <w:bCs/>
          <w:color w:val="000000"/>
          <w:sz w:val="30"/>
          <w:szCs w:val="30"/>
          <w:highlight w:val="none"/>
          <w:shd w:val="clear" w:color="auto" w:fill="auto"/>
          <w:lang w:val="en-US" w:eastAsia="zh-CN"/>
        </w:rPr>
        <w:t>项目概况:</w:t>
      </w:r>
    </w:p>
    <w:p w14:paraId="76EE534B">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outlineLvl w:val="9"/>
        <w:rPr>
          <w:rFonts w:hint="eastAsia" w:ascii="仿宋_GB2312" w:hAnsi="宋体" w:eastAsia="仿宋_GB2312" w:cs="Times New Roman"/>
          <w:b w:val="0"/>
          <w:bCs/>
          <w:sz w:val="28"/>
          <w:szCs w:val="28"/>
          <w:lang w:val="en-US" w:eastAsia="zh-CN"/>
        </w:rPr>
      </w:pPr>
      <w:r>
        <w:rPr>
          <w:rFonts w:hint="eastAsia" w:ascii="仿宋" w:hAnsi="仿宋" w:eastAsia="仿宋" w:cs="仿宋"/>
          <w:sz w:val="30"/>
          <w:szCs w:val="30"/>
        </w:rPr>
        <w:t>1.1 项目背景：</w:t>
      </w:r>
      <w:r>
        <w:rPr>
          <w:rFonts w:hint="eastAsia" w:ascii="仿宋" w:hAnsi="仿宋" w:eastAsia="仿宋" w:cs="仿宋"/>
          <w:sz w:val="30"/>
          <w:szCs w:val="30"/>
          <w:lang w:val="en-US" w:eastAsia="zh-CN"/>
        </w:rPr>
        <w:t>2025年11月26日，贵安数据中心已取得537个10kW的54U机柜及配套设施的“数据中心场地基础设施认证证书”，证书编号：CQC25001493009，证书有效期内本证书的有效性依据发证机构的定期监督获得保持。根据CQC13-541203-2017 认证规则的要求，“8.1.一般情况下，获证后 12 个月内应进行监督检查，每次监督检查的间隔不超过 12 个月”</w:t>
      </w:r>
      <w:r>
        <w:rPr>
          <w:rFonts w:hint="eastAsia" w:ascii="仿宋_GB2312" w:hAnsi="宋体" w:eastAsia="仿宋_GB2312" w:cs="Times New Roman"/>
          <w:b w:val="0"/>
          <w:bCs/>
          <w:sz w:val="28"/>
          <w:szCs w:val="28"/>
          <w:lang w:val="en-US" w:eastAsia="zh-CN"/>
        </w:rPr>
        <w:t>。</w:t>
      </w:r>
    </w:p>
    <w:p w14:paraId="2A517B04">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rPr>
        <w:t>1.2 项目目标：</w:t>
      </w:r>
      <w:r>
        <w:rPr>
          <w:rFonts w:hint="eastAsia" w:ascii="仿宋" w:hAnsi="仿宋" w:eastAsia="仿宋" w:cs="仿宋"/>
          <w:sz w:val="30"/>
          <w:szCs w:val="30"/>
          <w:lang w:val="en-US" w:eastAsia="zh-CN"/>
        </w:rPr>
        <w:t>采购1家合格供应商完成项目服务</w:t>
      </w:r>
      <w:r>
        <w:rPr>
          <w:rFonts w:hint="eastAsia" w:ascii="仿宋" w:hAnsi="仿宋" w:eastAsia="仿宋" w:cs="仿宋"/>
          <w:sz w:val="30"/>
          <w:szCs w:val="30"/>
        </w:rPr>
        <w:t>。</w:t>
      </w:r>
      <w:bookmarkStart w:id="0" w:name="_Toc301258140"/>
    </w:p>
    <w:bookmarkEnd w:id="0"/>
    <w:p w14:paraId="6153185F">
      <w:pPr>
        <w:keepNext w:val="0"/>
        <w:keepLines w:val="0"/>
        <w:pageBreakBefore w:val="0"/>
        <w:widowControl w:val="0"/>
        <w:numPr>
          <w:ilvl w:val="0"/>
          <w:numId w:val="3"/>
        </w:numPr>
        <w:kinsoku/>
        <w:wordWrap/>
        <w:overflowPunct/>
        <w:topLinePunct w:val="0"/>
        <w:autoSpaceDE/>
        <w:autoSpaceDN/>
        <w:bidi w:val="0"/>
        <w:adjustRightInd w:val="0"/>
        <w:snapToGrid w:val="0"/>
        <w:spacing w:line="580" w:lineRule="exact"/>
        <w:ind w:firstLine="602" w:firstLineChars="200"/>
        <w:jc w:val="both"/>
        <w:textAlignment w:val="auto"/>
        <w:rPr>
          <w:rFonts w:hint="eastAsia" w:ascii="仿宋" w:hAnsi="仿宋" w:eastAsia="仿宋" w:cs="仿宋"/>
          <w:b/>
          <w:bCs/>
          <w:color w:val="000000"/>
          <w:sz w:val="30"/>
          <w:szCs w:val="30"/>
          <w:highlight w:val="none"/>
          <w:shd w:val="clear" w:color="auto" w:fill="auto"/>
          <w:lang w:val="en-US" w:eastAsia="zh-CN"/>
        </w:rPr>
      </w:pPr>
      <w:r>
        <w:rPr>
          <w:rFonts w:hint="eastAsia" w:ascii="仿宋" w:hAnsi="仿宋" w:eastAsia="仿宋" w:cs="仿宋"/>
          <w:b/>
          <w:bCs/>
          <w:color w:val="000000"/>
          <w:sz w:val="30"/>
          <w:szCs w:val="30"/>
          <w:highlight w:val="none"/>
          <w:shd w:val="clear" w:color="auto" w:fill="auto"/>
          <w:lang w:val="en-US" w:eastAsia="zh-CN"/>
        </w:rPr>
        <w:t>采购内容</w:t>
      </w:r>
    </w:p>
    <w:p w14:paraId="6417A040">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1.采购内容：CQC认证年度监督审查服务。</w:t>
      </w:r>
    </w:p>
    <w:tbl>
      <w:tblPr>
        <w:tblStyle w:val="14"/>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1"/>
        <w:gridCol w:w="3574"/>
        <w:gridCol w:w="1095"/>
        <w:gridCol w:w="1780"/>
      </w:tblGrid>
      <w:tr w14:paraId="580A2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741" w:type="dxa"/>
            <w:vAlign w:val="center"/>
          </w:tcPr>
          <w:p w14:paraId="2113A909">
            <w:pPr>
              <w:snapToGrid w:val="0"/>
              <w:ind w:left="0" w:leftChars="0" w:right="0" w:righ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服务名称</w:t>
            </w:r>
          </w:p>
        </w:tc>
        <w:tc>
          <w:tcPr>
            <w:tcW w:w="3574" w:type="dxa"/>
            <w:vAlign w:val="center"/>
          </w:tcPr>
          <w:p w14:paraId="1C4BA9C6">
            <w:pPr>
              <w:snapToGrid w:val="0"/>
              <w:ind w:left="0" w:leftChars="0" w:right="0" w:righ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服务要求</w:t>
            </w:r>
          </w:p>
        </w:tc>
        <w:tc>
          <w:tcPr>
            <w:tcW w:w="1095" w:type="dxa"/>
            <w:vAlign w:val="center"/>
          </w:tcPr>
          <w:p w14:paraId="4B794B57">
            <w:pPr>
              <w:snapToGrid w:val="0"/>
              <w:ind w:left="0" w:leftChars="0" w:right="0" w:righ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数量</w:t>
            </w:r>
          </w:p>
          <w:p w14:paraId="3C8CAF3A">
            <w:pPr>
              <w:snapToGrid w:val="0"/>
              <w:ind w:left="0" w:leftChars="0" w:right="0" w:rightChars="0" w:firstLine="0" w:firstLineChars="0"/>
              <w:jc w:val="center"/>
              <w:rPr>
                <w:rFonts w:hint="eastAsia" w:ascii="仿宋" w:hAnsi="仿宋" w:eastAsia="仿宋" w:cs="仿宋"/>
                <w:b/>
                <w:bCs/>
                <w:kern w:val="2"/>
                <w:sz w:val="24"/>
                <w:szCs w:val="24"/>
                <w:highlight w:val="none"/>
                <w:lang w:val="en-US" w:eastAsia="zh-CN" w:bidi="ar-SA"/>
              </w:rPr>
            </w:pPr>
          </w:p>
        </w:tc>
        <w:tc>
          <w:tcPr>
            <w:tcW w:w="1780" w:type="dxa"/>
            <w:vAlign w:val="center"/>
          </w:tcPr>
          <w:p w14:paraId="61AF1F70">
            <w:pPr>
              <w:snapToGrid w:val="0"/>
              <w:ind w:left="0" w:leftChars="0" w:right="0" w:righ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备注</w:t>
            </w:r>
          </w:p>
        </w:tc>
      </w:tr>
      <w:tr w14:paraId="40E8A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741" w:type="dxa"/>
            <w:vAlign w:val="center"/>
          </w:tcPr>
          <w:p w14:paraId="26F570F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CQC认证年度监督审查服务</w:t>
            </w:r>
          </w:p>
        </w:tc>
        <w:tc>
          <w:tcPr>
            <w:tcW w:w="3574" w:type="dxa"/>
            <w:vAlign w:val="center"/>
          </w:tcPr>
          <w:p w14:paraId="73B4D67B">
            <w:pPr>
              <w:keepNext w:val="0"/>
              <w:keepLines w:val="0"/>
              <w:pageBreakBefore w:val="0"/>
              <w:widowControl w:val="0"/>
              <w:numPr>
                <w:ilvl w:val="0"/>
                <w:numId w:val="4"/>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不晚于2026年11月26日完成CQC认证年度监督审查，使证书在有效期内具有法律效应。</w:t>
            </w:r>
          </w:p>
          <w:p w14:paraId="1FD1FAC7">
            <w:pPr>
              <w:keepNext w:val="0"/>
              <w:keepLines w:val="0"/>
              <w:pageBreakBefore w:val="0"/>
              <w:widowControl w:val="0"/>
              <w:numPr>
                <w:ilvl w:val="0"/>
                <w:numId w:val="4"/>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提供CQC监督认证咨询服务。</w:t>
            </w:r>
          </w:p>
        </w:tc>
        <w:tc>
          <w:tcPr>
            <w:tcW w:w="1095" w:type="dxa"/>
            <w:vAlign w:val="center"/>
          </w:tcPr>
          <w:p w14:paraId="244D2A3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780" w:type="dxa"/>
            <w:vAlign w:val="center"/>
          </w:tcPr>
          <w:p w14:paraId="29A36AF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CQC25001493009</w:t>
            </w:r>
          </w:p>
        </w:tc>
      </w:tr>
    </w:tbl>
    <w:p w14:paraId="3F60405E">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2.服务期：1年。</w:t>
      </w:r>
    </w:p>
    <w:p w14:paraId="069EE5A3">
      <w:pPr>
        <w:keepNext w:val="0"/>
        <w:keepLines w:val="0"/>
        <w:pageBreakBefore w:val="0"/>
        <w:widowControl w:val="0"/>
        <w:numPr>
          <w:ilvl w:val="0"/>
          <w:numId w:val="3"/>
        </w:numPr>
        <w:kinsoku/>
        <w:wordWrap/>
        <w:overflowPunct/>
        <w:topLinePunct w:val="0"/>
        <w:autoSpaceDE/>
        <w:autoSpaceDN/>
        <w:bidi w:val="0"/>
        <w:adjustRightInd w:val="0"/>
        <w:snapToGrid w:val="0"/>
        <w:spacing w:line="580" w:lineRule="exact"/>
        <w:ind w:firstLine="600" w:firstLineChars="200"/>
        <w:jc w:val="both"/>
        <w:textAlignment w:val="auto"/>
        <w:rPr>
          <w:rFonts w:hint="eastAsia" w:ascii="仿宋" w:hAnsi="仿宋" w:eastAsia="仿宋" w:cs="仿宋"/>
          <w:b w:val="0"/>
          <w:bCs w:val="0"/>
          <w:color w:val="000000"/>
          <w:sz w:val="30"/>
          <w:szCs w:val="30"/>
          <w:highlight w:val="none"/>
          <w:shd w:val="clear" w:color="auto" w:fill="auto"/>
          <w:lang w:val="en-US" w:eastAsia="zh-CN"/>
        </w:rPr>
      </w:pPr>
      <w:r>
        <w:rPr>
          <w:rFonts w:hint="eastAsia" w:ascii="仿宋" w:hAnsi="仿宋" w:eastAsia="仿宋" w:cs="仿宋"/>
          <w:b w:val="0"/>
          <w:bCs w:val="0"/>
          <w:color w:val="000000"/>
          <w:sz w:val="30"/>
          <w:szCs w:val="30"/>
          <w:highlight w:val="none"/>
          <w:shd w:val="clear" w:color="auto" w:fill="auto"/>
          <w:lang w:val="en-US" w:eastAsia="zh-CN"/>
        </w:rPr>
        <w:t>技术要求</w:t>
      </w:r>
    </w:p>
    <w:p w14:paraId="7421B5A3">
      <w:pPr>
        <w:pStyle w:val="3"/>
        <w:numPr>
          <w:ilvl w:val="0"/>
          <w:numId w:val="5"/>
        </w:numPr>
        <w:ind w:firstLine="900" w:firstLineChars="3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企业要求。</w:t>
      </w:r>
    </w:p>
    <w:p w14:paraId="79F6F4B0">
      <w:pPr>
        <w:keepNext w:val="0"/>
        <w:keepLines w:val="0"/>
        <w:pageBreakBefore w:val="0"/>
        <w:widowControl/>
        <w:numPr>
          <w:ilvl w:val="0"/>
          <w:numId w:val="6"/>
        </w:numPr>
        <w:suppressLineNumbers w:val="0"/>
        <w:kinsoku/>
        <w:wordWrap/>
        <w:overflowPunct/>
        <w:topLinePunct w:val="0"/>
        <w:autoSpaceDE/>
        <w:autoSpaceDN/>
        <w:bidi w:val="0"/>
        <w:ind w:left="425" w:leftChars="0" w:hanging="425" w:firstLineChars="0"/>
        <w:jc w:val="both"/>
        <w:textAlignment w:val="center"/>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报价人需是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14:paraId="5AAFBE81">
      <w:pPr>
        <w:keepNext w:val="0"/>
        <w:keepLines w:val="0"/>
        <w:pageBreakBefore w:val="0"/>
        <w:widowControl/>
        <w:numPr>
          <w:ilvl w:val="0"/>
          <w:numId w:val="6"/>
        </w:numPr>
        <w:suppressLineNumbers w:val="0"/>
        <w:kinsoku/>
        <w:wordWrap/>
        <w:overflowPunct/>
        <w:topLinePunct w:val="0"/>
        <w:autoSpaceDE/>
        <w:autoSpaceDN/>
        <w:bidi w:val="0"/>
        <w:ind w:left="425" w:leftChars="0" w:hanging="425" w:firstLineChars="0"/>
        <w:jc w:val="both"/>
        <w:textAlignment w:val="center"/>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提供近三年经审计的财务报告(2023-2025年报告。如2025年报告未发布，则提供相关原因声明及2022-2024年报告；成立时间不足的按实际成立时间提供),审计意见非“否定意见”或非“无法表示意见”。若不能提供经审计的财务报告，则须提供本单位出具相应的年度财务报告，且提供财务报表数据真实、完整、准确的承诺函)，没有处于被责令停业或破产状态，且资产未被重组、接管和冻结</w:t>
      </w:r>
    </w:p>
    <w:p w14:paraId="12AD2FB0">
      <w:pPr>
        <w:keepNext w:val="0"/>
        <w:keepLines w:val="0"/>
        <w:pageBreakBefore w:val="0"/>
        <w:widowControl/>
        <w:numPr>
          <w:ilvl w:val="0"/>
          <w:numId w:val="6"/>
        </w:numPr>
        <w:suppressLineNumbers w:val="0"/>
        <w:kinsoku/>
        <w:wordWrap/>
        <w:overflowPunct/>
        <w:topLinePunct w:val="0"/>
        <w:autoSpaceDE/>
        <w:autoSpaceDN/>
        <w:bidi w:val="0"/>
        <w:ind w:left="425" w:leftChars="0" w:hanging="425" w:firstLineChars="0"/>
        <w:jc w:val="both"/>
        <w:textAlignment w:val="center"/>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不接受联合体参与。</w:t>
      </w:r>
    </w:p>
    <w:p w14:paraId="665B4CF0">
      <w:pPr>
        <w:keepNext w:val="0"/>
        <w:keepLines w:val="0"/>
        <w:pageBreakBefore w:val="0"/>
        <w:widowControl/>
        <w:numPr>
          <w:ilvl w:val="0"/>
          <w:numId w:val="6"/>
        </w:numPr>
        <w:suppressLineNumbers w:val="0"/>
        <w:kinsoku/>
        <w:wordWrap/>
        <w:overflowPunct/>
        <w:topLinePunct w:val="0"/>
        <w:autoSpaceDE/>
        <w:autoSpaceDN/>
        <w:bidi w:val="0"/>
        <w:ind w:left="425" w:leftChars="0" w:hanging="425" w:firstLineChars="0"/>
        <w:jc w:val="both"/>
        <w:textAlignment w:val="center"/>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具有相应的企业资质，且在有效期内（具备CNAS或CMS证；获得CQC签约/授权的证明）。</w:t>
      </w:r>
    </w:p>
    <w:p w14:paraId="3153C00A">
      <w:pPr>
        <w:keepNext w:val="0"/>
        <w:keepLines w:val="0"/>
        <w:pageBreakBefore w:val="0"/>
        <w:widowControl/>
        <w:numPr>
          <w:ilvl w:val="0"/>
          <w:numId w:val="6"/>
        </w:numPr>
        <w:suppressLineNumbers w:val="0"/>
        <w:kinsoku/>
        <w:wordWrap/>
        <w:overflowPunct/>
        <w:topLinePunct w:val="0"/>
        <w:autoSpaceDE/>
        <w:autoSpaceDN/>
        <w:bidi w:val="0"/>
        <w:ind w:left="425" w:leftChars="0" w:hanging="425" w:firstLineChars="0"/>
        <w:jc w:val="both"/>
        <w:textAlignment w:val="center"/>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投标人不得存在下列情形之一：</w:t>
      </w:r>
    </w:p>
    <w:p w14:paraId="5E5C2642">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(1)与招标人存在利害关系且可能影响招标公正性；</w:t>
      </w:r>
    </w:p>
    <w:p w14:paraId="46E7BB31">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(2)与本招标项目（同一标包）的其他投标人为同一个单位负责人；</w:t>
      </w:r>
    </w:p>
    <w:p w14:paraId="0202C705">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(3)与本招标项目（同一标包）的其他投标人存在控股、管理关系；</w:t>
      </w:r>
    </w:p>
    <w:p w14:paraId="0930A093">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(4)为本招标项目提供过设计、编制技术规范和其他文件的咨询服务；</w:t>
      </w:r>
    </w:p>
    <w:p w14:paraId="3D380C0C">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(5)为本招标项目的招标代理机构；</w:t>
      </w:r>
    </w:p>
    <w:p w14:paraId="3786D743">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(6)与本招标项目的招标代理机构同为一个法定代表人；</w:t>
      </w:r>
    </w:p>
    <w:p w14:paraId="49DC4686">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(7)与本招标项目的招标代理机构存在控股或参股关系；</w:t>
      </w:r>
    </w:p>
    <w:p w14:paraId="4B517E9B">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(8)被依法暂停或者取消投标资格；</w:t>
      </w:r>
    </w:p>
    <w:p w14:paraId="73514D05">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(9)被责令停产停业、暂扣或者吊销许可证、暂扣或者吊销执照；</w:t>
      </w:r>
    </w:p>
    <w:p w14:paraId="14AE6506">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(10)进入清算程序，或被宣告破产，或其他丧失履约能力的情形；</w:t>
      </w:r>
    </w:p>
    <w:p w14:paraId="11626A99">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(11)被“国家企业信用信息公示系统”（https://www.gsxt.gov.cn）中列入严重违法失信企业名单；</w:t>
      </w:r>
    </w:p>
    <w:p w14:paraId="5B962C8B">
      <w:pPr>
        <w:numPr>
          <w:ilvl w:val="0"/>
          <w:numId w:val="0"/>
        </w:numPr>
        <w:shd w:val="clear" w:color="auto" w:fill="auto"/>
        <w:ind w:leftChars="0"/>
        <w:jc w:val="left"/>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(12)被“信用中国”网站（www.creditchina.gov.cn）或“中国执行信息公开网”（http://zxgk.court.gov.cn/shixin）等各级信用信息共享平台中列入失信被执行人名单；</w:t>
      </w:r>
    </w:p>
    <w:p w14:paraId="6F9175FB">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(13)在近三年内投标人或其法定代表人、拟委任的项目负责人有行贿犯罪行为的；</w:t>
      </w:r>
    </w:p>
    <w:p w14:paraId="00060133">
      <w:pPr>
        <w:numPr>
          <w:ilvl w:val="0"/>
          <w:numId w:val="0"/>
        </w:numPr>
        <w:shd w:val="clear" w:color="auto" w:fill="auto"/>
        <w:ind w:leftChars="0"/>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(14)被中国南方电网有限责任公司列入供应商处罚黑名单或供应商处罚预警名单的；</w:t>
      </w:r>
    </w:p>
    <w:p w14:paraId="287BCC70">
      <w:pPr>
        <w:pStyle w:val="3"/>
        <w:numPr>
          <w:ilvl w:val="0"/>
          <w:numId w:val="0"/>
        </w:numPr>
        <w:rPr>
          <w:rFonts w:hint="eastAsia" w:ascii="仿宋" w:hAnsi="仿宋" w:eastAsia="仿宋" w:cs="仿宋"/>
          <w:sz w:val="32"/>
          <w:szCs w:val="32"/>
          <w:highlight w:val="none"/>
          <w:lang w:val="en-US" w:eastAsia="zh-CN"/>
        </w:rPr>
      </w:pPr>
      <w:r>
        <w:rPr>
          <w:rFonts w:hint="eastAsia" w:ascii="仿宋" w:hAnsi="仿宋" w:eastAsia="仿宋" w:cs="仿宋"/>
          <w:i w:val="0"/>
          <w:iCs w:val="0"/>
          <w:color w:val="auto"/>
          <w:sz w:val="28"/>
          <w:szCs w:val="28"/>
          <w:highlight w:val="none"/>
          <w:u w:val="none"/>
          <w:lang w:val="en-US" w:eastAsia="zh-CN"/>
        </w:rPr>
        <w:t>(15)法律法规和招标文件规定的其他不得存在的情形；</w:t>
      </w:r>
    </w:p>
    <w:p w14:paraId="18CB4B66">
      <w:pPr>
        <w:pStyle w:val="3"/>
        <w:numPr>
          <w:ilvl w:val="0"/>
          <w:numId w:val="5"/>
        </w:numPr>
        <w:ind w:left="0" w:leftChars="0" w:firstLine="900" w:firstLineChars="3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业绩要求。</w:t>
      </w:r>
    </w:p>
    <w:p w14:paraId="65A13943">
      <w:pPr>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提供至少3个近3年项目实施业绩。提供2023年1月1日之后签订的合同金额超10万元以上，服务内容为数据中心CQC测试认证相关的项目经历，提供合同及验收证明。</w:t>
      </w:r>
    </w:p>
    <w:p w14:paraId="6EB55FC8">
      <w:pPr>
        <w:pStyle w:val="3"/>
        <w:numPr>
          <w:ilvl w:val="0"/>
          <w:numId w:val="5"/>
        </w:numPr>
        <w:ind w:left="0" w:leftChars="0" w:firstLine="900" w:firstLineChars="3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服务要求。</w:t>
      </w:r>
    </w:p>
    <w:p w14:paraId="23552502">
      <w:pPr>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投标人应采用截至投标文件发出时的最新版本的标准、规范。若标准、规范出现覆盖、替换、合并、拆分等情况，应按最新的标准、规范执行。</w:t>
      </w:r>
    </w:p>
    <w:p w14:paraId="147991E0">
      <w:pPr>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所有设备及系统的测试、监督等标准应符合国际标准化组织及国际、国内相关行业已实施的标准。这些标准包括但不限于：</w:t>
      </w:r>
    </w:p>
    <w:p w14:paraId="38942725">
      <w:pPr>
        <w:pStyle w:val="2"/>
        <w:rPr>
          <w:rFonts w:hint="eastAsia"/>
          <w:lang w:val="en-US" w:eastAsia="zh-CN"/>
        </w:rPr>
      </w:pPr>
      <w:bookmarkStart w:id="4" w:name="_GoBack"/>
      <w:bookmarkEnd w:id="4"/>
    </w:p>
    <w:tbl>
      <w:tblPr>
        <w:tblStyle w:val="14"/>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5"/>
        <w:gridCol w:w="6094"/>
      </w:tblGrid>
      <w:tr w14:paraId="78D1A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tcPr>
          <w:p w14:paraId="16DDF12E">
            <w:pPr>
              <w:pStyle w:val="2"/>
              <w:snapToGrid w:val="0"/>
              <w:spacing w:after="0" w:line="360" w:lineRule="auto"/>
              <w:ind w:left="0" w:firstLine="0" w:firstLineChars="0"/>
              <w:jc w:val="center"/>
              <w:rPr>
                <w:rFonts w:hint="default" w:eastAsia="宋体"/>
                <w:lang w:val="en-US" w:eastAsia="zh-CN"/>
              </w:rPr>
            </w:pPr>
            <w:r>
              <w:rPr>
                <w:rFonts w:hint="eastAsia"/>
                <w:lang w:val="en-US" w:eastAsia="zh-CN"/>
              </w:rPr>
              <w:t>GB 50174</w:t>
            </w:r>
          </w:p>
        </w:tc>
        <w:tc>
          <w:tcPr>
            <w:tcW w:w="6094" w:type="dxa"/>
            <w:tcBorders>
              <w:tl2br w:val="nil"/>
              <w:tr2bl w:val="nil"/>
            </w:tcBorders>
          </w:tcPr>
          <w:p w14:paraId="5B7A2B08">
            <w:pPr>
              <w:pStyle w:val="2"/>
              <w:snapToGrid w:val="0"/>
              <w:spacing w:after="0" w:line="360" w:lineRule="auto"/>
              <w:ind w:left="0" w:firstLine="0" w:firstLineChars="0"/>
              <w:jc w:val="left"/>
            </w:pPr>
            <w:r>
              <w:rPr>
                <w:rFonts w:hint="eastAsia"/>
              </w:rPr>
              <w:t>GB50174-2017数据中心设计规范</w:t>
            </w:r>
          </w:p>
        </w:tc>
      </w:tr>
      <w:tr w14:paraId="37077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1E747309">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50462-2008</w:t>
            </w:r>
          </w:p>
        </w:tc>
        <w:tc>
          <w:tcPr>
            <w:tcW w:w="6094" w:type="dxa"/>
            <w:tcBorders>
              <w:tl2br w:val="nil"/>
              <w:tr2bl w:val="nil"/>
            </w:tcBorders>
            <w:shd w:val="clear"/>
            <w:vAlign w:val="top"/>
          </w:tcPr>
          <w:p w14:paraId="746DE56D">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电子信息系统机房施工及验收规范</w:t>
            </w:r>
          </w:p>
        </w:tc>
      </w:tr>
      <w:tr w14:paraId="16636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34CE6F30">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GB/T 2887-2011</w:t>
            </w:r>
          </w:p>
        </w:tc>
        <w:tc>
          <w:tcPr>
            <w:tcW w:w="6094" w:type="dxa"/>
            <w:tcBorders>
              <w:tl2br w:val="nil"/>
              <w:tr2bl w:val="nil"/>
            </w:tcBorders>
            <w:shd w:val="clear"/>
            <w:vAlign w:val="top"/>
          </w:tcPr>
          <w:p w14:paraId="6E8C45EC">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计算机场地通用规范</w:t>
            </w:r>
          </w:p>
        </w:tc>
      </w:tr>
      <w:tr w14:paraId="7350D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7E398F3A">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50174-2008</w:t>
            </w:r>
          </w:p>
        </w:tc>
        <w:tc>
          <w:tcPr>
            <w:tcW w:w="6094" w:type="dxa"/>
            <w:tcBorders>
              <w:tl2br w:val="nil"/>
              <w:tr2bl w:val="nil"/>
            </w:tcBorders>
            <w:shd w:val="clear"/>
            <w:vAlign w:val="top"/>
          </w:tcPr>
          <w:p w14:paraId="013898F6">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电子信息系统机房设计规范</w:t>
            </w:r>
          </w:p>
        </w:tc>
      </w:tr>
      <w:tr w14:paraId="3E46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7F46C058">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SJ/T 10694-2006</w:t>
            </w:r>
          </w:p>
        </w:tc>
        <w:tc>
          <w:tcPr>
            <w:tcW w:w="6094" w:type="dxa"/>
            <w:tcBorders>
              <w:tl2br w:val="nil"/>
              <w:tr2bl w:val="nil"/>
            </w:tcBorders>
            <w:shd w:val="clear"/>
            <w:vAlign w:val="top"/>
          </w:tcPr>
          <w:p w14:paraId="584DDDE3">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电子产品制造与应用系统防静电检测通用规范</w:t>
            </w:r>
          </w:p>
        </w:tc>
      </w:tr>
      <w:tr w14:paraId="01162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27108DF9">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50343-2014</w:t>
            </w:r>
          </w:p>
        </w:tc>
        <w:tc>
          <w:tcPr>
            <w:tcW w:w="6094" w:type="dxa"/>
            <w:tcBorders>
              <w:tl2br w:val="nil"/>
              <w:tr2bl w:val="nil"/>
            </w:tcBorders>
            <w:shd w:val="clear"/>
            <w:vAlign w:val="top"/>
          </w:tcPr>
          <w:p w14:paraId="412344E0">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建筑物电子信息系统防雷技术规范</w:t>
            </w:r>
          </w:p>
        </w:tc>
      </w:tr>
      <w:tr w14:paraId="37966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48F4AFF0">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50243-2002</w:t>
            </w:r>
          </w:p>
        </w:tc>
        <w:tc>
          <w:tcPr>
            <w:tcW w:w="6094" w:type="dxa"/>
            <w:tcBorders>
              <w:tl2br w:val="nil"/>
              <w:tr2bl w:val="nil"/>
            </w:tcBorders>
            <w:shd w:val="clear"/>
            <w:vAlign w:val="top"/>
          </w:tcPr>
          <w:p w14:paraId="6E0E59C3">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通风与空凋工程施工及验收规范</w:t>
            </w:r>
          </w:p>
        </w:tc>
      </w:tr>
      <w:tr w14:paraId="39C84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213C62B7">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50339-2003</w:t>
            </w:r>
          </w:p>
        </w:tc>
        <w:tc>
          <w:tcPr>
            <w:tcW w:w="6094" w:type="dxa"/>
            <w:tcBorders>
              <w:tl2br w:val="nil"/>
              <w:tr2bl w:val="nil"/>
            </w:tcBorders>
            <w:shd w:val="clear"/>
            <w:vAlign w:val="top"/>
          </w:tcPr>
          <w:p w14:paraId="24A3C4F9">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智能建筑工程质量验收规范</w:t>
            </w:r>
          </w:p>
        </w:tc>
      </w:tr>
      <w:tr w14:paraId="694C5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53E53D2A">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6650-86</w:t>
            </w:r>
          </w:p>
        </w:tc>
        <w:tc>
          <w:tcPr>
            <w:tcW w:w="6094" w:type="dxa"/>
            <w:tcBorders>
              <w:tl2br w:val="nil"/>
              <w:tr2bl w:val="nil"/>
            </w:tcBorders>
            <w:shd w:val="clear"/>
            <w:vAlign w:val="top"/>
          </w:tcPr>
          <w:p w14:paraId="1C685332">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计算机机房用活动地板技术条件</w:t>
            </w:r>
          </w:p>
        </w:tc>
      </w:tr>
      <w:tr w14:paraId="33415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31BD7412">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SJ/T10796-2001</w:t>
            </w:r>
          </w:p>
        </w:tc>
        <w:tc>
          <w:tcPr>
            <w:tcW w:w="6094" w:type="dxa"/>
            <w:tcBorders>
              <w:tl2br w:val="nil"/>
              <w:tr2bl w:val="nil"/>
            </w:tcBorders>
            <w:shd w:val="clear"/>
            <w:vAlign w:val="top"/>
          </w:tcPr>
          <w:p w14:paraId="4C1A97E0">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防静电活动地板通用规范</w:t>
            </w:r>
          </w:p>
        </w:tc>
      </w:tr>
      <w:tr w14:paraId="5C42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6C6E63C9">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50016-2014</w:t>
            </w:r>
          </w:p>
        </w:tc>
        <w:tc>
          <w:tcPr>
            <w:tcW w:w="6094" w:type="dxa"/>
            <w:tcBorders>
              <w:tl2br w:val="nil"/>
              <w:tr2bl w:val="nil"/>
            </w:tcBorders>
            <w:shd w:val="clear"/>
            <w:vAlign w:val="top"/>
          </w:tcPr>
          <w:p w14:paraId="61F70330">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建筑设计防火规范</w:t>
            </w:r>
          </w:p>
        </w:tc>
      </w:tr>
      <w:tr w14:paraId="30550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73E9E444">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50116-2008</w:t>
            </w:r>
          </w:p>
        </w:tc>
        <w:tc>
          <w:tcPr>
            <w:tcW w:w="6094" w:type="dxa"/>
            <w:tcBorders>
              <w:tl2br w:val="nil"/>
              <w:tr2bl w:val="nil"/>
            </w:tcBorders>
            <w:shd w:val="clear"/>
            <w:vAlign w:val="top"/>
          </w:tcPr>
          <w:p w14:paraId="6EE70919">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火灾自动报警系统设计规范</w:t>
            </w:r>
          </w:p>
        </w:tc>
      </w:tr>
      <w:tr w14:paraId="53AA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4858B8DA">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50166-2007</w:t>
            </w:r>
          </w:p>
        </w:tc>
        <w:tc>
          <w:tcPr>
            <w:tcW w:w="6094" w:type="dxa"/>
            <w:tcBorders>
              <w:tl2br w:val="nil"/>
              <w:tr2bl w:val="nil"/>
            </w:tcBorders>
            <w:shd w:val="clear"/>
            <w:vAlign w:val="top"/>
          </w:tcPr>
          <w:p w14:paraId="0EB86940">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火灾自动报警系统施工及验收规范</w:t>
            </w:r>
          </w:p>
        </w:tc>
      </w:tr>
      <w:tr w14:paraId="08500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4ED1AA1E">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50054-2011</w:t>
            </w:r>
          </w:p>
        </w:tc>
        <w:tc>
          <w:tcPr>
            <w:tcW w:w="6094" w:type="dxa"/>
            <w:tcBorders>
              <w:tl2br w:val="nil"/>
              <w:tr2bl w:val="nil"/>
            </w:tcBorders>
            <w:shd w:val="clear"/>
            <w:vAlign w:val="top"/>
          </w:tcPr>
          <w:p w14:paraId="5C7825D3">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低压配电设计规范</w:t>
            </w:r>
          </w:p>
        </w:tc>
      </w:tr>
      <w:tr w14:paraId="3440B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00974C17">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JGJ/T16-2008</w:t>
            </w:r>
          </w:p>
        </w:tc>
        <w:tc>
          <w:tcPr>
            <w:tcW w:w="6094" w:type="dxa"/>
            <w:tcBorders>
              <w:tl2br w:val="nil"/>
              <w:tr2bl w:val="nil"/>
            </w:tcBorders>
            <w:shd w:val="clear"/>
            <w:vAlign w:val="top"/>
          </w:tcPr>
          <w:p w14:paraId="474EC74D">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民用建筑电气设计规范</w:t>
            </w:r>
          </w:p>
        </w:tc>
      </w:tr>
      <w:tr w14:paraId="70AFF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30C43B99">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50303-2002</w:t>
            </w:r>
          </w:p>
        </w:tc>
        <w:tc>
          <w:tcPr>
            <w:tcW w:w="6094" w:type="dxa"/>
            <w:tcBorders>
              <w:tl2br w:val="nil"/>
              <w:tr2bl w:val="nil"/>
            </w:tcBorders>
            <w:shd w:val="clear"/>
            <w:vAlign w:val="top"/>
          </w:tcPr>
          <w:p w14:paraId="732F17C6">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建筑电气工程施工质量验收规范</w:t>
            </w:r>
          </w:p>
        </w:tc>
      </w:tr>
      <w:tr w14:paraId="23966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2928D677">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50348-2004</w:t>
            </w:r>
          </w:p>
        </w:tc>
        <w:tc>
          <w:tcPr>
            <w:tcW w:w="6094" w:type="dxa"/>
            <w:tcBorders>
              <w:tl2br w:val="nil"/>
              <w:tr2bl w:val="nil"/>
            </w:tcBorders>
            <w:shd w:val="clear"/>
            <w:vAlign w:val="top"/>
          </w:tcPr>
          <w:p w14:paraId="1EB868BA">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安全防范工程技术规范</w:t>
            </w:r>
          </w:p>
        </w:tc>
      </w:tr>
      <w:tr w14:paraId="4396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5BA27C59">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50057-2010</w:t>
            </w:r>
          </w:p>
        </w:tc>
        <w:tc>
          <w:tcPr>
            <w:tcW w:w="6094" w:type="dxa"/>
            <w:tcBorders>
              <w:tl2br w:val="nil"/>
              <w:tr2bl w:val="nil"/>
            </w:tcBorders>
            <w:shd w:val="clear"/>
            <w:vAlign w:val="top"/>
          </w:tcPr>
          <w:p w14:paraId="03894132">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建筑物防雷设计规范</w:t>
            </w:r>
          </w:p>
        </w:tc>
      </w:tr>
      <w:tr w14:paraId="322C8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0B42FE19">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GB/T 50033-2001</w:t>
            </w:r>
          </w:p>
        </w:tc>
        <w:tc>
          <w:tcPr>
            <w:tcW w:w="6094" w:type="dxa"/>
            <w:tcBorders>
              <w:tl2br w:val="nil"/>
              <w:tr2bl w:val="nil"/>
            </w:tcBorders>
            <w:shd w:val="clear"/>
            <w:vAlign w:val="top"/>
          </w:tcPr>
          <w:p w14:paraId="241AC60C">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建筑采光设计规范</w:t>
            </w:r>
          </w:p>
        </w:tc>
      </w:tr>
      <w:tr w14:paraId="44DDF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70447C78">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50263-2007</w:t>
            </w:r>
          </w:p>
        </w:tc>
        <w:tc>
          <w:tcPr>
            <w:tcW w:w="6094" w:type="dxa"/>
            <w:tcBorders>
              <w:tl2br w:val="nil"/>
              <w:tr2bl w:val="nil"/>
            </w:tcBorders>
            <w:shd w:val="clear"/>
            <w:vAlign w:val="top"/>
          </w:tcPr>
          <w:p w14:paraId="0E67F2E5">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气体灭火系统施工及验收规范</w:t>
            </w:r>
          </w:p>
        </w:tc>
      </w:tr>
      <w:tr w14:paraId="049B0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11BAE08E">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GA/T 367-2001</w:t>
            </w:r>
          </w:p>
        </w:tc>
        <w:tc>
          <w:tcPr>
            <w:tcW w:w="6094" w:type="dxa"/>
            <w:tcBorders>
              <w:tl2br w:val="nil"/>
              <w:tr2bl w:val="nil"/>
            </w:tcBorders>
            <w:shd w:val="clear"/>
            <w:vAlign w:val="top"/>
          </w:tcPr>
          <w:p w14:paraId="49455A03">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视频安防监控系统技术要求</w:t>
            </w:r>
          </w:p>
        </w:tc>
      </w:tr>
      <w:tr w14:paraId="66CB4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4A9A11F7">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GB4717-2005</w:t>
            </w:r>
          </w:p>
        </w:tc>
        <w:tc>
          <w:tcPr>
            <w:tcW w:w="6094" w:type="dxa"/>
            <w:tcBorders>
              <w:tl2br w:val="nil"/>
              <w:tr2bl w:val="nil"/>
            </w:tcBorders>
            <w:shd w:val="clear"/>
            <w:vAlign w:val="top"/>
          </w:tcPr>
          <w:p w14:paraId="13B02014">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火灾报警控制器</w:t>
            </w:r>
          </w:p>
        </w:tc>
      </w:tr>
      <w:tr w14:paraId="40DF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20B95A21">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GB16806-1997</w:t>
            </w:r>
          </w:p>
        </w:tc>
        <w:tc>
          <w:tcPr>
            <w:tcW w:w="6094" w:type="dxa"/>
            <w:tcBorders>
              <w:tl2br w:val="nil"/>
              <w:tr2bl w:val="nil"/>
            </w:tcBorders>
            <w:shd w:val="clear"/>
            <w:vAlign w:val="top"/>
          </w:tcPr>
          <w:p w14:paraId="01C36AA6">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消防联动控制设备通用技术条件</w:t>
            </w:r>
          </w:p>
        </w:tc>
      </w:tr>
      <w:tr w14:paraId="1FA96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4AF9F852">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GB12978-91</w:t>
            </w:r>
          </w:p>
        </w:tc>
        <w:tc>
          <w:tcPr>
            <w:tcW w:w="6094" w:type="dxa"/>
            <w:tcBorders>
              <w:tl2br w:val="nil"/>
              <w:tr2bl w:val="nil"/>
            </w:tcBorders>
            <w:shd w:val="clear"/>
            <w:vAlign w:val="top"/>
          </w:tcPr>
          <w:p w14:paraId="72B833D5">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火灾报警设备检验规则</w:t>
            </w:r>
          </w:p>
        </w:tc>
      </w:tr>
      <w:tr w14:paraId="70901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420536CE">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 16806-1997</w:t>
            </w:r>
          </w:p>
        </w:tc>
        <w:tc>
          <w:tcPr>
            <w:tcW w:w="6094" w:type="dxa"/>
            <w:tcBorders>
              <w:tl2br w:val="nil"/>
              <w:tr2bl w:val="nil"/>
            </w:tcBorders>
            <w:shd w:val="clear"/>
            <w:vAlign w:val="top"/>
          </w:tcPr>
          <w:p w14:paraId="5D145866">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消防联动控制设备通用技术条件</w:t>
            </w:r>
          </w:p>
        </w:tc>
      </w:tr>
      <w:tr w14:paraId="49620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6330D730">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YD5194-2014</w:t>
            </w:r>
          </w:p>
        </w:tc>
        <w:tc>
          <w:tcPr>
            <w:tcW w:w="6094" w:type="dxa"/>
            <w:tcBorders>
              <w:tl2br w:val="nil"/>
              <w:tr2bl w:val="nil"/>
            </w:tcBorders>
            <w:shd w:val="clear"/>
            <w:vAlign w:val="top"/>
          </w:tcPr>
          <w:p w14:paraId="63BC49A4">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互联网数据中心(IDC)工程验收规范</w:t>
            </w:r>
          </w:p>
        </w:tc>
      </w:tr>
      <w:tr w14:paraId="0D433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509D4203">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GB/T 15395-1994</w:t>
            </w:r>
          </w:p>
        </w:tc>
        <w:tc>
          <w:tcPr>
            <w:tcW w:w="6094" w:type="dxa"/>
            <w:tcBorders>
              <w:tl2br w:val="nil"/>
              <w:tr2bl w:val="nil"/>
            </w:tcBorders>
            <w:shd w:val="clear"/>
            <w:vAlign w:val="top"/>
          </w:tcPr>
          <w:p w14:paraId="3BFA52B1">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电子设备机柜通用技术条件</w:t>
            </w:r>
          </w:p>
        </w:tc>
      </w:tr>
      <w:tr w14:paraId="7F960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l2br w:val="nil"/>
              <w:tr2bl w:val="nil"/>
            </w:tcBorders>
            <w:shd w:val="clear"/>
            <w:vAlign w:val="top"/>
          </w:tcPr>
          <w:p w14:paraId="6674E493">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YD/T1051-2010</w:t>
            </w:r>
          </w:p>
        </w:tc>
        <w:tc>
          <w:tcPr>
            <w:tcW w:w="6094" w:type="dxa"/>
            <w:tcBorders>
              <w:tl2br w:val="nil"/>
              <w:tr2bl w:val="nil"/>
            </w:tcBorders>
            <w:shd w:val="clear"/>
            <w:vAlign w:val="top"/>
          </w:tcPr>
          <w:p w14:paraId="2D71BE16">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通信局(站)电源系统总技术要求</w:t>
            </w:r>
          </w:p>
        </w:tc>
      </w:tr>
      <w:tr w14:paraId="1EFB5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425" w:type="dxa"/>
            <w:tcBorders>
              <w:tl2br w:val="nil"/>
              <w:tr2bl w:val="nil"/>
            </w:tcBorders>
            <w:shd w:val="clear"/>
            <w:vAlign w:val="top"/>
          </w:tcPr>
          <w:p w14:paraId="3AA16FA7">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YD/T1821-2008</w:t>
            </w:r>
          </w:p>
        </w:tc>
        <w:tc>
          <w:tcPr>
            <w:tcW w:w="6094" w:type="dxa"/>
            <w:tcBorders>
              <w:tl2br w:val="nil"/>
              <w:tr2bl w:val="nil"/>
            </w:tcBorders>
            <w:shd w:val="clear"/>
            <w:vAlign w:val="top"/>
          </w:tcPr>
          <w:p w14:paraId="5E452DD0">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通信中心机房环境条件要求</w:t>
            </w:r>
          </w:p>
        </w:tc>
      </w:tr>
      <w:tr w14:paraId="48022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425" w:type="dxa"/>
            <w:tcBorders>
              <w:tl2br w:val="nil"/>
              <w:tr2bl w:val="nil"/>
            </w:tcBorders>
            <w:shd w:val="clear"/>
            <w:vAlign w:val="top"/>
          </w:tcPr>
          <w:p w14:paraId="15AE1A4D">
            <w:pPr>
              <w:pStyle w:val="2"/>
              <w:snapToGrid w:val="0"/>
              <w:spacing w:after="0" w:line="360" w:lineRule="auto"/>
              <w:ind w:left="0" w:leftChars="0" w:firstLine="0" w:firstLineChars="0"/>
              <w:jc w:val="center"/>
              <w:rPr>
                <w:rFonts w:ascii="Times New Roman" w:hAnsi="Times New Roman" w:eastAsia="宋体" w:cs="Times New Roman"/>
                <w:kern w:val="2"/>
                <w:sz w:val="21"/>
                <w:szCs w:val="24"/>
                <w:lang w:val="en-US" w:eastAsia="zh-CN" w:bidi="ar-SA"/>
              </w:rPr>
            </w:pPr>
            <w:r>
              <w:t>YD/T2319-2011</w:t>
            </w:r>
          </w:p>
        </w:tc>
        <w:tc>
          <w:tcPr>
            <w:tcW w:w="6094" w:type="dxa"/>
            <w:tcBorders>
              <w:tl2br w:val="nil"/>
              <w:tr2bl w:val="nil"/>
            </w:tcBorders>
            <w:shd w:val="clear"/>
            <w:vAlign w:val="top"/>
          </w:tcPr>
          <w:p w14:paraId="574D518F">
            <w:pPr>
              <w:pStyle w:val="2"/>
              <w:snapToGrid w:val="0"/>
              <w:spacing w:after="0" w:line="360" w:lineRule="auto"/>
              <w:ind w:left="0" w:leftChars="0" w:firstLine="0" w:firstLineChars="0"/>
              <w:jc w:val="left"/>
              <w:rPr>
                <w:rFonts w:ascii="Times New Roman" w:hAnsi="Times New Roman" w:eastAsia="宋体" w:cs="Times New Roman"/>
                <w:kern w:val="2"/>
                <w:sz w:val="21"/>
                <w:szCs w:val="24"/>
                <w:lang w:val="en-US" w:eastAsia="zh-CN" w:bidi="ar-SA"/>
              </w:rPr>
            </w:pPr>
            <w:r>
              <w:t>数据设备用网络机柜技术要求和检验方法</w:t>
            </w:r>
          </w:p>
        </w:tc>
      </w:tr>
      <w:tr w14:paraId="774BB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425" w:type="dxa"/>
            <w:tcBorders>
              <w:tl2br w:val="nil"/>
              <w:tr2bl w:val="nil"/>
            </w:tcBorders>
            <w:shd w:val="clear"/>
            <w:vAlign w:val="top"/>
          </w:tcPr>
          <w:p w14:paraId="3CDD1385">
            <w:pPr>
              <w:pStyle w:val="2"/>
              <w:snapToGrid w:val="0"/>
              <w:spacing w:after="0" w:line="360" w:lineRule="auto"/>
              <w:ind w:left="0" w:leftChars="0" w:firstLine="0" w:firstLineChars="0"/>
              <w:jc w:val="center"/>
            </w:pPr>
            <w:r>
              <w:rPr>
                <w:rFonts w:hint="eastAsia"/>
              </w:rPr>
              <w:t>CQC13-541203-2017+</w:t>
            </w:r>
          </w:p>
        </w:tc>
        <w:tc>
          <w:tcPr>
            <w:tcW w:w="6094" w:type="dxa"/>
            <w:tcBorders>
              <w:tl2br w:val="nil"/>
              <w:tr2bl w:val="nil"/>
            </w:tcBorders>
            <w:shd w:val="clear"/>
            <w:vAlign w:val="top"/>
          </w:tcPr>
          <w:p w14:paraId="1E0BAFBF">
            <w:pPr>
              <w:pStyle w:val="2"/>
              <w:snapToGrid w:val="0"/>
              <w:spacing w:after="0" w:line="360" w:lineRule="auto"/>
              <w:ind w:left="0" w:leftChars="0" w:firstLine="0" w:firstLineChars="0"/>
              <w:jc w:val="left"/>
            </w:pPr>
            <w:r>
              <w:rPr>
                <w:rFonts w:hint="eastAsia"/>
              </w:rPr>
              <w:t>CQC13-541203-2017+数据中心场地基础设施认证实施规则</w:t>
            </w:r>
          </w:p>
        </w:tc>
      </w:tr>
      <w:tr w14:paraId="4901E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425" w:type="dxa"/>
            <w:tcBorders>
              <w:tl2br w:val="nil"/>
              <w:tr2bl w:val="nil"/>
            </w:tcBorders>
            <w:shd w:val="clear"/>
            <w:vAlign w:val="top"/>
          </w:tcPr>
          <w:p w14:paraId="2A88D51F">
            <w:pPr>
              <w:pStyle w:val="2"/>
              <w:snapToGrid w:val="0"/>
              <w:spacing w:after="0" w:line="360" w:lineRule="auto"/>
              <w:ind w:left="0" w:leftChars="0" w:firstLine="0" w:firstLineChars="0"/>
              <w:jc w:val="center"/>
              <w:rPr>
                <w:rFonts w:hint="eastAsia"/>
              </w:rPr>
            </w:pPr>
            <w:r>
              <w:rPr>
                <w:rFonts w:hint="eastAsia"/>
              </w:rPr>
              <w:t>GB50462-2015</w:t>
            </w:r>
          </w:p>
        </w:tc>
        <w:tc>
          <w:tcPr>
            <w:tcW w:w="6094" w:type="dxa"/>
            <w:tcBorders>
              <w:tl2br w:val="nil"/>
              <w:tr2bl w:val="nil"/>
            </w:tcBorders>
            <w:shd w:val="clear"/>
            <w:vAlign w:val="top"/>
          </w:tcPr>
          <w:p w14:paraId="23617119">
            <w:pPr>
              <w:pStyle w:val="2"/>
              <w:snapToGrid w:val="0"/>
              <w:spacing w:after="0" w:line="360" w:lineRule="auto"/>
              <w:ind w:left="0" w:leftChars="0" w:firstLine="0" w:firstLineChars="0"/>
              <w:jc w:val="left"/>
              <w:rPr>
                <w:rFonts w:hint="eastAsia"/>
              </w:rPr>
            </w:pPr>
            <w:r>
              <w:rPr>
                <w:rFonts w:hint="eastAsia"/>
              </w:rPr>
              <w:t>GB50462-2015数据中心基础设施施工及验收规范</w:t>
            </w:r>
          </w:p>
        </w:tc>
      </w:tr>
    </w:tbl>
    <w:p w14:paraId="6EF58BEA">
      <w:pPr>
        <w:pStyle w:val="12"/>
        <w:rPr>
          <w:rFonts w:hint="eastAsia"/>
          <w:lang w:val="en-US" w:eastAsia="zh-CN"/>
        </w:rPr>
      </w:pPr>
    </w:p>
    <w:p w14:paraId="27FE77BB">
      <w:pPr>
        <w:pStyle w:val="3"/>
        <w:numPr>
          <w:ilvl w:val="0"/>
          <w:numId w:val="5"/>
        </w:numPr>
        <w:ind w:left="0" w:leftChars="0" w:firstLine="900" w:firstLineChars="300"/>
        <w:rPr>
          <w:rFonts w:hint="eastAsia" w:ascii="仿宋" w:hAnsi="仿宋" w:eastAsia="仿宋" w:cs="仿宋"/>
          <w:sz w:val="30"/>
          <w:szCs w:val="30"/>
          <w:highlight w:val="none"/>
          <w:lang w:val="en-US" w:eastAsia="zh-CN"/>
        </w:rPr>
      </w:pPr>
      <w:bookmarkStart w:id="1" w:name="_Toc909"/>
      <w:bookmarkStart w:id="2" w:name="_Toc28725"/>
      <w:bookmarkStart w:id="3" w:name="_Toc21267"/>
      <w:r>
        <w:rPr>
          <w:rFonts w:hint="eastAsia" w:ascii="仿宋" w:hAnsi="仿宋" w:eastAsia="仿宋" w:cs="仿宋"/>
          <w:sz w:val="30"/>
          <w:szCs w:val="30"/>
          <w:highlight w:val="none"/>
          <w:lang w:val="en-US" w:eastAsia="zh-CN"/>
        </w:rPr>
        <w:t>安全保密要求</w:t>
      </w:r>
      <w:bookmarkEnd w:id="1"/>
      <w:bookmarkEnd w:id="2"/>
      <w:bookmarkEnd w:id="3"/>
    </w:p>
    <w:p w14:paraId="7E94728B">
      <w:pPr>
        <w:spacing w:line="360" w:lineRule="auto"/>
        <w:ind w:firstLine="600" w:firstLineChars="200"/>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为加强采购方企业的网络安全管理，提出以下保密要求：</w:t>
      </w:r>
    </w:p>
    <w:p w14:paraId="496A45CE">
      <w:pPr>
        <w:spacing w:line="360" w:lineRule="auto"/>
        <w:ind w:firstLine="600" w:firstLineChars="200"/>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（1）报价人在服务期间，负有保护采购方企业的网络安全、信息安全和系统数据安全的义务和责任；负有保护所持有、接触属于或涉及南方电网公司商业秘密的信息安全的义务和责任。</w:t>
      </w:r>
    </w:p>
    <w:p w14:paraId="2B1EC34F">
      <w:pPr>
        <w:spacing w:line="360" w:lineRule="auto"/>
        <w:ind w:firstLine="600" w:firstLineChars="200"/>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（2）未经许可不得以任何方式对保密信息及工作成果进行复制、传播、泄漏、告知，不得将保密信息带离与采购人相关的办公场所。</w:t>
      </w:r>
    </w:p>
    <w:p w14:paraId="1603542D">
      <w:pPr>
        <w:spacing w:line="360" w:lineRule="auto"/>
        <w:ind w:firstLine="600" w:firstLineChars="200"/>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（3）无论何种原因导致合同解除或终止，本项目约定下的保密条款、保密内容及相关的违约责任的约定仍然生效。保密期限为签订合同之后至永久，保密范围为项目所涉及的任何资料。</w:t>
      </w:r>
    </w:p>
    <w:p w14:paraId="49C3A8CC">
      <w:pPr>
        <w:pStyle w:val="3"/>
        <w:numPr>
          <w:ilvl w:val="0"/>
          <w:numId w:val="5"/>
        </w:numPr>
        <w:ind w:left="0" w:leftChars="0" w:firstLine="900" w:firstLineChars="3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结算与支付</w:t>
      </w:r>
    </w:p>
    <w:p w14:paraId="322847AA">
      <w:pPr>
        <w:pStyle w:val="3"/>
        <w:keepNext w:val="0"/>
        <w:keepLines w:val="0"/>
        <w:pageBreakBefore w:val="0"/>
        <w:widowControl w:val="0"/>
        <w:numPr>
          <w:ilvl w:val="0"/>
          <w:numId w:val="0"/>
        </w:numPr>
        <w:kinsoku/>
        <w:wordWrap/>
        <w:overflowPunct/>
        <w:topLinePunct w:val="0"/>
        <w:autoSpaceDE/>
        <w:autoSpaceDN/>
        <w:bidi w:val="0"/>
        <w:adjustRightInd/>
        <w:snapToGrid/>
        <w:spacing w:after="0"/>
        <w:ind w:leftChars="0" w:firstLine="600" w:firstLineChars="200"/>
        <w:textAlignment w:val="auto"/>
        <w:rPr>
          <w:rFonts w:hint="default"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监督认证交付，经验收合格后，按采购方要求开具相应金额的增值税专用发票，甲方在收到发票后30个工作日内向乙方一次性支付全部服务款项，具体以合同签订为准。</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大宋简">
    <w:panose1 w:val="02010600000101010101"/>
    <w:charset w:val="86"/>
    <w:family w:val="modern"/>
    <w:pitch w:val="default"/>
    <w:sig w:usb0="00000001" w:usb1="080E0800" w:usb2="00000002"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ˎ̥">
    <w:altName w:val="华文中宋"/>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EEE12E"/>
    <w:multiLevelType w:val="singleLevel"/>
    <w:tmpl w:val="93EEE12E"/>
    <w:lvl w:ilvl="0" w:tentative="0">
      <w:start w:val="1"/>
      <w:numFmt w:val="decimal"/>
      <w:lvlText w:val="(%1)"/>
      <w:lvlJc w:val="left"/>
      <w:pPr>
        <w:ind w:left="425" w:hanging="425"/>
      </w:pPr>
      <w:rPr>
        <w:rFonts w:hint="default"/>
      </w:rPr>
    </w:lvl>
  </w:abstractNum>
  <w:abstractNum w:abstractNumId="1">
    <w:nsid w:val="B6B3C65E"/>
    <w:multiLevelType w:val="singleLevel"/>
    <w:tmpl w:val="B6B3C65E"/>
    <w:lvl w:ilvl="0" w:tentative="0">
      <w:start w:val="1"/>
      <w:numFmt w:val="decimal"/>
      <w:suff w:val="nothing"/>
      <w:lvlText w:val="%1、"/>
      <w:lvlJc w:val="left"/>
    </w:lvl>
  </w:abstractNum>
  <w:abstractNum w:abstractNumId="2">
    <w:nsid w:val="B9AE0812"/>
    <w:multiLevelType w:val="singleLevel"/>
    <w:tmpl w:val="B9AE0812"/>
    <w:lvl w:ilvl="0" w:tentative="0">
      <w:start w:val="1"/>
      <w:numFmt w:val="decimal"/>
      <w:lvlText w:val="%1."/>
      <w:lvlJc w:val="left"/>
      <w:pPr>
        <w:tabs>
          <w:tab w:val="left" w:pos="312"/>
        </w:tabs>
      </w:pPr>
    </w:lvl>
  </w:abstractNum>
  <w:abstractNum w:abstractNumId="3">
    <w:nsid w:val="0000001C"/>
    <w:multiLevelType w:val="multilevel"/>
    <w:tmpl w:val="0000001C"/>
    <w:lvl w:ilvl="0" w:tentative="0">
      <w:start w:val="1"/>
      <w:numFmt w:val="none"/>
      <w:pStyle w:val="4"/>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4">
    <w:nsid w:val="1E907F40"/>
    <w:multiLevelType w:val="singleLevel"/>
    <w:tmpl w:val="1E907F40"/>
    <w:lvl w:ilvl="0" w:tentative="0">
      <w:start w:val="1"/>
      <w:numFmt w:val="chineseCounting"/>
      <w:suff w:val="nothing"/>
      <w:lvlText w:val="%1、"/>
      <w:lvlJc w:val="left"/>
      <w:rPr>
        <w:rFonts w:hint="eastAsia"/>
      </w:rPr>
    </w:lvl>
  </w:abstractNum>
  <w:abstractNum w:abstractNumId="5">
    <w:nsid w:val="546A1CFC"/>
    <w:multiLevelType w:val="multilevel"/>
    <w:tmpl w:val="546A1CFC"/>
    <w:lvl w:ilvl="0" w:tentative="0">
      <w:start w:val="1"/>
      <w:numFmt w:val="chineseCountingThousand"/>
      <w:suff w:val="nothing"/>
      <w:lvlText w:val="%1、"/>
      <w:lvlJc w:val="center"/>
      <w:pPr>
        <w:ind w:left="-108" w:firstLine="288"/>
      </w:pPr>
      <w:rPr>
        <w:rFonts w:hint="default"/>
      </w:rPr>
    </w:lvl>
    <w:lvl w:ilvl="1" w:tentative="0">
      <w:start w:val="1"/>
      <w:numFmt w:val="decimal"/>
      <w:pStyle w:val="7"/>
      <w:isLgl/>
      <w:suff w:val="space"/>
      <w:lvlText w:val="%1.%2．"/>
      <w:lvlJc w:val="left"/>
      <w:pPr>
        <w:ind w:left="1250" w:hanging="170"/>
      </w:pPr>
      <w:rPr>
        <w:rFonts w:hint="eastAsia"/>
      </w:rPr>
    </w:lvl>
    <w:lvl w:ilvl="2" w:tentative="0">
      <w:start w:val="1"/>
      <w:numFmt w:val="decimal"/>
      <w:isLgl/>
      <w:suff w:val="space"/>
      <w:lvlText w:val="%1.%2.%3."/>
      <w:lvlJc w:val="left"/>
      <w:rPr>
        <w:rFonts w:hint="default"/>
      </w:rPr>
    </w:lvl>
    <w:lvl w:ilvl="3" w:tentative="0">
      <w:start w:val="1"/>
      <w:numFmt w:val="upperRoman"/>
      <w:pStyle w:val="9"/>
      <w:isLgl/>
      <w:lvlText w:val="%1.%2.%3.%4．"/>
      <w:lvlJc w:val="left"/>
      <w:pPr>
        <w:tabs>
          <w:tab w:val="left" w:pos="0"/>
        </w:tabs>
      </w:pPr>
      <w:rPr>
        <w:rFonts w:hint="default"/>
      </w:rPr>
    </w:lvl>
    <w:lvl w:ilvl="4" w:tentative="0">
      <w:start w:val="1"/>
      <w:numFmt w:val="bullet"/>
      <w:pStyle w:val="23"/>
      <w:lvlText w:val=""/>
      <w:lvlJc w:val="left"/>
      <w:pPr>
        <w:tabs>
          <w:tab w:val="left" w:pos="2100"/>
        </w:tabs>
        <w:ind w:left="2100" w:hanging="420"/>
      </w:pPr>
      <w:rPr>
        <w:rFonts w:hint="default" w:ascii="Wingdings" w:hAnsi="Wingdings"/>
      </w:rPr>
    </w:lvl>
    <w:lvl w:ilvl="5" w:tentative="0">
      <w:start w:val="1"/>
      <w:numFmt w:val="bullet"/>
      <w:pStyle w:val="24"/>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3"/>
  </w:num>
  <w:num w:numId="2">
    <w:abstractNumId w:val="5"/>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RiN2EzOTIwNTFkMWRjYjlhM2M2MjEwMTAzOTAyMTAifQ=="/>
  </w:docVars>
  <w:rsids>
    <w:rsidRoot w:val="005E1907"/>
    <w:rsid w:val="00000D64"/>
    <w:rsid w:val="000033A9"/>
    <w:rsid w:val="00010A73"/>
    <w:rsid w:val="0001222A"/>
    <w:rsid w:val="000135DE"/>
    <w:rsid w:val="00014080"/>
    <w:rsid w:val="0001459A"/>
    <w:rsid w:val="000211F9"/>
    <w:rsid w:val="000259C2"/>
    <w:rsid w:val="0002707D"/>
    <w:rsid w:val="00027E62"/>
    <w:rsid w:val="000333B3"/>
    <w:rsid w:val="00033605"/>
    <w:rsid w:val="00040385"/>
    <w:rsid w:val="00047AFD"/>
    <w:rsid w:val="0005294B"/>
    <w:rsid w:val="00053085"/>
    <w:rsid w:val="000549A3"/>
    <w:rsid w:val="0005749B"/>
    <w:rsid w:val="00057911"/>
    <w:rsid w:val="00057B8D"/>
    <w:rsid w:val="0006163F"/>
    <w:rsid w:val="0006181F"/>
    <w:rsid w:val="0006434C"/>
    <w:rsid w:val="00065919"/>
    <w:rsid w:val="00065C02"/>
    <w:rsid w:val="00074016"/>
    <w:rsid w:val="00077BDD"/>
    <w:rsid w:val="00081142"/>
    <w:rsid w:val="00081B68"/>
    <w:rsid w:val="000845FA"/>
    <w:rsid w:val="00084BE9"/>
    <w:rsid w:val="00092AC2"/>
    <w:rsid w:val="000954B1"/>
    <w:rsid w:val="00095FB1"/>
    <w:rsid w:val="00097116"/>
    <w:rsid w:val="00097A1A"/>
    <w:rsid w:val="000A0084"/>
    <w:rsid w:val="000A04CE"/>
    <w:rsid w:val="000A619F"/>
    <w:rsid w:val="000A6F54"/>
    <w:rsid w:val="000B0FA7"/>
    <w:rsid w:val="000B2830"/>
    <w:rsid w:val="000B3336"/>
    <w:rsid w:val="000B5898"/>
    <w:rsid w:val="000C7581"/>
    <w:rsid w:val="000D0AAF"/>
    <w:rsid w:val="000D0C94"/>
    <w:rsid w:val="000D4A06"/>
    <w:rsid w:val="000D4DA9"/>
    <w:rsid w:val="000D74EF"/>
    <w:rsid w:val="000E0B7F"/>
    <w:rsid w:val="000E0EC8"/>
    <w:rsid w:val="000E2882"/>
    <w:rsid w:val="000E3B0B"/>
    <w:rsid w:val="000E3EB5"/>
    <w:rsid w:val="000E4331"/>
    <w:rsid w:val="000E435D"/>
    <w:rsid w:val="000E4B63"/>
    <w:rsid w:val="000E586E"/>
    <w:rsid w:val="000F0A56"/>
    <w:rsid w:val="000F0E5A"/>
    <w:rsid w:val="000F25AE"/>
    <w:rsid w:val="000F2848"/>
    <w:rsid w:val="0010091F"/>
    <w:rsid w:val="0010180B"/>
    <w:rsid w:val="00101E5C"/>
    <w:rsid w:val="00102366"/>
    <w:rsid w:val="00102E96"/>
    <w:rsid w:val="0010494F"/>
    <w:rsid w:val="00107A1F"/>
    <w:rsid w:val="00110328"/>
    <w:rsid w:val="00110476"/>
    <w:rsid w:val="00110D15"/>
    <w:rsid w:val="00111E73"/>
    <w:rsid w:val="001133E3"/>
    <w:rsid w:val="00113C5A"/>
    <w:rsid w:val="00117DE1"/>
    <w:rsid w:val="00121B5F"/>
    <w:rsid w:val="00123423"/>
    <w:rsid w:val="001272D5"/>
    <w:rsid w:val="00130B3B"/>
    <w:rsid w:val="00133E20"/>
    <w:rsid w:val="0013578D"/>
    <w:rsid w:val="00136CBC"/>
    <w:rsid w:val="001378C5"/>
    <w:rsid w:val="00141B8F"/>
    <w:rsid w:val="00141DB6"/>
    <w:rsid w:val="0014371F"/>
    <w:rsid w:val="00146E3C"/>
    <w:rsid w:val="001507F7"/>
    <w:rsid w:val="0015156A"/>
    <w:rsid w:val="001516AB"/>
    <w:rsid w:val="0015726E"/>
    <w:rsid w:val="00166CB7"/>
    <w:rsid w:val="001703A9"/>
    <w:rsid w:val="00170ACF"/>
    <w:rsid w:val="001767F2"/>
    <w:rsid w:val="00177F4A"/>
    <w:rsid w:val="00181923"/>
    <w:rsid w:val="00183FD8"/>
    <w:rsid w:val="0018480A"/>
    <w:rsid w:val="00184C7C"/>
    <w:rsid w:val="00184E52"/>
    <w:rsid w:val="001859DC"/>
    <w:rsid w:val="0018796D"/>
    <w:rsid w:val="001961C4"/>
    <w:rsid w:val="00197730"/>
    <w:rsid w:val="001A3216"/>
    <w:rsid w:val="001A4FDE"/>
    <w:rsid w:val="001A5F11"/>
    <w:rsid w:val="001A65FC"/>
    <w:rsid w:val="001A77AF"/>
    <w:rsid w:val="001B0C4A"/>
    <w:rsid w:val="001B2164"/>
    <w:rsid w:val="001B3D8C"/>
    <w:rsid w:val="001B4BCC"/>
    <w:rsid w:val="001C02A1"/>
    <w:rsid w:val="001C5C54"/>
    <w:rsid w:val="001C6042"/>
    <w:rsid w:val="001D0867"/>
    <w:rsid w:val="001D1E2E"/>
    <w:rsid w:val="001D425B"/>
    <w:rsid w:val="001D4456"/>
    <w:rsid w:val="001D4537"/>
    <w:rsid w:val="001D45DE"/>
    <w:rsid w:val="001E0C4F"/>
    <w:rsid w:val="001E3930"/>
    <w:rsid w:val="001E4DF3"/>
    <w:rsid w:val="001E6BD8"/>
    <w:rsid w:val="001E6D94"/>
    <w:rsid w:val="001E74B8"/>
    <w:rsid w:val="001F14F7"/>
    <w:rsid w:val="001F561A"/>
    <w:rsid w:val="0020040A"/>
    <w:rsid w:val="00202807"/>
    <w:rsid w:val="002059D8"/>
    <w:rsid w:val="0021137F"/>
    <w:rsid w:val="00211740"/>
    <w:rsid w:val="00212BFC"/>
    <w:rsid w:val="00215EDD"/>
    <w:rsid w:val="00216765"/>
    <w:rsid w:val="00220E03"/>
    <w:rsid w:val="002211C0"/>
    <w:rsid w:val="00221434"/>
    <w:rsid w:val="00226318"/>
    <w:rsid w:val="00226851"/>
    <w:rsid w:val="002274F9"/>
    <w:rsid w:val="00231DC1"/>
    <w:rsid w:val="00232E8F"/>
    <w:rsid w:val="00232FEF"/>
    <w:rsid w:val="0023438E"/>
    <w:rsid w:val="00234BD9"/>
    <w:rsid w:val="0023656B"/>
    <w:rsid w:val="002410C7"/>
    <w:rsid w:val="0024140F"/>
    <w:rsid w:val="00241444"/>
    <w:rsid w:val="00246C26"/>
    <w:rsid w:val="0025045E"/>
    <w:rsid w:val="002510A7"/>
    <w:rsid w:val="002534E9"/>
    <w:rsid w:val="002557FA"/>
    <w:rsid w:val="00260359"/>
    <w:rsid w:val="002639D3"/>
    <w:rsid w:val="0026651B"/>
    <w:rsid w:val="00267921"/>
    <w:rsid w:val="00267DD2"/>
    <w:rsid w:val="00270CDD"/>
    <w:rsid w:val="0027342D"/>
    <w:rsid w:val="0027548B"/>
    <w:rsid w:val="00275BC3"/>
    <w:rsid w:val="0027672F"/>
    <w:rsid w:val="002767D2"/>
    <w:rsid w:val="002779E5"/>
    <w:rsid w:val="00277E44"/>
    <w:rsid w:val="00280BB0"/>
    <w:rsid w:val="002833B7"/>
    <w:rsid w:val="002833EE"/>
    <w:rsid w:val="00283602"/>
    <w:rsid w:val="00284088"/>
    <w:rsid w:val="002858FA"/>
    <w:rsid w:val="00285EC4"/>
    <w:rsid w:val="002905BE"/>
    <w:rsid w:val="00293F17"/>
    <w:rsid w:val="00296602"/>
    <w:rsid w:val="00297820"/>
    <w:rsid w:val="00297961"/>
    <w:rsid w:val="002A29E8"/>
    <w:rsid w:val="002A4944"/>
    <w:rsid w:val="002B1CA4"/>
    <w:rsid w:val="002B4617"/>
    <w:rsid w:val="002B5B86"/>
    <w:rsid w:val="002B5F50"/>
    <w:rsid w:val="002B687C"/>
    <w:rsid w:val="002C220E"/>
    <w:rsid w:val="002C36F8"/>
    <w:rsid w:val="002C3974"/>
    <w:rsid w:val="002C3D66"/>
    <w:rsid w:val="002C4EA4"/>
    <w:rsid w:val="002C5031"/>
    <w:rsid w:val="002D0790"/>
    <w:rsid w:val="002D31B3"/>
    <w:rsid w:val="002D4043"/>
    <w:rsid w:val="002D41C1"/>
    <w:rsid w:val="002D45FB"/>
    <w:rsid w:val="002D52C1"/>
    <w:rsid w:val="002D53A4"/>
    <w:rsid w:val="002E0ECA"/>
    <w:rsid w:val="002E4523"/>
    <w:rsid w:val="002E4C8D"/>
    <w:rsid w:val="002E5CDC"/>
    <w:rsid w:val="002E6D34"/>
    <w:rsid w:val="002E6F2A"/>
    <w:rsid w:val="002F2599"/>
    <w:rsid w:val="002F31D0"/>
    <w:rsid w:val="002F34D7"/>
    <w:rsid w:val="002F4783"/>
    <w:rsid w:val="002F5BCE"/>
    <w:rsid w:val="003012AF"/>
    <w:rsid w:val="003055F9"/>
    <w:rsid w:val="00306CF0"/>
    <w:rsid w:val="00311415"/>
    <w:rsid w:val="003126C2"/>
    <w:rsid w:val="003179F9"/>
    <w:rsid w:val="00320A89"/>
    <w:rsid w:val="003223CF"/>
    <w:rsid w:val="00323211"/>
    <w:rsid w:val="003259D4"/>
    <w:rsid w:val="00330D13"/>
    <w:rsid w:val="003314FE"/>
    <w:rsid w:val="0033301C"/>
    <w:rsid w:val="00334EBD"/>
    <w:rsid w:val="00335543"/>
    <w:rsid w:val="003365F4"/>
    <w:rsid w:val="0033727A"/>
    <w:rsid w:val="00337CF2"/>
    <w:rsid w:val="00340BA0"/>
    <w:rsid w:val="00341269"/>
    <w:rsid w:val="00344114"/>
    <w:rsid w:val="003455DE"/>
    <w:rsid w:val="0034595A"/>
    <w:rsid w:val="0034597F"/>
    <w:rsid w:val="00356883"/>
    <w:rsid w:val="003601D5"/>
    <w:rsid w:val="00362C5A"/>
    <w:rsid w:val="00364821"/>
    <w:rsid w:val="00367D3C"/>
    <w:rsid w:val="0037385F"/>
    <w:rsid w:val="003743BC"/>
    <w:rsid w:val="00376443"/>
    <w:rsid w:val="00377844"/>
    <w:rsid w:val="0038005C"/>
    <w:rsid w:val="0038149B"/>
    <w:rsid w:val="00383033"/>
    <w:rsid w:val="003849F2"/>
    <w:rsid w:val="00385C9F"/>
    <w:rsid w:val="00390421"/>
    <w:rsid w:val="00397884"/>
    <w:rsid w:val="003A53F5"/>
    <w:rsid w:val="003A5530"/>
    <w:rsid w:val="003A5EDD"/>
    <w:rsid w:val="003B28F3"/>
    <w:rsid w:val="003B290B"/>
    <w:rsid w:val="003B29EE"/>
    <w:rsid w:val="003B519F"/>
    <w:rsid w:val="003B695C"/>
    <w:rsid w:val="003B7F55"/>
    <w:rsid w:val="003C042F"/>
    <w:rsid w:val="003C16A1"/>
    <w:rsid w:val="003C22FA"/>
    <w:rsid w:val="003C2F4F"/>
    <w:rsid w:val="003C3AD4"/>
    <w:rsid w:val="003C40B3"/>
    <w:rsid w:val="003C6884"/>
    <w:rsid w:val="003C7FE4"/>
    <w:rsid w:val="003D1FDC"/>
    <w:rsid w:val="003D3D94"/>
    <w:rsid w:val="003D5615"/>
    <w:rsid w:val="003E00A4"/>
    <w:rsid w:val="003E2AC5"/>
    <w:rsid w:val="003E4F97"/>
    <w:rsid w:val="003E50F9"/>
    <w:rsid w:val="003E55B8"/>
    <w:rsid w:val="003F0305"/>
    <w:rsid w:val="003F1C63"/>
    <w:rsid w:val="003F1D2C"/>
    <w:rsid w:val="003F7646"/>
    <w:rsid w:val="00400B4B"/>
    <w:rsid w:val="004035BE"/>
    <w:rsid w:val="00406065"/>
    <w:rsid w:val="00406CC2"/>
    <w:rsid w:val="004139E6"/>
    <w:rsid w:val="00417CF1"/>
    <w:rsid w:val="00420E4F"/>
    <w:rsid w:val="0042461E"/>
    <w:rsid w:val="004353F4"/>
    <w:rsid w:val="004377FC"/>
    <w:rsid w:val="00440214"/>
    <w:rsid w:val="004423B3"/>
    <w:rsid w:val="00443D89"/>
    <w:rsid w:val="00446D5F"/>
    <w:rsid w:val="00447844"/>
    <w:rsid w:val="00453934"/>
    <w:rsid w:val="004550E7"/>
    <w:rsid w:val="00455E25"/>
    <w:rsid w:val="00462B1F"/>
    <w:rsid w:val="00463653"/>
    <w:rsid w:val="00464553"/>
    <w:rsid w:val="00466C7A"/>
    <w:rsid w:val="00467CE8"/>
    <w:rsid w:val="00467D5F"/>
    <w:rsid w:val="004700E3"/>
    <w:rsid w:val="00471407"/>
    <w:rsid w:val="0047290E"/>
    <w:rsid w:val="00472F25"/>
    <w:rsid w:val="00473A54"/>
    <w:rsid w:val="004745C8"/>
    <w:rsid w:val="00475184"/>
    <w:rsid w:val="00476682"/>
    <w:rsid w:val="00480D6A"/>
    <w:rsid w:val="0048170E"/>
    <w:rsid w:val="0048227E"/>
    <w:rsid w:val="00483335"/>
    <w:rsid w:val="00484793"/>
    <w:rsid w:val="00486660"/>
    <w:rsid w:val="00490642"/>
    <w:rsid w:val="00491B12"/>
    <w:rsid w:val="0049357C"/>
    <w:rsid w:val="004954AC"/>
    <w:rsid w:val="004963A4"/>
    <w:rsid w:val="004A4596"/>
    <w:rsid w:val="004A7CEC"/>
    <w:rsid w:val="004A7EE4"/>
    <w:rsid w:val="004B25D6"/>
    <w:rsid w:val="004B273D"/>
    <w:rsid w:val="004B57A7"/>
    <w:rsid w:val="004B5BF9"/>
    <w:rsid w:val="004C03A6"/>
    <w:rsid w:val="004C7C44"/>
    <w:rsid w:val="004D1734"/>
    <w:rsid w:val="004D6B80"/>
    <w:rsid w:val="004D7D55"/>
    <w:rsid w:val="004E0161"/>
    <w:rsid w:val="004E027D"/>
    <w:rsid w:val="004E162F"/>
    <w:rsid w:val="004E1759"/>
    <w:rsid w:val="004E2611"/>
    <w:rsid w:val="004E508B"/>
    <w:rsid w:val="004E60FA"/>
    <w:rsid w:val="004F074C"/>
    <w:rsid w:val="004F0E90"/>
    <w:rsid w:val="004F25BE"/>
    <w:rsid w:val="004F793A"/>
    <w:rsid w:val="004F7C65"/>
    <w:rsid w:val="00500146"/>
    <w:rsid w:val="00501BF0"/>
    <w:rsid w:val="00507472"/>
    <w:rsid w:val="005077D5"/>
    <w:rsid w:val="00510251"/>
    <w:rsid w:val="00510B74"/>
    <w:rsid w:val="0051544F"/>
    <w:rsid w:val="00516FE9"/>
    <w:rsid w:val="0052050D"/>
    <w:rsid w:val="00522A33"/>
    <w:rsid w:val="00524489"/>
    <w:rsid w:val="005268A8"/>
    <w:rsid w:val="005362CF"/>
    <w:rsid w:val="005363AD"/>
    <w:rsid w:val="005439D5"/>
    <w:rsid w:val="00543F3F"/>
    <w:rsid w:val="00545542"/>
    <w:rsid w:val="00555296"/>
    <w:rsid w:val="00555BAD"/>
    <w:rsid w:val="00556829"/>
    <w:rsid w:val="00563EDB"/>
    <w:rsid w:val="00566BF5"/>
    <w:rsid w:val="00571539"/>
    <w:rsid w:val="005721EF"/>
    <w:rsid w:val="005745E7"/>
    <w:rsid w:val="00577194"/>
    <w:rsid w:val="00577DA2"/>
    <w:rsid w:val="0058466C"/>
    <w:rsid w:val="005854AE"/>
    <w:rsid w:val="00587CC1"/>
    <w:rsid w:val="00597A73"/>
    <w:rsid w:val="00597FE8"/>
    <w:rsid w:val="005A1011"/>
    <w:rsid w:val="005A1332"/>
    <w:rsid w:val="005A6688"/>
    <w:rsid w:val="005A7DD1"/>
    <w:rsid w:val="005B129C"/>
    <w:rsid w:val="005B50BE"/>
    <w:rsid w:val="005B5B54"/>
    <w:rsid w:val="005B76A5"/>
    <w:rsid w:val="005C0431"/>
    <w:rsid w:val="005C04A5"/>
    <w:rsid w:val="005C2A20"/>
    <w:rsid w:val="005C3A24"/>
    <w:rsid w:val="005D0DA3"/>
    <w:rsid w:val="005D21F4"/>
    <w:rsid w:val="005D463B"/>
    <w:rsid w:val="005D61CA"/>
    <w:rsid w:val="005E0B06"/>
    <w:rsid w:val="005E0BAE"/>
    <w:rsid w:val="005E1907"/>
    <w:rsid w:val="005E2CEE"/>
    <w:rsid w:val="005E4A7B"/>
    <w:rsid w:val="005E4AD7"/>
    <w:rsid w:val="005E59D1"/>
    <w:rsid w:val="005E6E7C"/>
    <w:rsid w:val="005E7F0D"/>
    <w:rsid w:val="005F31CE"/>
    <w:rsid w:val="005F40CE"/>
    <w:rsid w:val="005F5C47"/>
    <w:rsid w:val="00601A78"/>
    <w:rsid w:val="0060340B"/>
    <w:rsid w:val="00615884"/>
    <w:rsid w:val="00617000"/>
    <w:rsid w:val="00617284"/>
    <w:rsid w:val="006178BC"/>
    <w:rsid w:val="00620383"/>
    <w:rsid w:val="00620461"/>
    <w:rsid w:val="006211DD"/>
    <w:rsid w:val="00623686"/>
    <w:rsid w:val="006255D5"/>
    <w:rsid w:val="0063345A"/>
    <w:rsid w:val="00637249"/>
    <w:rsid w:val="006411AB"/>
    <w:rsid w:val="006411D6"/>
    <w:rsid w:val="0064236F"/>
    <w:rsid w:val="00643E86"/>
    <w:rsid w:val="006448CD"/>
    <w:rsid w:val="00644BE3"/>
    <w:rsid w:val="00650E00"/>
    <w:rsid w:val="00651BD7"/>
    <w:rsid w:val="00653548"/>
    <w:rsid w:val="00655D37"/>
    <w:rsid w:val="0066033A"/>
    <w:rsid w:val="0066047F"/>
    <w:rsid w:val="00665FD1"/>
    <w:rsid w:val="006675A1"/>
    <w:rsid w:val="00674500"/>
    <w:rsid w:val="00676FFA"/>
    <w:rsid w:val="00677807"/>
    <w:rsid w:val="00681E64"/>
    <w:rsid w:val="006929B4"/>
    <w:rsid w:val="00694715"/>
    <w:rsid w:val="00695C37"/>
    <w:rsid w:val="0069698F"/>
    <w:rsid w:val="00697917"/>
    <w:rsid w:val="006A367B"/>
    <w:rsid w:val="006A3902"/>
    <w:rsid w:val="006B37C4"/>
    <w:rsid w:val="006B4D40"/>
    <w:rsid w:val="006B5DDA"/>
    <w:rsid w:val="006B7737"/>
    <w:rsid w:val="006C0708"/>
    <w:rsid w:val="006C6007"/>
    <w:rsid w:val="006C6C24"/>
    <w:rsid w:val="006D0CF2"/>
    <w:rsid w:val="006D277F"/>
    <w:rsid w:val="006D5E82"/>
    <w:rsid w:val="006D6661"/>
    <w:rsid w:val="006E03F7"/>
    <w:rsid w:val="006E2B97"/>
    <w:rsid w:val="006E4511"/>
    <w:rsid w:val="006E53B8"/>
    <w:rsid w:val="006F1F04"/>
    <w:rsid w:val="006F314E"/>
    <w:rsid w:val="006F42CD"/>
    <w:rsid w:val="006F42D4"/>
    <w:rsid w:val="006F7419"/>
    <w:rsid w:val="00700669"/>
    <w:rsid w:val="0070073E"/>
    <w:rsid w:val="007021FF"/>
    <w:rsid w:val="00702437"/>
    <w:rsid w:val="00706AFD"/>
    <w:rsid w:val="00707DCD"/>
    <w:rsid w:val="00714261"/>
    <w:rsid w:val="00717AB8"/>
    <w:rsid w:val="00724CA0"/>
    <w:rsid w:val="00730C83"/>
    <w:rsid w:val="00730CA8"/>
    <w:rsid w:val="00734247"/>
    <w:rsid w:val="00734B3D"/>
    <w:rsid w:val="00743186"/>
    <w:rsid w:val="00744161"/>
    <w:rsid w:val="007443EB"/>
    <w:rsid w:val="00745D1B"/>
    <w:rsid w:val="00753008"/>
    <w:rsid w:val="00753AD6"/>
    <w:rsid w:val="00756307"/>
    <w:rsid w:val="00757C7D"/>
    <w:rsid w:val="00763512"/>
    <w:rsid w:val="00763E7B"/>
    <w:rsid w:val="0076467B"/>
    <w:rsid w:val="007701A1"/>
    <w:rsid w:val="007720D3"/>
    <w:rsid w:val="00774C78"/>
    <w:rsid w:val="0077742D"/>
    <w:rsid w:val="007815B7"/>
    <w:rsid w:val="00782219"/>
    <w:rsid w:val="007872BC"/>
    <w:rsid w:val="0078740B"/>
    <w:rsid w:val="00787A17"/>
    <w:rsid w:val="00787DDD"/>
    <w:rsid w:val="0079060D"/>
    <w:rsid w:val="00790893"/>
    <w:rsid w:val="007915BE"/>
    <w:rsid w:val="007936ED"/>
    <w:rsid w:val="007A048B"/>
    <w:rsid w:val="007A702F"/>
    <w:rsid w:val="007A71ED"/>
    <w:rsid w:val="007B0E68"/>
    <w:rsid w:val="007B30CC"/>
    <w:rsid w:val="007B448A"/>
    <w:rsid w:val="007B4C4E"/>
    <w:rsid w:val="007B4CEA"/>
    <w:rsid w:val="007B5325"/>
    <w:rsid w:val="007B63D9"/>
    <w:rsid w:val="007B721E"/>
    <w:rsid w:val="007B7BEA"/>
    <w:rsid w:val="007B7CBD"/>
    <w:rsid w:val="007C10E0"/>
    <w:rsid w:val="007C2B41"/>
    <w:rsid w:val="007C489E"/>
    <w:rsid w:val="007C606F"/>
    <w:rsid w:val="007D22F2"/>
    <w:rsid w:val="007D25DB"/>
    <w:rsid w:val="007D2859"/>
    <w:rsid w:val="007D2C82"/>
    <w:rsid w:val="007D3298"/>
    <w:rsid w:val="007D397C"/>
    <w:rsid w:val="007D3B66"/>
    <w:rsid w:val="007D6BD0"/>
    <w:rsid w:val="007D7C5D"/>
    <w:rsid w:val="007E110D"/>
    <w:rsid w:val="007E7473"/>
    <w:rsid w:val="007E7740"/>
    <w:rsid w:val="007F284A"/>
    <w:rsid w:val="007F5281"/>
    <w:rsid w:val="007F6026"/>
    <w:rsid w:val="007F6C4B"/>
    <w:rsid w:val="007F72AA"/>
    <w:rsid w:val="008017C0"/>
    <w:rsid w:val="00801904"/>
    <w:rsid w:val="0080569C"/>
    <w:rsid w:val="0081399B"/>
    <w:rsid w:val="0081600A"/>
    <w:rsid w:val="008176F7"/>
    <w:rsid w:val="00820416"/>
    <w:rsid w:val="008211C8"/>
    <w:rsid w:val="00824151"/>
    <w:rsid w:val="008244C0"/>
    <w:rsid w:val="0082469A"/>
    <w:rsid w:val="00825AE2"/>
    <w:rsid w:val="00830296"/>
    <w:rsid w:val="00830CD6"/>
    <w:rsid w:val="00832D10"/>
    <w:rsid w:val="008330F2"/>
    <w:rsid w:val="0083681A"/>
    <w:rsid w:val="008400FB"/>
    <w:rsid w:val="00841244"/>
    <w:rsid w:val="00844C0C"/>
    <w:rsid w:val="00847B5B"/>
    <w:rsid w:val="00850F95"/>
    <w:rsid w:val="008531B6"/>
    <w:rsid w:val="00854390"/>
    <w:rsid w:val="00854716"/>
    <w:rsid w:val="00857FF7"/>
    <w:rsid w:val="00860EB4"/>
    <w:rsid w:val="00861DAB"/>
    <w:rsid w:val="008627B2"/>
    <w:rsid w:val="00862EC0"/>
    <w:rsid w:val="00863BB2"/>
    <w:rsid w:val="00863E47"/>
    <w:rsid w:val="00864F60"/>
    <w:rsid w:val="00865A4B"/>
    <w:rsid w:val="008719ED"/>
    <w:rsid w:val="008742FA"/>
    <w:rsid w:val="00875F62"/>
    <w:rsid w:val="0088099F"/>
    <w:rsid w:val="00885782"/>
    <w:rsid w:val="00885E18"/>
    <w:rsid w:val="00890328"/>
    <w:rsid w:val="008932B6"/>
    <w:rsid w:val="008935C4"/>
    <w:rsid w:val="00893760"/>
    <w:rsid w:val="0089389D"/>
    <w:rsid w:val="00894460"/>
    <w:rsid w:val="00895223"/>
    <w:rsid w:val="008966DC"/>
    <w:rsid w:val="008A25D7"/>
    <w:rsid w:val="008A2F05"/>
    <w:rsid w:val="008A416F"/>
    <w:rsid w:val="008A55D6"/>
    <w:rsid w:val="008A702C"/>
    <w:rsid w:val="008B2AED"/>
    <w:rsid w:val="008B3B49"/>
    <w:rsid w:val="008C08C4"/>
    <w:rsid w:val="008C1D4B"/>
    <w:rsid w:val="008D23A1"/>
    <w:rsid w:val="008D2B54"/>
    <w:rsid w:val="008D32E8"/>
    <w:rsid w:val="008E0D09"/>
    <w:rsid w:val="008E2449"/>
    <w:rsid w:val="008E2B5F"/>
    <w:rsid w:val="008E6CB4"/>
    <w:rsid w:val="008E6D01"/>
    <w:rsid w:val="008E7408"/>
    <w:rsid w:val="008E7663"/>
    <w:rsid w:val="008E7FDC"/>
    <w:rsid w:val="008F1090"/>
    <w:rsid w:val="008F44C4"/>
    <w:rsid w:val="008F6998"/>
    <w:rsid w:val="008F7AD0"/>
    <w:rsid w:val="00900A12"/>
    <w:rsid w:val="00901453"/>
    <w:rsid w:val="009029E3"/>
    <w:rsid w:val="00902D3A"/>
    <w:rsid w:val="00903664"/>
    <w:rsid w:val="0090746A"/>
    <w:rsid w:val="0091021C"/>
    <w:rsid w:val="00913ADF"/>
    <w:rsid w:val="00913FDC"/>
    <w:rsid w:val="0091413F"/>
    <w:rsid w:val="00916953"/>
    <w:rsid w:val="00917A89"/>
    <w:rsid w:val="009214B4"/>
    <w:rsid w:val="00921CEF"/>
    <w:rsid w:val="00926A57"/>
    <w:rsid w:val="009277EA"/>
    <w:rsid w:val="009278EC"/>
    <w:rsid w:val="0093150E"/>
    <w:rsid w:val="009348BF"/>
    <w:rsid w:val="00934C4C"/>
    <w:rsid w:val="00934F0D"/>
    <w:rsid w:val="009353A3"/>
    <w:rsid w:val="00935C5A"/>
    <w:rsid w:val="009363CD"/>
    <w:rsid w:val="009365F9"/>
    <w:rsid w:val="009422B1"/>
    <w:rsid w:val="00944EF3"/>
    <w:rsid w:val="00945750"/>
    <w:rsid w:val="00945B38"/>
    <w:rsid w:val="00945CAA"/>
    <w:rsid w:val="009506B2"/>
    <w:rsid w:val="00950DB9"/>
    <w:rsid w:val="00951D91"/>
    <w:rsid w:val="00952848"/>
    <w:rsid w:val="00952F9B"/>
    <w:rsid w:val="00953913"/>
    <w:rsid w:val="009541BB"/>
    <w:rsid w:val="00954A18"/>
    <w:rsid w:val="009554B9"/>
    <w:rsid w:val="00956137"/>
    <w:rsid w:val="0095655A"/>
    <w:rsid w:val="0096675F"/>
    <w:rsid w:val="009668E5"/>
    <w:rsid w:val="0096705D"/>
    <w:rsid w:val="00967346"/>
    <w:rsid w:val="00972D69"/>
    <w:rsid w:val="009737EE"/>
    <w:rsid w:val="00973A94"/>
    <w:rsid w:val="00975D4E"/>
    <w:rsid w:val="00977442"/>
    <w:rsid w:val="00977974"/>
    <w:rsid w:val="009808AB"/>
    <w:rsid w:val="00980EB7"/>
    <w:rsid w:val="00985A1F"/>
    <w:rsid w:val="009870F5"/>
    <w:rsid w:val="00987CD5"/>
    <w:rsid w:val="00990517"/>
    <w:rsid w:val="00991535"/>
    <w:rsid w:val="0099252D"/>
    <w:rsid w:val="009A2A24"/>
    <w:rsid w:val="009B0176"/>
    <w:rsid w:val="009B033B"/>
    <w:rsid w:val="009B213C"/>
    <w:rsid w:val="009B24EE"/>
    <w:rsid w:val="009B34B5"/>
    <w:rsid w:val="009B52C3"/>
    <w:rsid w:val="009C2E25"/>
    <w:rsid w:val="009C336B"/>
    <w:rsid w:val="009C3990"/>
    <w:rsid w:val="009C47D2"/>
    <w:rsid w:val="009C5310"/>
    <w:rsid w:val="009D0E70"/>
    <w:rsid w:val="009D1C5C"/>
    <w:rsid w:val="009D1D97"/>
    <w:rsid w:val="009D228C"/>
    <w:rsid w:val="009D23D4"/>
    <w:rsid w:val="009D27DD"/>
    <w:rsid w:val="009D2944"/>
    <w:rsid w:val="009D3014"/>
    <w:rsid w:val="009D6ACA"/>
    <w:rsid w:val="009E1036"/>
    <w:rsid w:val="009E4A87"/>
    <w:rsid w:val="009E51B9"/>
    <w:rsid w:val="009F0296"/>
    <w:rsid w:val="009F7530"/>
    <w:rsid w:val="00A019CF"/>
    <w:rsid w:val="00A05BB0"/>
    <w:rsid w:val="00A07D90"/>
    <w:rsid w:val="00A1263A"/>
    <w:rsid w:val="00A2300D"/>
    <w:rsid w:val="00A234BE"/>
    <w:rsid w:val="00A25073"/>
    <w:rsid w:val="00A2534F"/>
    <w:rsid w:val="00A33C23"/>
    <w:rsid w:val="00A33DA3"/>
    <w:rsid w:val="00A3442E"/>
    <w:rsid w:val="00A351C1"/>
    <w:rsid w:val="00A3793B"/>
    <w:rsid w:val="00A40041"/>
    <w:rsid w:val="00A40BC5"/>
    <w:rsid w:val="00A42F48"/>
    <w:rsid w:val="00A43795"/>
    <w:rsid w:val="00A43DB6"/>
    <w:rsid w:val="00A548E7"/>
    <w:rsid w:val="00A552AB"/>
    <w:rsid w:val="00A55587"/>
    <w:rsid w:val="00A559A1"/>
    <w:rsid w:val="00A55F3E"/>
    <w:rsid w:val="00A562EE"/>
    <w:rsid w:val="00A577F5"/>
    <w:rsid w:val="00A628CE"/>
    <w:rsid w:val="00A632BD"/>
    <w:rsid w:val="00A6348B"/>
    <w:rsid w:val="00A66153"/>
    <w:rsid w:val="00A70B22"/>
    <w:rsid w:val="00A71C9D"/>
    <w:rsid w:val="00A71F3F"/>
    <w:rsid w:val="00A74584"/>
    <w:rsid w:val="00A74FCF"/>
    <w:rsid w:val="00A81DBA"/>
    <w:rsid w:val="00A83A55"/>
    <w:rsid w:val="00A8611B"/>
    <w:rsid w:val="00A86A47"/>
    <w:rsid w:val="00A90E1B"/>
    <w:rsid w:val="00A91567"/>
    <w:rsid w:val="00A92A47"/>
    <w:rsid w:val="00AA329F"/>
    <w:rsid w:val="00AA435E"/>
    <w:rsid w:val="00AA682F"/>
    <w:rsid w:val="00AA7A0C"/>
    <w:rsid w:val="00AB25AC"/>
    <w:rsid w:val="00AC5E85"/>
    <w:rsid w:val="00AC636C"/>
    <w:rsid w:val="00AC6C0D"/>
    <w:rsid w:val="00AD0F7E"/>
    <w:rsid w:val="00AD2A05"/>
    <w:rsid w:val="00AD2E7E"/>
    <w:rsid w:val="00AE36CC"/>
    <w:rsid w:val="00AE40BA"/>
    <w:rsid w:val="00AE4B73"/>
    <w:rsid w:val="00AF1D74"/>
    <w:rsid w:val="00AF1EDB"/>
    <w:rsid w:val="00AF27FB"/>
    <w:rsid w:val="00AF46D4"/>
    <w:rsid w:val="00AF6A68"/>
    <w:rsid w:val="00B00240"/>
    <w:rsid w:val="00B01720"/>
    <w:rsid w:val="00B01A9A"/>
    <w:rsid w:val="00B026E4"/>
    <w:rsid w:val="00B036D7"/>
    <w:rsid w:val="00B06D27"/>
    <w:rsid w:val="00B06E36"/>
    <w:rsid w:val="00B06EEC"/>
    <w:rsid w:val="00B07EBF"/>
    <w:rsid w:val="00B1062D"/>
    <w:rsid w:val="00B10F8C"/>
    <w:rsid w:val="00B14B99"/>
    <w:rsid w:val="00B14FA2"/>
    <w:rsid w:val="00B15E7E"/>
    <w:rsid w:val="00B17D6B"/>
    <w:rsid w:val="00B20325"/>
    <w:rsid w:val="00B20F87"/>
    <w:rsid w:val="00B221BE"/>
    <w:rsid w:val="00B24838"/>
    <w:rsid w:val="00B252C6"/>
    <w:rsid w:val="00B2611C"/>
    <w:rsid w:val="00B266DF"/>
    <w:rsid w:val="00B307BA"/>
    <w:rsid w:val="00B32105"/>
    <w:rsid w:val="00B327F5"/>
    <w:rsid w:val="00B33BE1"/>
    <w:rsid w:val="00B35D3D"/>
    <w:rsid w:val="00B37A6B"/>
    <w:rsid w:val="00B4194A"/>
    <w:rsid w:val="00B422AC"/>
    <w:rsid w:val="00B43290"/>
    <w:rsid w:val="00B432EA"/>
    <w:rsid w:val="00B43950"/>
    <w:rsid w:val="00B444E0"/>
    <w:rsid w:val="00B50D37"/>
    <w:rsid w:val="00B56889"/>
    <w:rsid w:val="00B61A41"/>
    <w:rsid w:val="00B631E6"/>
    <w:rsid w:val="00B741B4"/>
    <w:rsid w:val="00B7438F"/>
    <w:rsid w:val="00B775E2"/>
    <w:rsid w:val="00B779B5"/>
    <w:rsid w:val="00B80A7D"/>
    <w:rsid w:val="00B81EDA"/>
    <w:rsid w:val="00B826A6"/>
    <w:rsid w:val="00B8443A"/>
    <w:rsid w:val="00B84E7F"/>
    <w:rsid w:val="00B85D30"/>
    <w:rsid w:val="00B86331"/>
    <w:rsid w:val="00B900BF"/>
    <w:rsid w:val="00B9071F"/>
    <w:rsid w:val="00BA0545"/>
    <w:rsid w:val="00BB2203"/>
    <w:rsid w:val="00BB65DA"/>
    <w:rsid w:val="00BC0A23"/>
    <w:rsid w:val="00BC2BB9"/>
    <w:rsid w:val="00BC5470"/>
    <w:rsid w:val="00BC5E72"/>
    <w:rsid w:val="00BC7558"/>
    <w:rsid w:val="00BC757F"/>
    <w:rsid w:val="00BD1F46"/>
    <w:rsid w:val="00BD3773"/>
    <w:rsid w:val="00BD3D07"/>
    <w:rsid w:val="00BD514A"/>
    <w:rsid w:val="00BD59D6"/>
    <w:rsid w:val="00BD6AB3"/>
    <w:rsid w:val="00BD6E8B"/>
    <w:rsid w:val="00BE0D2C"/>
    <w:rsid w:val="00BE4E8B"/>
    <w:rsid w:val="00BF13D2"/>
    <w:rsid w:val="00BF2162"/>
    <w:rsid w:val="00BF3666"/>
    <w:rsid w:val="00BF6E6B"/>
    <w:rsid w:val="00BF72C0"/>
    <w:rsid w:val="00BF7416"/>
    <w:rsid w:val="00C008F3"/>
    <w:rsid w:val="00C07BC0"/>
    <w:rsid w:val="00C160B9"/>
    <w:rsid w:val="00C169E3"/>
    <w:rsid w:val="00C173B1"/>
    <w:rsid w:val="00C17FF5"/>
    <w:rsid w:val="00C21441"/>
    <w:rsid w:val="00C23E7A"/>
    <w:rsid w:val="00C24641"/>
    <w:rsid w:val="00C26951"/>
    <w:rsid w:val="00C26AF1"/>
    <w:rsid w:val="00C27219"/>
    <w:rsid w:val="00C272BA"/>
    <w:rsid w:val="00C31176"/>
    <w:rsid w:val="00C3308D"/>
    <w:rsid w:val="00C34114"/>
    <w:rsid w:val="00C34E57"/>
    <w:rsid w:val="00C3696E"/>
    <w:rsid w:val="00C41E51"/>
    <w:rsid w:val="00C43E20"/>
    <w:rsid w:val="00C45D01"/>
    <w:rsid w:val="00C4708F"/>
    <w:rsid w:val="00C470BC"/>
    <w:rsid w:val="00C4739D"/>
    <w:rsid w:val="00C47A1B"/>
    <w:rsid w:val="00C5116C"/>
    <w:rsid w:val="00C5154B"/>
    <w:rsid w:val="00C524D3"/>
    <w:rsid w:val="00C53391"/>
    <w:rsid w:val="00C55884"/>
    <w:rsid w:val="00C559FB"/>
    <w:rsid w:val="00C56614"/>
    <w:rsid w:val="00C57CD8"/>
    <w:rsid w:val="00C62C97"/>
    <w:rsid w:val="00C65769"/>
    <w:rsid w:val="00C66E65"/>
    <w:rsid w:val="00C706AD"/>
    <w:rsid w:val="00C743DB"/>
    <w:rsid w:val="00C767A8"/>
    <w:rsid w:val="00C83962"/>
    <w:rsid w:val="00C845F4"/>
    <w:rsid w:val="00C854C8"/>
    <w:rsid w:val="00C865EA"/>
    <w:rsid w:val="00C873F2"/>
    <w:rsid w:val="00C904BE"/>
    <w:rsid w:val="00C90D82"/>
    <w:rsid w:val="00C93F32"/>
    <w:rsid w:val="00C949E9"/>
    <w:rsid w:val="00CA2A7A"/>
    <w:rsid w:val="00CA3B69"/>
    <w:rsid w:val="00CA414A"/>
    <w:rsid w:val="00CB0F97"/>
    <w:rsid w:val="00CB1367"/>
    <w:rsid w:val="00CB4121"/>
    <w:rsid w:val="00CB625B"/>
    <w:rsid w:val="00CC055E"/>
    <w:rsid w:val="00CC0A72"/>
    <w:rsid w:val="00CC1354"/>
    <w:rsid w:val="00CC3DFD"/>
    <w:rsid w:val="00CC421C"/>
    <w:rsid w:val="00CC4D9D"/>
    <w:rsid w:val="00CC5DA6"/>
    <w:rsid w:val="00CC78FF"/>
    <w:rsid w:val="00CC7C55"/>
    <w:rsid w:val="00CD3CCB"/>
    <w:rsid w:val="00CD6EC9"/>
    <w:rsid w:val="00CD7D98"/>
    <w:rsid w:val="00CE1560"/>
    <w:rsid w:val="00CE1FAC"/>
    <w:rsid w:val="00CE42D0"/>
    <w:rsid w:val="00CE4C47"/>
    <w:rsid w:val="00CE70DB"/>
    <w:rsid w:val="00CF0FE6"/>
    <w:rsid w:val="00CF14FD"/>
    <w:rsid w:val="00CF21DF"/>
    <w:rsid w:val="00CF2DFB"/>
    <w:rsid w:val="00CF4AF6"/>
    <w:rsid w:val="00CF5286"/>
    <w:rsid w:val="00D007F4"/>
    <w:rsid w:val="00D01D71"/>
    <w:rsid w:val="00D02B9E"/>
    <w:rsid w:val="00D05277"/>
    <w:rsid w:val="00D1134F"/>
    <w:rsid w:val="00D123E4"/>
    <w:rsid w:val="00D1345E"/>
    <w:rsid w:val="00D14BBA"/>
    <w:rsid w:val="00D15C66"/>
    <w:rsid w:val="00D21AF9"/>
    <w:rsid w:val="00D23B8D"/>
    <w:rsid w:val="00D345FF"/>
    <w:rsid w:val="00D36FEB"/>
    <w:rsid w:val="00D373AD"/>
    <w:rsid w:val="00D40FFD"/>
    <w:rsid w:val="00D4223E"/>
    <w:rsid w:val="00D4277F"/>
    <w:rsid w:val="00D42B17"/>
    <w:rsid w:val="00D43330"/>
    <w:rsid w:val="00D4449C"/>
    <w:rsid w:val="00D54C6F"/>
    <w:rsid w:val="00D55DD6"/>
    <w:rsid w:val="00D56177"/>
    <w:rsid w:val="00D5618D"/>
    <w:rsid w:val="00D5680B"/>
    <w:rsid w:val="00D60649"/>
    <w:rsid w:val="00D60E63"/>
    <w:rsid w:val="00D61E1E"/>
    <w:rsid w:val="00D62C58"/>
    <w:rsid w:val="00D630CE"/>
    <w:rsid w:val="00D63A72"/>
    <w:rsid w:val="00D63D96"/>
    <w:rsid w:val="00D70CB7"/>
    <w:rsid w:val="00D72411"/>
    <w:rsid w:val="00D73944"/>
    <w:rsid w:val="00D77092"/>
    <w:rsid w:val="00D81CBE"/>
    <w:rsid w:val="00D83F74"/>
    <w:rsid w:val="00D92822"/>
    <w:rsid w:val="00D9553D"/>
    <w:rsid w:val="00D95956"/>
    <w:rsid w:val="00D96083"/>
    <w:rsid w:val="00D96E2B"/>
    <w:rsid w:val="00D97E26"/>
    <w:rsid w:val="00D97FD4"/>
    <w:rsid w:val="00DA1245"/>
    <w:rsid w:val="00DA352C"/>
    <w:rsid w:val="00DA3F4B"/>
    <w:rsid w:val="00DA7740"/>
    <w:rsid w:val="00DB246C"/>
    <w:rsid w:val="00DB402F"/>
    <w:rsid w:val="00DB55B4"/>
    <w:rsid w:val="00DC21CA"/>
    <w:rsid w:val="00DC5321"/>
    <w:rsid w:val="00DC7CC4"/>
    <w:rsid w:val="00DD1319"/>
    <w:rsid w:val="00DD3620"/>
    <w:rsid w:val="00DD3704"/>
    <w:rsid w:val="00DD53B2"/>
    <w:rsid w:val="00DD6354"/>
    <w:rsid w:val="00DD7C00"/>
    <w:rsid w:val="00DE3995"/>
    <w:rsid w:val="00DF19F1"/>
    <w:rsid w:val="00DF52B6"/>
    <w:rsid w:val="00E04DCD"/>
    <w:rsid w:val="00E04F40"/>
    <w:rsid w:val="00E052D5"/>
    <w:rsid w:val="00E07C92"/>
    <w:rsid w:val="00E1162E"/>
    <w:rsid w:val="00E12658"/>
    <w:rsid w:val="00E13F9F"/>
    <w:rsid w:val="00E14A59"/>
    <w:rsid w:val="00E17D5E"/>
    <w:rsid w:val="00E217F8"/>
    <w:rsid w:val="00E218E8"/>
    <w:rsid w:val="00E24F30"/>
    <w:rsid w:val="00E25E66"/>
    <w:rsid w:val="00E3148A"/>
    <w:rsid w:val="00E31F3A"/>
    <w:rsid w:val="00E32DA6"/>
    <w:rsid w:val="00E3337D"/>
    <w:rsid w:val="00E36615"/>
    <w:rsid w:val="00E37399"/>
    <w:rsid w:val="00E412B7"/>
    <w:rsid w:val="00E41361"/>
    <w:rsid w:val="00E42ECF"/>
    <w:rsid w:val="00E43698"/>
    <w:rsid w:val="00E43743"/>
    <w:rsid w:val="00E453A1"/>
    <w:rsid w:val="00E455B0"/>
    <w:rsid w:val="00E4627D"/>
    <w:rsid w:val="00E50E3D"/>
    <w:rsid w:val="00E51998"/>
    <w:rsid w:val="00E53814"/>
    <w:rsid w:val="00E60545"/>
    <w:rsid w:val="00E606D9"/>
    <w:rsid w:val="00E60F2C"/>
    <w:rsid w:val="00E67A39"/>
    <w:rsid w:val="00E700A3"/>
    <w:rsid w:val="00E705D0"/>
    <w:rsid w:val="00E7182E"/>
    <w:rsid w:val="00E72066"/>
    <w:rsid w:val="00E7601E"/>
    <w:rsid w:val="00E802F9"/>
    <w:rsid w:val="00E80C86"/>
    <w:rsid w:val="00E80E99"/>
    <w:rsid w:val="00E81C1F"/>
    <w:rsid w:val="00E831D0"/>
    <w:rsid w:val="00E8619B"/>
    <w:rsid w:val="00E902FD"/>
    <w:rsid w:val="00E973A8"/>
    <w:rsid w:val="00EA1157"/>
    <w:rsid w:val="00EA4092"/>
    <w:rsid w:val="00EA50EF"/>
    <w:rsid w:val="00EA52EE"/>
    <w:rsid w:val="00EA574B"/>
    <w:rsid w:val="00EA5E53"/>
    <w:rsid w:val="00EA79C0"/>
    <w:rsid w:val="00EB19FB"/>
    <w:rsid w:val="00EB40AF"/>
    <w:rsid w:val="00EB4FA0"/>
    <w:rsid w:val="00EC2F65"/>
    <w:rsid w:val="00EC357D"/>
    <w:rsid w:val="00EC4496"/>
    <w:rsid w:val="00ED4FEE"/>
    <w:rsid w:val="00ED5DA1"/>
    <w:rsid w:val="00ED688F"/>
    <w:rsid w:val="00ED700B"/>
    <w:rsid w:val="00EE4EF7"/>
    <w:rsid w:val="00EE57BB"/>
    <w:rsid w:val="00EE7B72"/>
    <w:rsid w:val="00EF0085"/>
    <w:rsid w:val="00EF2937"/>
    <w:rsid w:val="00F078BD"/>
    <w:rsid w:val="00F11B3E"/>
    <w:rsid w:val="00F1201A"/>
    <w:rsid w:val="00F1255C"/>
    <w:rsid w:val="00F1256B"/>
    <w:rsid w:val="00F12AAC"/>
    <w:rsid w:val="00F12E07"/>
    <w:rsid w:val="00F13A6C"/>
    <w:rsid w:val="00F14FDE"/>
    <w:rsid w:val="00F167A8"/>
    <w:rsid w:val="00F2001F"/>
    <w:rsid w:val="00F210FA"/>
    <w:rsid w:val="00F23CC7"/>
    <w:rsid w:val="00F25051"/>
    <w:rsid w:val="00F26711"/>
    <w:rsid w:val="00F30E93"/>
    <w:rsid w:val="00F32DB0"/>
    <w:rsid w:val="00F35A17"/>
    <w:rsid w:val="00F35BAE"/>
    <w:rsid w:val="00F3772A"/>
    <w:rsid w:val="00F41E02"/>
    <w:rsid w:val="00F45BD4"/>
    <w:rsid w:val="00F46CBA"/>
    <w:rsid w:val="00F5022E"/>
    <w:rsid w:val="00F5034B"/>
    <w:rsid w:val="00F5153B"/>
    <w:rsid w:val="00F519C8"/>
    <w:rsid w:val="00F542D6"/>
    <w:rsid w:val="00F54364"/>
    <w:rsid w:val="00F54621"/>
    <w:rsid w:val="00F5602A"/>
    <w:rsid w:val="00F60CE2"/>
    <w:rsid w:val="00F64CD6"/>
    <w:rsid w:val="00F714DC"/>
    <w:rsid w:val="00F74F21"/>
    <w:rsid w:val="00F756A1"/>
    <w:rsid w:val="00F76697"/>
    <w:rsid w:val="00F76B80"/>
    <w:rsid w:val="00F903F2"/>
    <w:rsid w:val="00F92B20"/>
    <w:rsid w:val="00F93FB4"/>
    <w:rsid w:val="00F961F6"/>
    <w:rsid w:val="00F977A8"/>
    <w:rsid w:val="00F97B63"/>
    <w:rsid w:val="00FA0446"/>
    <w:rsid w:val="00FA0B33"/>
    <w:rsid w:val="00FA2830"/>
    <w:rsid w:val="00FA7AF3"/>
    <w:rsid w:val="00FB34EF"/>
    <w:rsid w:val="00FB433E"/>
    <w:rsid w:val="00FB44CA"/>
    <w:rsid w:val="00FB6981"/>
    <w:rsid w:val="00FC1BD8"/>
    <w:rsid w:val="00FC3E27"/>
    <w:rsid w:val="00FC4BE5"/>
    <w:rsid w:val="00FC518B"/>
    <w:rsid w:val="00FC5A59"/>
    <w:rsid w:val="00FC60DA"/>
    <w:rsid w:val="00FC627F"/>
    <w:rsid w:val="00FC74F8"/>
    <w:rsid w:val="00FC7B8C"/>
    <w:rsid w:val="00FD3980"/>
    <w:rsid w:val="00FD64A2"/>
    <w:rsid w:val="00FE6F41"/>
    <w:rsid w:val="00FF3581"/>
    <w:rsid w:val="00FF459C"/>
    <w:rsid w:val="017E7201"/>
    <w:rsid w:val="0191755B"/>
    <w:rsid w:val="01934780"/>
    <w:rsid w:val="01973F78"/>
    <w:rsid w:val="021B4775"/>
    <w:rsid w:val="0241242E"/>
    <w:rsid w:val="02557C87"/>
    <w:rsid w:val="027C3466"/>
    <w:rsid w:val="02F94AB6"/>
    <w:rsid w:val="037A7E67"/>
    <w:rsid w:val="037F3E9B"/>
    <w:rsid w:val="03CA6E2E"/>
    <w:rsid w:val="03D41080"/>
    <w:rsid w:val="042711AF"/>
    <w:rsid w:val="04D010D8"/>
    <w:rsid w:val="051549F6"/>
    <w:rsid w:val="056874EA"/>
    <w:rsid w:val="05B9677F"/>
    <w:rsid w:val="06057329"/>
    <w:rsid w:val="061222BB"/>
    <w:rsid w:val="06293905"/>
    <w:rsid w:val="06911F79"/>
    <w:rsid w:val="06AE5BB8"/>
    <w:rsid w:val="070457D8"/>
    <w:rsid w:val="071C0C9F"/>
    <w:rsid w:val="082F0F7A"/>
    <w:rsid w:val="08904CC8"/>
    <w:rsid w:val="089657C0"/>
    <w:rsid w:val="08D672B4"/>
    <w:rsid w:val="0A014251"/>
    <w:rsid w:val="0A9E7CF1"/>
    <w:rsid w:val="0B1D330C"/>
    <w:rsid w:val="0B772A1C"/>
    <w:rsid w:val="0BA03EC3"/>
    <w:rsid w:val="0BA80E62"/>
    <w:rsid w:val="0BDC0057"/>
    <w:rsid w:val="0BE1258C"/>
    <w:rsid w:val="0BF910D7"/>
    <w:rsid w:val="0BF978D5"/>
    <w:rsid w:val="0C2B6078"/>
    <w:rsid w:val="0C564CAE"/>
    <w:rsid w:val="0C61547A"/>
    <w:rsid w:val="0C656B18"/>
    <w:rsid w:val="0D9773A6"/>
    <w:rsid w:val="0DE10621"/>
    <w:rsid w:val="0DEB76F2"/>
    <w:rsid w:val="0EDF7256"/>
    <w:rsid w:val="0F20395B"/>
    <w:rsid w:val="0F492922"/>
    <w:rsid w:val="0F824E23"/>
    <w:rsid w:val="0FB029A1"/>
    <w:rsid w:val="0FFE63BB"/>
    <w:rsid w:val="10702130"/>
    <w:rsid w:val="10AA5642"/>
    <w:rsid w:val="10E30B54"/>
    <w:rsid w:val="114E2471"/>
    <w:rsid w:val="11553800"/>
    <w:rsid w:val="11CB061D"/>
    <w:rsid w:val="11E15F7B"/>
    <w:rsid w:val="12105979"/>
    <w:rsid w:val="13051255"/>
    <w:rsid w:val="13B16CE7"/>
    <w:rsid w:val="13F00A79"/>
    <w:rsid w:val="14CD43E0"/>
    <w:rsid w:val="14DC3F17"/>
    <w:rsid w:val="155F6B97"/>
    <w:rsid w:val="15AD6E79"/>
    <w:rsid w:val="16134367"/>
    <w:rsid w:val="188B4B5A"/>
    <w:rsid w:val="18BB3E61"/>
    <w:rsid w:val="19AD3D96"/>
    <w:rsid w:val="19C84D8B"/>
    <w:rsid w:val="19CF4081"/>
    <w:rsid w:val="1A79352E"/>
    <w:rsid w:val="1AB40A7C"/>
    <w:rsid w:val="1CA7738D"/>
    <w:rsid w:val="1CF85987"/>
    <w:rsid w:val="1D2F2109"/>
    <w:rsid w:val="1DA653E3"/>
    <w:rsid w:val="1E543091"/>
    <w:rsid w:val="1E8A5C6A"/>
    <w:rsid w:val="1F325180"/>
    <w:rsid w:val="1FA4111C"/>
    <w:rsid w:val="200E037A"/>
    <w:rsid w:val="20126D60"/>
    <w:rsid w:val="202645B9"/>
    <w:rsid w:val="204001A4"/>
    <w:rsid w:val="20566C4C"/>
    <w:rsid w:val="221C2913"/>
    <w:rsid w:val="2222756E"/>
    <w:rsid w:val="22A23EEC"/>
    <w:rsid w:val="22CD4BD8"/>
    <w:rsid w:val="22EB3D38"/>
    <w:rsid w:val="23243032"/>
    <w:rsid w:val="232B5C53"/>
    <w:rsid w:val="23860D94"/>
    <w:rsid w:val="238844DB"/>
    <w:rsid w:val="241F37F9"/>
    <w:rsid w:val="24247062"/>
    <w:rsid w:val="24A46895"/>
    <w:rsid w:val="272B1AF0"/>
    <w:rsid w:val="277D66B8"/>
    <w:rsid w:val="27A21C76"/>
    <w:rsid w:val="28011B94"/>
    <w:rsid w:val="282D2989"/>
    <w:rsid w:val="28EA6ACC"/>
    <w:rsid w:val="28FA23E3"/>
    <w:rsid w:val="293A1A3C"/>
    <w:rsid w:val="297C0BF7"/>
    <w:rsid w:val="2A151E03"/>
    <w:rsid w:val="2A4D1162"/>
    <w:rsid w:val="2ACF7D27"/>
    <w:rsid w:val="2B0D5945"/>
    <w:rsid w:val="2B75556B"/>
    <w:rsid w:val="2D152598"/>
    <w:rsid w:val="2D391C0B"/>
    <w:rsid w:val="2D4B565F"/>
    <w:rsid w:val="2DA404A0"/>
    <w:rsid w:val="2DE0224B"/>
    <w:rsid w:val="2E1F0FC6"/>
    <w:rsid w:val="2EC60DB5"/>
    <w:rsid w:val="2EE63891"/>
    <w:rsid w:val="2EF46AB6"/>
    <w:rsid w:val="2F1A5173"/>
    <w:rsid w:val="2F8D4788"/>
    <w:rsid w:val="309E61FE"/>
    <w:rsid w:val="312D39F9"/>
    <w:rsid w:val="314B3E80"/>
    <w:rsid w:val="315D40CA"/>
    <w:rsid w:val="31CC1D35"/>
    <w:rsid w:val="326441EE"/>
    <w:rsid w:val="32700042"/>
    <w:rsid w:val="33105381"/>
    <w:rsid w:val="33A878AA"/>
    <w:rsid w:val="35521C81"/>
    <w:rsid w:val="358405FC"/>
    <w:rsid w:val="35CE6E2D"/>
    <w:rsid w:val="36C22E36"/>
    <w:rsid w:val="36C721FA"/>
    <w:rsid w:val="37945201"/>
    <w:rsid w:val="37990820"/>
    <w:rsid w:val="38066D52"/>
    <w:rsid w:val="389A0351"/>
    <w:rsid w:val="390632B8"/>
    <w:rsid w:val="39263E5A"/>
    <w:rsid w:val="39BF2D7E"/>
    <w:rsid w:val="3AFE0B89"/>
    <w:rsid w:val="3C184D03"/>
    <w:rsid w:val="3CFC24D2"/>
    <w:rsid w:val="3D79652E"/>
    <w:rsid w:val="3FAE3F57"/>
    <w:rsid w:val="3FDD2A8F"/>
    <w:rsid w:val="4093139F"/>
    <w:rsid w:val="40E14D98"/>
    <w:rsid w:val="41374CEB"/>
    <w:rsid w:val="41F90668"/>
    <w:rsid w:val="420D3ABB"/>
    <w:rsid w:val="42786A9F"/>
    <w:rsid w:val="44B51409"/>
    <w:rsid w:val="459260C9"/>
    <w:rsid w:val="466B2BE9"/>
    <w:rsid w:val="467D7301"/>
    <w:rsid w:val="469D7909"/>
    <w:rsid w:val="46DA3884"/>
    <w:rsid w:val="46E025D7"/>
    <w:rsid w:val="473C746D"/>
    <w:rsid w:val="48400B70"/>
    <w:rsid w:val="48601071"/>
    <w:rsid w:val="48804E48"/>
    <w:rsid w:val="48996B7E"/>
    <w:rsid w:val="48CD3FB0"/>
    <w:rsid w:val="493279A7"/>
    <w:rsid w:val="4A405FF1"/>
    <w:rsid w:val="4A5B4CDC"/>
    <w:rsid w:val="4C5A40B7"/>
    <w:rsid w:val="4C8A18A8"/>
    <w:rsid w:val="4CE2191D"/>
    <w:rsid w:val="4D587BF8"/>
    <w:rsid w:val="4D6A5A8F"/>
    <w:rsid w:val="4D6E5EBA"/>
    <w:rsid w:val="4DB973F3"/>
    <w:rsid w:val="4E465CA3"/>
    <w:rsid w:val="4E4F1A54"/>
    <w:rsid w:val="4E677843"/>
    <w:rsid w:val="4EC866B8"/>
    <w:rsid w:val="4ECA68D4"/>
    <w:rsid w:val="4F365D17"/>
    <w:rsid w:val="4F511ADF"/>
    <w:rsid w:val="4F651826"/>
    <w:rsid w:val="4F6939F7"/>
    <w:rsid w:val="4F9B0D6F"/>
    <w:rsid w:val="4FD6251D"/>
    <w:rsid w:val="4FFF700F"/>
    <w:rsid w:val="509B0528"/>
    <w:rsid w:val="50FC3CD2"/>
    <w:rsid w:val="50FE2865"/>
    <w:rsid w:val="51510BE7"/>
    <w:rsid w:val="51516E38"/>
    <w:rsid w:val="516225BC"/>
    <w:rsid w:val="51BD2EA8"/>
    <w:rsid w:val="52A7086E"/>
    <w:rsid w:val="535A65D0"/>
    <w:rsid w:val="5367649F"/>
    <w:rsid w:val="53746E0E"/>
    <w:rsid w:val="5388614D"/>
    <w:rsid w:val="545033D7"/>
    <w:rsid w:val="54A61249"/>
    <w:rsid w:val="54F441EC"/>
    <w:rsid w:val="5560619F"/>
    <w:rsid w:val="558D5467"/>
    <w:rsid w:val="55CC2D88"/>
    <w:rsid w:val="562724C3"/>
    <w:rsid w:val="56800A2A"/>
    <w:rsid w:val="568850AA"/>
    <w:rsid w:val="56EF1810"/>
    <w:rsid w:val="57000C1F"/>
    <w:rsid w:val="570B0A9C"/>
    <w:rsid w:val="574C6B31"/>
    <w:rsid w:val="579D5152"/>
    <w:rsid w:val="585F1609"/>
    <w:rsid w:val="5894304C"/>
    <w:rsid w:val="58FE44E5"/>
    <w:rsid w:val="598C2146"/>
    <w:rsid w:val="599E47FD"/>
    <w:rsid w:val="59FB7826"/>
    <w:rsid w:val="5A160C1F"/>
    <w:rsid w:val="5A9E4ED2"/>
    <w:rsid w:val="5AF26F96"/>
    <w:rsid w:val="5B5E13AB"/>
    <w:rsid w:val="5B7031EF"/>
    <w:rsid w:val="5B9D5EE5"/>
    <w:rsid w:val="5C0C22DA"/>
    <w:rsid w:val="5C71213D"/>
    <w:rsid w:val="5C82259C"/>
    <w:rsid w:val="5CC20F61"/>
    <w:rsid w:val="5CF54B1C"/>
    <w:rsid w:val="5D457B6B"/>
    <w:rsid w:val="5E6D7C61"/>
    <w:rsid w:val="5E9465B6"/>
    <w:rsid w:val="5F922AF6"/>
    <w:rsid w:val="5FE771E7"/>
    <w:rsid w:val="60B60A66"/>
    <w:rsid w:val="60C0325C"/>
    <w:rsid w:val="619E0D44"/>
    <w:rsid w:val="62047183"/>
    <w:rsid w:val="622C60A3"/>
    <w:rsid w:val="629D4331"/>
    <w:rsid w:val="62B92A90"/>
    <w:rsid w:val="633A597E"/>
    <w:rsid w:val="6356208C"/>
    <w:rsid w:val="63814678"/>
    <w:rsid w:val="63F645A3"/>
    <w:rsid w:val="64307DBF"/>
    <w:rsid w:val="64BA09D0"/>
    <w:rsid w:val="65854FFD"/>
    <w:rsid w:val="65C6174B"/>
    <w:rsid w:val="662F5543"/>
    <w:rsid w:val="66D5442C"/>
    <w:rsid w:val="66E96633"/>
    <w:rsid w:val="670016B2"/>
    <w:rsid w:val="692755D1"/>
    <w:rsid w:val="69456E2B"/>
    <w:rsid w:val="699833FF"/>
    <w:rsid w:val="69EE74C3"/>
    <w:rsid w:val="6A2A79CD"/>
    <w:rsid w:val="6A871E10"/>
    <w:rsid w:val="6ADE12E5"/>
    <w:rsid w:val="6B156AD8"/>
    <w:rsid w:val="6B4D0219"/>
    <w:rsid w:val="6B680BAF"/>
    <w:rsid w:val="6BF5137B"/>
    <w:rsid w:val="6BFE24D8"/>
    <w:rsid w:val="6D333FB2"/>
    <w:rsid w:val="6D3B4249"/>
    <w:rsid w:val="6DCF4F15"/>
    <w:rsid w:val="6DF42BCE"/>
    <w:rsid w:val="6EB810C0"/>
    <w:rsid w:val="6F1F1ECC"/>
    <w:rsid w:val="70D551FE"/>
    <w:rsid w:val="71241A1C"/>
    <w:rsid w:val="716A133C"/>
    <w:rsid w:val="723D034E"/>
    <w:rsid w:val="72445DBC"/>
    <w:rsid w:val="72D354A8"/>
    <w:rsid w:val="73360F28"/>
    <w:rsid w:val="73C15B38"/>
    <w:rsid w:val="73E231EF"/>
    <w:rsid w:val="744A04CD"/>
    <w:rsid w:val="756D3991"/>
    <w:rsid w:val="758B206A"/>
    <w:rsid w:val="75B728C7"/>
    <w:rsid w:val="76176D55"/>
    <w:rsid w:val="76B24152"/>
    <w:rsid w:val="76F265FD"/>
    <w:rsid w:val="7730111A"/>
    <w:rsid w:val="7734364B"/>
    <w:rsid w:val="794E3ADA"/>
    <w:rsid w:val="79EB4101"/>
    <w:rsid w:val="7ACF29F8"/>
    <w:rsid w:val="7B8437E3"/>
    <w:rsid w:val="7C372603"/>
    <w:rsid w:val="7C4411C4"/>
    <w:rsid w:val="7D1F1BC6"/>
    <w:rsid w:val="7D456E75"/>
    <w:rsid w:val="7DFF35F5"/>
    <w:rsid w:val="7E0C5E9E"/>
    <w:rsid w:val="7ED072FD"/>
    <w:rsid w:val="F7B5F5C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name="heading 3" w:locked="1"/>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qFormat/>
    <w:locked/>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5">
    <w:name w:val="heading 2"/>
    <w:basedOn w:val="1"/>
    <w:next w:val="1"/>
    <w:link w:val="17"/>
    <w:qFormat/>
    <w:uiPriority w:val="99"/>
    <w:pPr>
      <w:keepNext/>
      <w:keepLines/>
      <w:spacing w:before="260" w:after="260" w:line="416" w:lineRule="auto"/>
      <w:outlineLvl w:val="1"/>
    </w:pPr>
    <w:rPr>
      <w:rFonts w:ascii="Cambria" w:hAnsi="Cambria" w:cs="Cambria"/>
      <w:b/>
      <w:bCs/>
      <w:sz w:val="32"/>
      <w:szCs w:val="32"/>
    </w:rPr>
  </w:style>
  <w:style w:type="paragraph" w:styleId="6">
    <w:name w:val="heading 4"/>
    <w:basedOn w:val="1"/>
    <w:next w:val="1"/>
    <w:link w:val="25"/>
    <w:qFormat/>
    <w:uiPriority w:val="99"/>
    <w:pPr>
      <w:keepNext/>
      <w:keepLines/>
      <w:spacing w:before="280" w:after="290" w:line="376" w:lineRule="auto"/>
      <w:outlineLvl w:val="3"/>
    </w:pPr>
    <w:rPr>
      <w:rFonts w:ascii="Arial" w:hAnsi="Arial" w:eastAsia="黑体" w:cs="Arial"/>
      <w:b/>
      <w:bCs/>
      <w:sz w:val="28"/>
      <w:szCs w:val="28"/>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qFormat/>
    <w:uiPriority w:val="0"/>
    <w:pPr>
      <w:spacing w:after="120" w:line="360" w:lineRule="auto"/>
    </w:pPr>
    <w:rPr>
      <w:rFonts w:ascii="Times New Roman" w:hAnsi="Times New Roman" w:cs="Times New Roman"/>
      <w:szCs w:val="24"/>
    </w:rPr>
  </w:style>
  <w:style w:type="paragraph" w:styleId="7">
    <w:name w:val="Normal Indent"/>
    <w:basedOn w:val="1"/>
    <w:qFormat/>
    <w:uiPriority w:val="99"/>
    <w:pPr>
      <w:numPr>
        <w:ilvl w:val="1"/>
        <w:numId w:val="2"/>
      </w:numPr>
      <w:ind w:left="0" w:firstLine="420" w:firstLineChars="200"/>
    </w:pPr>
  </w:style>
  <w:style w:type="paragraph" w:styleId="8">
    <w:name w:val="Plain Text"/>
    <w:basedOn w:val="1"/>
    <w:unhideWhenUsed/>
    <w:qFormat/>
    <w:uiPriority w:val="99"/>
    <w:rPr>
      <w:rFonts w:ascii="宋体" w:hAnsi="Courier New"/>
    </w:rPr>
  </w:style>
  <w:style w:type="paragraph" w:styleId="9">
    <w:name w:val="Date"/>
    <w:basedOn w:val="1"/>
    <w:next w:val="1"/>
    <w:link w:val="22"/>
    <w:qFormat/>
    <w:uiPriority w:val="99"/>
    <w:pPr>
      <w:numPr>
        <w:ilvl w:val="3"/>
        <w:numId w:val="2"/>
      </w:numPr>
      <w:tabs>
        <w:tab w:val="clear" w:pos="0"/>
      </w:tabs>
      <w:ind w:left="100" w:leftChars="2500"/>
    </w:pPr>
  </w:style>
  <w:style w:type="paragraph" w:styleId="10">
    <w:name w:val="footer"/>
    <w:basedOn w:val="1"/>
    <w:link w:val="20"/>
    <w:semiHidden/>
    <w:qFormat/>
    <w:uiPriority w:val="99"/>
    <w:pPr>
      <w:tabs>
        <w:tab w:val="center" w:pos="4153"/>
        <w:tab w:val="right" w:pos="8306"/>
      </w:tabs>
      <w:snapToGrid w:val="0"/>
      <w:jc w:val="left"/>
    </w:pPr>
    <w:rPr>
      <w:sz w:val="18"/>
      <w:szCs w:val="18"/>
    </w:rPr>
  </w:style>
  <w:style w:type="paragraph" w:styleId="11">
    <w:name w:val="header"/>
    <w:basedOn w:val="1"/>
    <w:link w:val="19"/>
    <w:semiHidden/>
    <w:qFormat/>
    <w:uiPriority w:val="99"/>
    <w:pPr>
      <w:pBdr>
        <w:bottom w:val="single" w:color="auto" w:sz="6" w:space="1"/>
      </w:pBdr>
      <w:tabs>
        <w:tab w:val="center" w:pos="4153"/>
        <w:tab w:val="right" w:pos="8306"/>
      </w:tabs>
      <w:snapToGrid w:val="0"/>
      <w:jc w:val="center"/>
    </w:pPr>
    <w:rPr>
      <w:sz w:val="18"/>
      <w:szCs w:val="18"/>
    </w:rPr>
  </w:style>
  <w:style w:type="paragraph" w:styleId="12">
    <w:name w:val="Title"/>
    <w:basedOn w:val="1"/>
    <w:qFormat/>
    <w:locked/>
    <w:uiPriority w:val="0"/>
    <w:pPr>
      <w:adjustRightInd w:val="0"/>
      <w:spacing w:before="240" w:beforeLines="0" w:after="60" w:afterLines="0" w:line="420" w:lineRule="atLeast"/>
      <w:jc w:val="center"/>
      <w:outlineLvl w:val="0"/>
    </w:pPr>
    <w:rPr>
      <w:rFonts w:ascii="Arial" w:hAnsi="Arial"/>
      <w:b/>
      <w:kern w:val="0"/>
      <w:sz w:val="32"/>
    </w:rPr>
  </w:style>
  <w:style w:type="table" w:styleId="14">
    <w:name w:val="Table Grid"/>
    <w:basedOn w:val="13"/>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unhideWhenUsed/>
    <w:qFormat/>
    <w:uiPriority w:val="99"/>
    <w:rPr>
      <w:color w:val="0000FF"/>
      <w:u w:val="single"/>
    </w:rPr>
  </w:style>
  <w:style w:type="character" w:customStyle="1" w:styleId="17">
    <w:name w:val="标题 2 字符"/>
    <w:basedOn w:val="15"/>
    <w:link w:val="5"/>
    <w:semiHidden/>
    <w:qFormat/>
    <w:locked/>
    <w:uiPriority w:val="99"/>
    <w:rPr>
      <w:rFonts w:ascii="Cambria" w:hAnsi="Cambria" w:eastAsia="宋体" w:cs="Cambria"/>
      <w:b/>
      <w:bCs/>
      <w:sz w:val="32"/>
      <w:szCs w:val="32"/>
    </w:rPr>
  </w:style>
  <w:style w:type="character" w:customStyle="1" w:styleId="18">
    <w:name w:val="Heading 4 Char"/>
    <w:basedOn w:val="15"/>
    <w:qFormat/>
    <w:locked/>
    <w:uiPriority w:val="99"/>
    <w:rPr>
      <w:rFonts w:ascii="Arial" w:hAnsi="Arial" w:eastAsia="黑体" w:cs="Arial"/>
      <w:b/>
      <w:bCs/>
      <w:kern w:val="2"/>
      <w:sz w:val="28"/>
      <w:szCs w:val="28"/>
      <w:lang w:val="en-US" w:eastAsia="zh-CN"/>
    </w:rPr>
  </w:style>
  <w:style w:type="character" w:customStyle="1" w:styleId="19">
    <w:name w:val="页眉 字符"/>
    <w:basedOn w:val="15"/>
    <w:link w:val="11"/>
    <w:semiHidden/>
    <w:qFormat/>
    <w:locked/>
    <w:uiPriority w:val="99"/>
    <w:rPr>
      <w:rFonts w:ascii="Times New Roman" w:hAnsi="Times New Roman" w:eastAsia="宋体" w:cs="Times New Roman"/>
      <w:sz w:val="18"/>
      <w:szCs w:val="18"/>
    </w:rPr>
  </w:style>
  <w:style w:type="character" w:customStyle="1" w:styleId="20">
    <w:name w:val="页脚 字符"/>
    <w:basedOn w:val="15"/>
    <w:link w:val="10"/>
    <w:semiHidden/>
    <w:qFormat/>
    <w:locked/>
    <w:uiPriority w:val="99"/>
    <w:rPr>
      <w:rFonts w:ascii="Times New Roman" w:hAnsi="Times New Roman" w:eastAsia="宋体" w:cs="Times New Roman"/>
      <w:sz w:val="18"/>
      <w:szCs w:val="18"/>
    </w:rPr>
  </w:style>
  <w:style w:type="paragraph" w:customStyle="1" w:styleId="21">
    <w:name w:val="Char"/>
    <w:basedOn w:val="1"/>
    <w:qFormat/>
    <w:uiPriority w:val="99"/>
    <w:pPr>
      <w:spacing w:line="400" w:lineRule="exact"/>
    </w:pPr>
    <w:rPr>
      <w:rFonts w:ascii="Tahoma" w:hAnsi="Tahoma" w:cs="Tahoma"/>
      <w:sz w:val="24"/>
      <w:szCs w:val="24"/>
    </w:rPr>
  </w:style>
  <w:style w:type="character" w:customStyle="1" w:styleId="22">
    <w:name w:val="日期 字符"/>
    <w:basedOn w:val="15"/>
    <w:link w:val="9"/>
    <w:qFormat/>
    <w:locked/>
    <w:uiPriority w:val="99"/>
    <w:rPr>
      <w:rFonts w:ascii="Times New Roman" w:hAnsi="Times New Roman" w:eastAsia="宋体" w:cs="Times New Roman"/>
      <w:sz w:val="24"/>
      <w:szCs w:val="24"/>
    </w:rPr>
  </w:style>
  <w:style w:type="paragraph" w:customStyle="1" w:styleId="23">
    <w:name w:val="列表段落1"/>
    <w:basedOn w:val="1"/>
    <w:qFormat/>
    <w:uiPriority w:val="99"/>
    <w:pPr>
      <w:numPr>
        <w:ilvl w:val="4"/>
        <w:numId w:val="2"/>
      </w:numPr>
      <w:tabs>
        <w:tab w:val="clear" w:pos="2100"/>
      </w:tabs>
      <w:ind w:left="0" w:firstLine="420" w:firstLineChars="200"/>
    </w:pPr>
    <w:rPr>
      <w:rFonts w:ascii="Calibri" w:hAnsi="Calibri" w:cs="Calibri"/>
    </w:rPr>
  </w:style>
  <w:style w:type="paragraph" w:customStyle="1" w:styleId="24">
    <w:name w:val="标题02"/>
    <w:basedOn w:val="5"/>
    <w:qFormat/>
    <w:uiPriority w:val="99"/>
    <w:pPr>
      <w:numPr>
        <w:ilvl w:val="5"/>
        <w:numId w:val="2"/>
      </w:numPr>
      <w:tabs>
        <w:tab w:val="clear" w:pos="2520"/>
      </w:tabs>
      <w:spacing w:line="360" w:lineRule="auto"/>
      <w:ind w:left="1250" w:hanging="1250"/>
    </w:pPr>
    <w:rPr>
      <w:rFonts w:ascii="宋体" w:hAnsi="Arial" w:cs="宋体"/>
      <w:sz w:val="36"/>
      <w:szCs w:val="36"/>
    </w:rPr>
  </w:style>
  <w:style w:type="character" w:customStyle="1" w:styleId="25">
    <w:name w:val="标题 4 字符"/>
    <w:basedOn w:val="15"/>
    <w:link w:val="6"/>
    <w:semiHidden/>
    <w:qFormat/>
    <w:locked/>
    <w:uiPriority w:val="99"/>
    <w:rPr>
      <w:rFonts w:ascii="Cambria" w:hAnsi="Cambria" w:eastAsia="宋体" w:cs="Cambria"/>
      <w:b/>
      <w:bCs/>
      <w:sz w:val="28"/>
      <w:szCs w:val="28"/>
    </w:rPr>
  </w:style>
  <w:style w:type="paragraph" w:customStyle="1" w:styleId="26">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styleId="2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6</Pages>
  <Words>1544</Words>
  <Characters>1777</Characters>
  <Lines>6</Lines>
  <Paragraphs>1</Paragraphs>
  <TotalTime>2</TotalTime>
  <ScaleCrop>false</ScaleCrop>
  <LinksUpToDate>false</LinksUpToDate>
  <CharactersWithSpaces>1808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2023-07-26T10:56:00Z</dcterms:created>
  <dc:creator>周莎</dc:creator>
  <cp:lastModifiedBy>李浪波</cp:lastModifiedBy>
  <dcterms:modified xsi:type="dcterms:W3CDTF">2026-07-30T14:03:40Z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BDCFECBFA3550F3EF2556B6AD7B11EA3</vt:lpwstr>
  </property>
  <property fmtid="{D5CDD505-2E9C-101B-9397-08002B2CF9AE}" pid="4" name="KSOTemplateDocerSaveRecord">
    <vt:lpwstr>eyJoZGlkIjoiMmM5NzJkNWQ3Y2M5NjE5ODhiMjA1Nzc2NmQwODQ3NjEiLCJ1c2VySWQiOiIzNjMxODc2NzQifQ==</vt:lpwstr>
  </property>
</Properties>
</file>