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CCF9C">
      <w:pPr>
        <w:spacing w:line="360" w:lineRule="auto"/>
        <w:rPr>
          <w:rFonts w:hint="eastAsia" w:ascii="仿宋_GB2312" w:hAnsi="仿宋_GB2312" w:eastAsia="仿宋_GB2312" w:cs="仿宋_GB2312"/>
        </w:rPr>
      </w:pPr>
      <w:bookmarkStart w:id="0" w:name="_Toc7592"/>
      <w:bookmarkStart w:id="1" w:name="_Toc198288426"/>
      <w:bookmarkStart w:id="2" w:name="_Toc413948004"/>
      <w:bookmarkStart w:id="3" w:name="_Toc147371417"/>
    </w:p>
    <w:p w14:paraId="1C3D8D51">
      <w:pPr>
        <w:pStyle w:val="2"/>
        <w:spacing w:before="0" w:after="0" w:line="360" w:lineRule="auto"/>
        <w:rPr>
          <w:rFonts w:hint="eastAsia" w:ascii="仿宋_GB2312" w:hAnsi="仿宋_GB2312" w:eastAsia="仿宋_GB2312" w:cs="仿宋_GB2312"/>
        </w:rPr>
      </w:pPr>
      <w:r>
        <w:rPr>
          <w:rFonts w:hint="eastAsia" w:ascii="仿宋_GB2312" w:hAnsi="仿宋_GB2312" w:eastAsia="仿宋_GB2312" w:cs="仿宋_GB2312"/>
        </w:rPr>
        <w:t>总则</w:t>
      </w:r>
      <w:bookmarkEnd w:id="0"/>
      <w:bookmarkEnd w:id="1"/>
      <w:bookmarkEnd w:id="2"/>
    </w:p>
    <w:p w14:paraId="71D0E1B4">
      <w:pPr>
        <w:pStyle w:val="3"/>
        <w:spacing w:before="0" w:after="0" w:line="360" w:lineRule="auto"/>
        <w:ind w:left="426"/>
        <w:rPr>
          <w:rFonts w:hint="eastAsia" w:ascii="仿宋_GB2312" w:hAnsi="仿宋_GB2312" w:eastAsia="仿宋_GB2312" w:cs="仿宋_GB2312"/>
        </w:rPr>
      </w:pPr>
      <w:bookmarkStart w:id="4" w:name="_Toc413948005"/>
      <w:bookmarkStart w:id="5" w:name="_Toc296516184"/>
      <w:bookmarkStart w:id="6" w:name="_Toc270544309"/>
      <w:bookmarkStart w:id="7" w:name="_Toc3423"/>
      <w:r>
        <w:rPr>
          <w:rFonts w:hint="eastAsia" w:ascii="仿宋_GB2312" w:hAnsi="仿宋_GB2312" w:eastAsia="仿宋_GB2312" w:cs="仿宋_GB2312"/>
        </w:rPr>
        <w:t>概述</w:t>
      </w:r>
      <w:bookmarkEnd w:id="4"/>
      <w:bookmarkEnd w:id="5"/>
      <w:bookmarkEnd w:id="6"/>
      <w:bookmarkEnd w:id="7"/>
    </w:p>
    <w:p w14:paraId="0E5A6D6E">
      <w:pPr>
        <w:pStyle w:val="5"/>
        <w:numPr>
          <w:ilvl w:val="0"/>
          <w:numId w:val="4"/>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本文件适用于南方电网科学研究院有限责任公司（以下简称</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）用于</w:t>
      </w:r>
      <w:r>
        <w:rPr>
          <w:rFonts w:hint="eastAsia" w:ascii="仿宋_GB2312" w:eastAsia="仿宋_GB2312"/>
          <w:i w:val="0"/>
          <w:iCs w:val="0"/>
          <w:color w:val="000000" w:themeColor="text1"/>
          <w:sz w:val="28"/>
          <w:szCs w:val="28"/>
          <w:u w:val="single"/>
          <w14:textFill>
            <w14:solidFill>
              <w14:schemeClr w14:val="tx1"/>
            </w14:solidFill>
          </w14:textFill>
        </w:rPr>
        <w:t>南网科研院2026年</w:t>
      </w:r>
      <w:r>
        <w:rPr>
          <w:rFonts w:hint="eastAsia" w:ascii="仿宋_GB2312" w:eastAsia="仿宋_GB2312"/>
          <w:i w:val="0"/>
          <w:iCs w:val="0"/>
          <w:color w:val="000000" w:themeColor="text1"/>
          <w:sz w:val="28"/>
          <w:szCs w:val="28"/>
          <w:u w:val="single"/>
          <w:lang w:val="en-US" w:eastAsia="zh-CN"/>
          <w14:textFill>
            <w14:solidFill>
              <w14:schemeClr w14:val="tx1"/>
            </w14:solidFill>
          </w14:textFill>
        </w:rPr>
        <w:t>面向柔性算力网络的全局感知互联及资源动态调控关键技术研究</w:t>
      </w:r>
      <w:r>
        <w:rPr>
          <w:rFonts w:hint="eastAsia" w:ascii="仿宋_GB2312" w:hAnsi="仿宋_GB2312" w:eastAsia="仿宋_GB2312" w:cs="仿宋_GB2312"/>
          <w:color w:val="000000" w:themeColor="text1"/>
          <w:sz w:val="28"/>
          <w:szCs w:val="28"/>
          <w14:textFill>
            <w14:solidFill>
              <w14:schemeClr w14:val="tx1"/>
            </w14:solidFill>
          </w14:textFill>
        </w:rPr>
        <w:t>项目采</w:t>
      </w:r>
      <w:bookmarkStart w:id="83" w:name="_GoBack"/>
      <w:bookmarkEnd w:id="83"/>
      <w:r>
        <w:rPr>
          <w:rFonts w:hint="eastAsia" w:ascii="仿宋_GB2312" w:hAnsi="仿宋_GB2312" w:eastAsia="仿宋_GB2312" w:cs="仿宋_GB2312"/>
          <w:color w:val="000000" w:themeColor="text1"/>
          <w:sz w:val="28"/>
          <w:szCs w:val="28"/>
          <w14:textFill>
            <w14:solidFill>
              <w14:schemeClr w14:val="tx1"/>
            </w14:solidFill>
          </w14:textFill>
        </w:rPr>
        <w:t>购，本文件的最终解释权归南方电网科学研究院有限责任公司。</w:t>
      </w:r>
    </w:p>
    <w:p w14:paraId="60C9A968">
      <w:pPr>
        <w:pStyle w:val="5"/>
        <w:numPr>
          <w:ilvl w:val="0"/>
          <w:numId w:val="4"/>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可以就</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认为的遗漏项目</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提请招标人</w:t>
      </w:r>
      <w:r>
        <w:rPr>
          <w:rFonts w:hint="eastAsia" w:ascii="仿宋_GB2312" w:hAnsi="仿宋_GB2312" w:eastAsia="仿宋_GB2312" w:cs="仿宋_GB2312"/>
          <w:color w:val="000000" w:themeColor="text1"/>
          <w:sz w:val="28"/>
          <w:szCs w:val="28"/>
          <w14:textFill>
            <w14:solidFill>
              <w14:schemeClr w14:val="tx1"/>
            </w14:solidFill>
          </w14:textFill>
        </w:rPr>
        <w:t>注意，并详细说明理由。</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将就此进行澄清。</w:t>
      </w:r>
    </w:p>
    <w:p w14:paraId="09DD7ADA">
      <w:pPr>
        <w:pStyle w:val="5"/>
        <w:numPr>
          <w:ilvl w:val="0"/>
          <w:numId w:val="4"/>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应保证所提供的所有资料真实、完整、准确无误，否则采购人将有权取消</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的投标资格，由此产生的一切后果由</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承担。</w:t>
      </w:r>
    </w:p>
    <w:p w14:paraId="00FE1AE6">
      <w:pPr>
        <w:pStyle w:val="5"/>
        <w:numPr>
          <w:ilvl w:val="0"/>
          <w:numId w:val="4"/>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应按照本技术规范书的要求提供详细、完整的技术方案。所提供的技术方案应完全满足或高于本技术规范书的要求，对于本技术规范书中的条款，</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应提出补充要求或建议，并陈述其理由。</w:t>
      </w:r>
    </w:p>
    <w:p w14:paraId="3AFF46EF">
      <w:pPr>
        <w:pStyle w:val="3"/>
        <w:spacing w:before="0" w:after="0" w:line="360" w:lineRule="auto"/>
        <w:ind w:left="426"/>
        <w:rPr>
          <w:rFonts w:hint="eastAsia" w:ascii="仿宋_GB2312" w:hAnsi="仿宋_GB2312" w:eastAsia="仿宋_GB2312" w:cs="仿宋_GB2312"/>
          <w:color w:val="000000" w:themeColor="text1"/>
          <w14:textFill>
            <w14:solidFill>
              <w14:schemeClr w14:val="tx1"/>
            </w14:solidFill>
          </w14:textFill>
        </w:rPr>
      </w:pPr>
      <w:bookmarkStart w:id="8" w:name="_Toc296516185"/>
      <w:bookmarkStart w:id="9" w:name="_Toc14435"/>
      <w:bookmarkStart w:id="10" w:name="_Toc413948006"/>
      <w:bookmarkStart w:id="11" w:name="_Toc270544310"/>
      <w:r>
        <w:rPr>
          <w:rFonts w:hint="eastAsia" w:ascii="仿宋_GB2312" w:hAnsi="仿宋_GB2312" w:eastAsia="仿宋_GB2312" w:cs="仿宋_GB2312"/>
          <w:color w:val="000000" w:themeColor="text1"/>
          <w14:textFill>
            <w14:solidFill>
              <w14:schemeClr w14:val="tx1"/>
            </w14:solidFill>
          </w14:textFill>
        </w:rPr>
        <w:t>定义</w:t>
      </w:r>
      <w:bookmarkEnd w:id="8"/>
      <w:bookmarkEnd w:id="9"/>
      <w:bookmarkEnd w:id="10"/>
      <w:bookmarkEnd w:id="11"/>
    </w:p>
    <w:p w14:paraId="66385EB0">
      <w:pPr>
        <w:pStyle w:val="5"/>
        <w:numPr>
          <w:ilvl w:val="0"/>
          <w:numId w:val="5"/>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：南方电网科学研究院有限责任公司。</w:t>
      </w:r>
    </w:p>
    <w:p w14:paraId="02523DBB">
      <w:pPr>
        <w:pStyle w:val="5"/>
        <w:numPr>
          <w:ilvl w:val="0"/>
          <w:numId w:val="5"/>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：参加本次投标竞争，向采购人提交投标文件的供货商/服务商/承包商。</w:t>
      </w:r>
    </w:p>
    <w:p w14:paraId="5A5376A6">
      <w:pPr>
        <w:pStyle w:val="5"/>
        <w:numPr>
          <w:ilvl w:val="0"/>
          <w:numId w:val="5"/>
        </w:numPr>
        <w:spacing w:line="360" w:lineRule="auto"/>
        <w:ind w:left="0"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中标人：最终被授予合同的</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w:t>
      </w:r>
    </w:p>
    <w:p w14:paraId="1FD98AF4">
      <w:pPr>
        <w:pStyle w:val="3"/>
        <w:spacing w:before="0" w:after="0" w:line="360" w:lineRule="auto"/>
        <w:ind w:left="426"/>
        <w:rPr>
          <w:rFonts w:hint="eastAsia"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标准和规范</w:t>
      </w:r>
    </w:p>
    <w:p w14:paraId="2A391FD3">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本技术规范中涉及的所有规范、标准或材料规格均应为最新版本，即以采购人发出本方案之日作为采用最新版本的截止日期。若发现本技术规范书与所列标准之间有不一致之处，</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应向采购人指明，并由</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确定采用哪一个规范。</w:t>
      </w:r>
    </w:p>
    <w:p w14:paraId="28F5728E">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如果采用自己的标准或规范，必须向</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提供中文复印件并经招标方同意后方可采用，但不能低于GB、JB有关规定。</w:t>
      </w:r>
    </w:p>
    <w:p w14:paraId="69CAF1B5">
      <w:pPr>
        <w:pStyle w:val="3"/>
        <w:spacing w:before="0" w:after="0" w:line="360" w:lineRule="auto"/>
        <w:ind w:left="426"/>
        <w:rPr>
          <w:rFonts w:hint="eastAsia" w:ascii="仿宋_GB2312" w:hAnsi="仿宋_GB2312" w:eastAsia="仿宋_GB2312" w:cs="仿宋_GB2312"/>
          <w:color w:val="000000" w:themeColor="text1"/>
          <w14:textFill>
            <w14:solidFill>
              <w14:schemeClr w14:val="tx1"/>
            </w14:solidFill>
          </w14:textFill>
        </w:rPr>
      </w:pPr>
      <w:bookmarkStart w:id="12" w:name="_Toc285723380"/>
      <w:bookmarkStart w:id="13" w:name="_Toc413948008"/>
      <w:bookmarkStart w:id="14" w:name="_Toc288466921"/>
      <w:bookmarkStart w:id="15" w:name="_Toc286929894"/>
      <w:bookmarkStart w:id="16" w:name="_Toc105396785"/>
      <w:bookmarkStart w:id="17" w:name="_Toc24916"/>
      <w:bookmarkStart w:id="18" w:name="_Toc296516186"/>
      <w:bookmarkStart w:id="19" w:name="_Toc113682936"/>
      <w:bookmarkStart w:id="20" w:name="_Toc270544311"/>
      <w:r>
        <w:rPr>
          <w:rFonts w:hint="eastAsia" w:ascii="仿宋_GB2312" w:hAnsi="仿宋_GB2312" w:eastAsia="仿宋_GB2312" w:cs="仿宋_GB2312"/>
          <w:color w:val="000000" w:themeColor="text1"/>
          <w14:textFill>
            <w14:solidFill>
              <w14:schemeClr w14:val="tx1"/>
            </w14:solidFill>
          </w14:textFill>
        </w:rPr>
        <w:t>对投标技术文件的要</w:t>
      </w:r>
      <w:bookmarkEnd w:id="12"/>
      <w:r>
        <w:rPr>
          <w:rFonts w:hint="eastAsia" w:ascii="仿宋_GB2312" w:hAnsi="仿宋_GB2312" w:eastAsia="仿宋_GB2312" w:cs="仿宋_GB2312"/>
          <w:color w:val="000000" w:themeColor="text1"/>
          <w14:textFill>
            <w14:solidFill>
              <w14:schemeClr w14:val="tx1"/>
            </w14:solidFill>
          </w14:textFill>
        </w:rPr>
        <w:t>求</w:t>
      </w:r>
      <w:bookmarkEnd w:id="13"/>
      <w:bookmarkEnd w:id="14"/>
      <w:bookmarkEnd w:id="15"/>
      <w:bookmarkEnd w:id="16"/>
      <w:bookmarkEnd w:id="17"/>
      <w:bookmarkEnd w:id="18"/>
      <w:bookmarkEnd w:id="19"/>
    </w:p>
    <w:p w14:paraId="0D3D0C94">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投标技术文件必须包括但不限于以下内容：投标技术文件响应，技术差异表和技术方案。</w:t>
      </w:r>
    </w:p>
    <w:p w14:paraId="06B2CC77">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bookmarkStart w:id="21" w:name="_Toc413948009"/>
      <w:bookmarkStart w:id="22" w:name="_Toc19287"/>
      <w:r>
        <w:rPr>
          <w:rFonts w:hint="eastAsia" w:ascii="仿宋_GB2312" w:hAnsi="仿宋_GB2312" w:eastAsia="仿宋_GB2312" w:cs="仿宋_GB2312"/>
          <w:color w:val="000000" w:themeColor="text1"/>
          <w:sz w:val="28"/>
          <w:szCs w:val="28"/>
          <w14:textFill>
            <w14:solidFill>
              <w14:schemeClr w14:val="tx1"/>
            </w14:solidFill>
          </w14:textFill>
        </w:rPr>
        <w:t>1.4.1投标文件的响应</w:t>
      </w:r>
      <w:bookmarkEnd w:id="21"/>
      <w:bookmarkEnd w:id="22"/>
    </w:p>
    <w:p w14:paraId="02EF0092">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14:paraId="26BF136A">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bookmarkStart w:id="23" w:name="_Toc32716"/>
      <w:bookmarkStart w:id="24" w:name="_Toc413948010"/>
      <w:r>
        <w:rPr>
          <w:rFonts w:hint="eastAsia" w:ascii="仿宋_GB2312" w:hAnsi="仿宋_GB2312" w:eastAsia="仿宋_GB2312" w:cs="仿宋_GB2312"/>
          <w:color w:val="000000" w:themeColor="text1"/>
          <w:sz w:val="28"/>
          <w:szCs w:val="28"/>
          <w14:textFill>
            <w14:solidFill>
              <w14:schemeClr w14:val="tx1"/>
            </w14:solidFill>
          </w14:textFill>
        </w:rPr>
        <w:t>1.4.2技术差异表</w:t>
      </w:r>
      <w:bookmarkEnd w:id="23"/>
      <w:bookmarkEnd w:id="24"/>
    </w:p>
    <w:p w14:paraId="73821D95">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技术差异表见附件一。</w:t>
      </w:r>
    </w:p>
    <w:p w14:paraId="7BFAA5E8">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bookmarkStart w:id="25" w:name="_Toc413948011"/>
      <w:bookmarkStart w:id="26" w:name="_Toc12829"/>
      <w:r>
        <w:rPr>
          <w:rFonts w:hint="eastAsia" w:ascii="仿宋_GB2312" w:hAnsi="仿宋_GB2312" w:eastAsia="仿宋_GB2312" w:cs="仿宋_GB2312"/>
          <w:color w:val="000000" w:themeColor="text1"/>
          <w:sz w:val="28"/>
          <w:szCs w:val="28"/>
          <w14:textFill>
            <w14:solidFill>
              <w14:schemeClr w14:val="tx1"/>
            </w14:solidFill>
          </w14:textFill>
        </w:rPr>
        <w:t>1.4.3技术方案</w:t>
      </w:r>
      <w:bookmarkEnd w:id="25"/>
      <w:bookmarkEnd w:id="26"/>
    </w:p>
    <w:p w14:paraId="7A0284AA">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所提供的技术方案应按照以下的内容格式及编排顺序进行编制，但不限于以下内容。</w:t>
      </w:r>
    </w:p>
    <w:bookmarkEnd w:id="20"/>
    <w:p w14:paraId="023B89E9">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bookmarkStart w:id="27" w:name="_Toc296516188"/>
      <w:bookmarkStart w:id="28" w:name="_Toc270544312"/>
      <w:r>
        <w:rPr>
          <w:rFonts w:hint="eastAsia" w:ascii="仿宋_GB2312" w:hAnsi="仿宋_GB2312" w:eastAsia="仿宋_GB2312" w:cs="仿宋_GB2312"/>
          <w:color w:val="000000" w:themeColor="text1"/>
          <w:sz w:val="28"/>
          <w:szCs w:val="28"/>
          <w14:textFill>
            <w14:solidFill>
              <w14:schemeClr w14:val="tx1"/>
            </w14:solidFill>
          </w14:textFill>
        </w:rPr>
        <w:t>1.4.3.1概述</w:t>
      </w:r>
    </w:p>
    <w:p w14:paraId="7C47EBD2">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1.4.3.2研究内容和技术路线</w:t>
      </w:r>
    </w:p>
    <w:p w14:paraId="010415A4">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1.4.3.2.1研究内容：根据提出的研究任务，详细列出具体研究内容，说明各内容间的相互关系。</w:t>
      </w:r>
    </w:p>
    <w:p w14:paraId="127EFF78">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1.4.3.2.2技术路线：提出进行研究所采用的技术路线及依据。</w:t>
      </w:r>
    </w:p>
    <w:p w14:paraId="26557CA5">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1.4.3.3预期目标与成果形式</w:t>
      </w:r>
    </w:p>
    <w:p w14:paraId="1929DEFD">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提出项目研究将达成的目标，以及最终提供的成果形式，且内容应响应下文“2.3 研究成果/交付物的技术指标要求”。</w:t>
      </w:r>
    </w:p>
    <w:p w14:paraId="16C72E99">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1.4.3.4项目的进度安排</w:t>
      </w:r>
    </w:p>
    <w:p w14:paraId="7D168ED6">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提交详细的项目进度计划，明确里程碑，且内容应响应下文“3.2研究进度计划的编制及分段考核”。</w:t>
      </w:r>
    </w:p>
    <w:p w14:paraId="6F2B35E2">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1.4.3.5技术服务承诺</w:t>
      </w:r>
    </w:p>
    <w:p w14:paraId="3E74362D">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为本项目所提供的服务的内容、服务方式和服务承诺（含售后服务）。</w:t>
      </w:r>
    </w:p>
    <w:p w14:paraId="75B180DA">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1.4.3.6项目管理方案</w:t>
      </w:r>
    </w:p>
    <w:p w14:paraId="4A1AFF27">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项目组织。提供本项目组织详细资料，提供该项目人员构成及名单。</w:t>
      </w:r>
    </w:p>
    <w:p w14:paraId="73DC94A7">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1.4.3.7附录</w:t>
      </w:r>
    </w:p>
    <w:p w14:paraId="0F277D11">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1.4.3.7.1风险与对策：若</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认为实现本文件的相关内容存在技术类或其它类风险，请详细说明，并提供相应的对策。</w:t>
      </w:r>
    </w:p>
    <w:p w14:paraId="6246D08B">
      <w:pPr>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1.4.3.7.2</w:t>
      </w:r>
      <w:r>
        <w:rPr>
          <w:rFonts w:hint="eastAsia" w:ascii="仿宋_GB2312" w:hAnsi="仿宋_GB2312" w:eastAsia="仿宋_GB2312" w:cs="仿宋_GB2312"/>
          <w:color w:val="000000" w:themeColor="text1"/>
          <w:sz w:val="28"/>
          <w:szCs w:val="28"/>
          <w:lang w:eastAsia="zh-CN"/>
          <w14:textFill>
            <w14:solidFill>
              <w14:schemeClr w14:val="tx1"/>
            </w14:solidFill>
          </w14:textFill>
        </w:rPr>
        <w:t>投标人</w:t>
      </w:r>
      <w:r>
        <w:rPr>
          <w:rFonts w:hint="eastAsia" w:ascii="仿宋_GB2312" w:hAnsi="仿宋_GB2312" w:eastAsia="仿宋_GB2312" w:cs="仿宋_GB2312"/>
          <w:color w:val="000000" w:themeColor="text1"/>
          <w:sz w:val="28"/>
          <w:szCs w:val="28"/>
          <w14:textFill>
            <w14:solidFill>
              <w14:schemeClr w14:val="tx1"/>
            </w14:solidFill>
          </w14:textFill>
        </w:rPr>
        <w:t>认为需要为本项目提供的其它任何的资料信息。</w:t>
      </w:r>
    </w:p>
    <w:bookmarkEnd w:id="27"/>
    <w:bookmarkEnd w:id="28"/>
    <w:p w14:paraId="0950320B">
      <w:pPr>
        <w:pStyle w:val="2"/>
        <w:spacing w:before="0" w:after="0" w:line="360" w:lineRule="auto"/>
        <w:rPr>
          <w:rFonts w:hint="eastAsia" w:ascii="仿宋_GB2312" w:hAnsi="仿宋_GB2312" w:eastAsia="仿宋_GB2312" w:cs="仿宋_GB2312"/>
        </w:rPr>
      </w:pPr>
      <w:bookmarkStart w:id="29" w:name="_Toc30347"/>
      <w:bookmarkStart w:id="30" w:name="_Toc413948012"/>
      <w:r>
        <w:rPr>
          <w:rFonts w:hint="eastAsia" w:ascii="仿宋_GB2312" w:hAnsi="仿宋_GB2312" w:eastAsia="仿宋_GB2312" w:cs="仿宋_GB2312"/>
        </w:rPr>
        <w:t>总体描述</w:t>
      </w:r>
      <w:bookmarkEnd w:id="29"/>
      <w:bookmarkEnd w:id="30"/>
    </w:p>
    <w:p w14:paraId="5BABB0EC">
      <w:pPr>
        <w:pStyle w:val="3"/>
        <w:numPr>
          <w:ilvl w:val="0"/>
          <w:numId w:val="0"/>
        </w:numPr>
        <w:spacing w:before="0" w:after="0" w:line="360" w:lineRule="auto"/>
        <w:rPr>
          <w:rFonts w:hint="eastAsia" w:ascii="仿宋_GB2312" w:hAnsi="仿宋_GB2312" w:eastAsia="仿宋_GB2312" w:cs="仿宋_GB2312"/>
        </w:rPr>
      </w:pPr>
      <w:bookmarkStart w:id="31" w:name="_Toc413948013"/>
      <w:bookmarkStart w:id="32" w:name="_Toc30671"/>
      <w:r>
        <w:rPr>
          <w:rFonts w:hint="eastAsia" w:ascii="仿宋_GB2312" w:hAnsi="仿宋_GB2312" w:eastAsia="仿宋_GB2312" w:cs="仿宋_GB2312"/>
        </w:rPr>
        <w:t>2.1 项目背景</w:t>
      </w:r>
      <w:bookmarkEnd w:id="31"/>
      <w:bookmarkEnd w:id="32"/>
    </w:p>
    <w:p w14:paraId="42A6F4AD">
      <w:pPr>
        <w:spacing w:line="360" w:lineRule="auto"/>
        <w:ind w:firstLine="560" w:firstLineChars="200"/>
        <w:rPr>
          <w:rFonts w:hint="eastAsia" w:ascii="仿宋_GB2312" w:hAnsi="仿宋_GB2312" w:eastAsia="仿宋_GB2312" w:cs="仿宋_GB2312"/>
          <w:color w:val="auto"/>
          <w:sz w:val="28"/>
          <w:szCs w:val="28"/>
          <w:highlight w:val="none"/>
        </w:rPr>
      </w:pPr>
      <w:bookmarkStart w:id="33" w:name="_Toc9801"/>
      <w:bookmarkStart w:id="34" w:name="_Toc413948014"/>
      <w:r>
        <w:rPr>
          <w:rFonts w:hint="eastAsia" w:ascii="仿宋_GB2312" w:hAnsi="仿宋_GB2312" w:eastAsia="仿宋_GB2312" w:cs="仿宋_GB2312"/>
          <w:color w:val="auto"/>
          <w:sz w:val="28"/>
          <w:szCs w:val="28"/>
          <w:highlight w:val="none"/>
          <w:lang w:val="en-US" w:eastAsia="zh-CN"/>
        </w:rPr>
        <w:t>为解决当前算力网络资源孤岛化、跨节点传输时延高、调度策略僵化等问题。本项目拟开展柔性组网、算网全局状态感知与多约束动态资源调控关键技术研究，突破算网分立、静态配置的传统瓶颈，构建精细化算网融合全局动态调控体系，支撑新一代高效可靠算力网络建设。</w:t>
      </w:r>
    </w:p>
    <w:p w14:paraId="6604E838">
      <w:pPr>
        <w:spacing w:line="360" w:lineRule="auto"/>
        <w:ind w:firstLine="560" w:firstLineChars="200"/>
        <w:rPr>
          <w:rFonts w:hint="eastAsia" w:ascii="仿宋_GB2312" w:hAnsi="仿宋_GB2312" w:eastAsia="仿宋_GB2312" w:cs="仿宋_GB2312"/>
          <w:color w:val="auto"/>
          <w:sz w:val="28"/>
          <w:szCs w:val="28"/>
          <w:highlight w:val="yellow"/>
        </w:rPr>
      </w:pPr>
    </w:p>
    <w:p w14:paraId="6CD5E703">
      <w:pPr>
        <w:pStyle w:val="3"/>
        <w:numPr>
          <w:ilvl w:val="0"/>
          <w:numId w:val="0"/>
        </w:numPr>
        <w:spacing w:before="0" w:after="0" w:line="360" w:lineRule="auto"/>
        <w:rPr>
          <w:rFonts w:hint="eastAsia" w:ascii="仿宋_GB2312" w:hAnsi="仿宋_GB2312" w:eastAsia="仿宋_GB2312" w:cs="仿宋_GB2312"/>
        </w:rPr>
      </w:pPr>
      <w:r>
        <w:rPr>
          <w:rFonts w:hint="eastAsia" w:ascii="仿宋_GB2312" w:hAnsi="仿宋_GB2312" w:eastAsia="仿宋_GB2312" w:cs="仿宋_GB2312"/>
        </w:rPr>
        <w:t>2.2 项目采购范围</w:t>
      </w:r>
      <w:bookmarkEnd w:id="33"/>
      <w:bookmarkEnd w:id="34"/>
    </w:p>
    <w:bookmarkEnd w:id="3"/>
    <w:p w14:paraId="3A48D5C7">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bookmarkStart w:id="35" w:name="_Toc197719624"/>
      <w:bookmarkStart w:id="36" w:name="_Toc198288469"/>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任务1：面向全局感知互联的柔性算力网络架构研究</w:t>
      </w:r>
    </w:p>
    <w:p w14:paraId="3C8621D6">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研究高性能、低时延的数据中心内部网络架构与拓扑优化技术；探索基于软件定义网络的算力节点网络资源动态切片与逻辑隔离机制；设计跨越多个计算节点的全局流量智能管控与自适应路由策略；构建算力任务需求与网络实时状态双向驱动的智能寻址模型，提升数据中心算力网络的数据交互与流通效率。</w:t>
      </w:r>
    </w:p>
    <w:p w14:paraId="55F1B01B">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任务2：算力负载特征建模与网络资源可迁移性评估研究</w:t>
      </w:r>
    </w:p>
    <w:p w14:paraId="44EEE53E">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bookmarkStart w:id="37" w:name="_Toc24847"/>
      <w:bookmarkStart w:id="38" w:name="_Toc413948007"/>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重点分析数据中心工作负载的时间调度、空间分布及跨节点调用的核心灵活性；开展数据中心全流程算力资源占用建模技术研究，构建适配多类型计算任务的负载特征模型；探究基于智能算法的算力任务计算与网络资源消耗建模方法，精准刻画任务级负载特征；结合算力负载的时空可迁移特性，深度分析网络带宽的承载与数据流迁移能力，建立科学合理的网络级算力迁移量化评估体系。</w:t>
      </w:r>
    </w:p>
    <w:p w14:paraId="496C3FDC">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任务3：面向多重约束的柔性算力网络资源协同优化技术研究</w:t>
      </w:r>
    </w:p>
    <w:p w14:paraId="4473D51E">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 xml:space="preserve">基于算力负载迁移量化评估模型，结合数据中心网络拓扑特性、设备高并发规律及通信传输要求，构建算力网络资源联合优化调控模型；明确任务完成质量、网络时延最小化及系统高吞吐量等核心优化目标，设定算力节点与网络链路的关联约束条件，通过科学规划方法刻画算力需求与网络传输能力的匹配关系；划分任务优先级并核算网络资源迁移成本，借助智能算法制定高效的柔性资源动态调控方案。    </w:t>
      </w: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ab/>
      </w: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 xml:space="preserve"> 任务4：柔性算力网络的韧性增强与智能防护技术研究</w:t>
      </w:r>
    </w:p>
    <w:p w14:paraId="52A95D35">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综合考虑数据中心内部节点拥塞故障、外部网络异常攻击、突发海量计算请求等复杂运行场景，探究柔性算力网络鲁棒性保障与动态优化的核心技术；研究基于全局网络监测数据的计算节点与链路可用性预测方法，提升集群运行可靠性；研发基于智能分析的自动告警与防护平台，整合多维网络运行数据，挖掘流量异常与资源瓶颈，实现网络拥塞事件的实时感知、精准分析与快速调优，缩短响应时间，降低算力中断风险。</w:t>
      </w:r>
    </w:p>
    <w:p w14:paraId="3D65AC94">
      <w:p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任务5：柔性算力网络全局感知与资源动态调控模型研究</w:t>
      </w:r>
    </w:p>
    <w:p w14:paraId="51A9EAD3">
      <w:pPr>
        <w:pStyle w:val="8"/>
        <w:spacing w:line="360" w:lineRule="auto"/>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本课题旨在为柔性算力网络全局监测与动态调控系统研发其核心的智能决策模型。研究多源复杂监控数据融合与全局状态感知技术，实现对跨节点算力负载、网络拓扑状态及通信流量信息的统一接入、实时汇聚与关联分析。构建算力与网络深度耦合的动态系统建模与态势推演方法，精准刻画计算任务执行、网络路由分发与集群整体负载之间的相互影响与演化规律。设计面向多目标（高吞吐、低延迟、高可靠）与强约束（网络带宽上限、节点算力极值、任务SLA要求）的实时优化求解算法，实现资源动态调控策略的快速生成与秒级下发。</w:t>
      </w:r>
    </w:p>
    <w:p w14:paraId="5E3D980A">
      <w:pPr>
        <w:pStyle w:val="3"/>
        <w:numPr>
          <w:ilvl w:val="0"/>
          <w:numId w:val="0"/>
        </w:numPr>
        <w:spacing w:before="0" w:after="0" w:line="360" w:lineRule="auto"/>
        <w:rPr>
          <w:rFonts w:hint="eastAsia" w:ascii="仿宋_GB2312" w:hAnsi="仿宋_GB2312" w:eastAsia="仿宋_GB2312" w:cs="仿宋_GB2312"/>
        </w:rPr>
      </w:pPr>
      <w:r>
        <w:rPr>
          <w:rFonts w:hint="eastAsia" w:ascii="仿宋_GB2312" w:hAnsi="仿宋_GB2312" w:eastAsia="仿宋_GB2312" w:cs="仿宋_GB2312"/>
        </w:rPr>
        <w:t>2.3 项目研究成果/交付物的技术指标要求</w:t>
      </w:r>
      <w:bookmarkEnd w:id="37"/>
      <w:bookmarkEnd w:id="38"/>
    </w:p>
    <w:p w14:paraId="728DD3AB">
      <w:pPr>
        <w:pStyle w:val="4"/>
        <w:numPr>
          <w:ilvl w:val="0"/>
          <w:numId w:val="0"/>
        </w:numPr>
        <w:spacing w:before="0" w:after="0" w:line="360" w:lineRule="auto"/>
        <w:ind w:firstLine="560" w:firstLineChars="200"/>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2.3.1交付成果</w:t>
      </w:r>
    </w:p>
    <w:p w14:paraId="28EB92C8">
      <w:pPr>
        <w:numPr>
          <w:ilvl w:val="0"/>
          <w:numId w:val="6"/>
        </w:numPr>
        <w:spacing w:line="360" w:lineRule="auto"/>
        <w:ind w:firstLine="562" w:firstLineChars="200"/>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研究报告</w:t>
      </w:r>
    </w:p>
    <w:p w14:paraId="3CD7DF1B">
      <w:pPr>
        <w:numPr>
          <w:ilvl w:val="0"/>
          <w:numId w:val="0"/>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1）面向柔性算力网络的全局感知互联及资源动态调控关键技术研究报告1份，内容应包括：面向全局感知互联的柔性算力网络架构研究、算力负载特征建模与网络资源可迁移性评估研究、面向多重约束的柔性算力网络资源协同优化技术研究、柔性算力网络的韧性增强与智能防护技术研究、柔性算力网络全局感知与资源动态调控模型研究。</w:t>
      </w:r>
    </w:p>
    <w:p w14:paraId="3E9E0073">
      <w:pPr>
        <w:spacing w:line="360" w:lineRule="auto"/>
        <w:ind w:firstLine="562" w:firstLineChars="200"/>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（2）论文/专利/软著/标准</w:t>
      </w:r>
    </w:p>
    <w:p w14:paraId="50CAF27D">
      <w:pPr>
        <w:spacing w:line="360" w:lineRule="auto"/>
        <w:ind w:firstLine="560" w:firstLineChars="200"/>
        <w:jc w:val="left"/>
        <w:rPr>
          <w:rFonts w:hint="default"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1）提交3篇论文底稿，论文等级为SCI/科技核心期刊。其中要求1篇为SCI期刊，2篇为科技核心期刊。</w:t>
      </w:r>
    </w:p>
    <w:p w14:paraId="70C35BF0">
      <w:pPr>
        <w:spacing w:line="360" w:lineRule="auto"/>
        <w:ind w:firstLine="560" w:firstLineChars="200"/>
        <w:jc w:val="left"/>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2）提交3项发明专利底稿。</w:t>
      </w:r>
    </w:p>
    <w:p w14:paraId="6F106DB3">
      <w:pPr>
        <w:spacing w:line="360" w:lineRule="auto"/>
        <w:ind w:firstLine="562" w:firstLineChars="200"/>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w:t>
      </w:r>
      <w:r>
        <w:rPr>
          <w:rFonts w:hint="eastAsia" w:ascii="仿宋_GB2312" w:hAnsi="仿宋_GB2312" w:eastAsia="仿宋_GB2312" w:cs="仿宋_GB2312"/>
          <w:b/>
          <w:sz w:val="28"/>
          <w:szCs w:val="28"/>
          <w:lang w:val="en-US" w:eastAsia="zh-CN"/>
        </w:rPr>
        <w:t>3</w:t>
      </w:r>
      <w:r>
        <w:rPr>
          <w:rFonts w:hint="eastAsia" w:ascii="仿宋_GB2312" w:hAnsi="仿宋_GB2312" w:eastAsia="仿宋_GB2312" w:cs="仿宋_GB2312"/>
          <w:b/>
          <w:sz w:val="28"/>
          <w:szCs w:val="28"/>
        </w:rPr>
        <w:t>）测试报告</w:t>
      </w:r>
    </w:p>
    <w:p w14:paraId="51CC5363">
      <w:pPr>
        <w:spacing w:line="360" w:lineRule="auto"/>
        <w:ind w:firstLine="560" w:firstLineChars="200"/>
        <w:rPr>
          <w:rFonts w:hint="eastAsia" w:ascii="仿宋_GB2312" w:hAnsi="仿宋_GB2312" w:eastAsia="仿宋_GB2312" w:cs="仿宋_GB2312"/>
          <w:color w:val="auto"/>
          <w:sz w:val="28"/>
          <w:szCs w:val="28"/>
          <w:highlight w:val="yellow"/>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000000"/>
          <w:sz w:val="28"/>
          <w:szCs w:val="28"/>
          <w:highlight w:val="none"/>
          <w:lang w:val="en-US" w:eastAsia="zh-CN"/>
        </w:rPr>
        <w:t>出具满足“2.3.2指标要求”的第三方测试报告。</w:t>
      </w:r>
    </w:p>
    <w:p w14:paraId="5DA4BE04">
      <w:pPr>
        <w:spacing w:line="360" w:lineRule="auto"/>
        <w:ind w:firstLine="562" w:firstLineChars="200"/>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w:t>
      </w:r>
      <w:r>
        <w:rPr>
          <w:rFonts w:hint="eastAsia" w:ascii="仿宋_GB2312" w:hAnsi="仿宋_GB2312" w:eastAsia="仿宋_GB2312" w:cs="仿宋_GB2312"/>
          <w:b/>
          <w:sz w:val="28"/>
          <w:szCs w:val="28"/>
          <w:lang w:val="en-US" w:eastAsia="zh-CN"/>
        </w:rPr>
        <w:t>4</w:t>
      </w:r>
      <w:r>
        <w:rPr>
          <w:rFonts w:hint="eastAsia" w:ascii="仿宋_GB2312" w:hAnsi="仿宋_GB2312" w:eastAsia="仿宋_GB2312" w:cs="仿宋_GB2312"/>
          <w:b/>
          <w:sz w:val="28"/>
          <w:szCs w:val="28"/>
        </w:rPr>
        <w:t>）其它</w:t>
      </w:r>
    </w:p>
    <w:p w14:paraId="35DFB385">
      <w:pPr>
        <w:spacing w:line="360" w:lineRule="auto"/>
        <w:ind w:firstLine="560" w:firstLineChars="200"/>
        <w:jc w:val="left"/>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1）提交柔性算力网络全局感知与资源动态调控模型1套，须提供软件全套源代码和部署包。</w:t>
      </w:r>
    </w:p>
    <w:p w14:paraId="1B05D378">
      <w:pPr>
        <w:pStyle w:val="4"/>
        <w:numPr>
          <w:ilvl w:val="0"/>
          <w:numId w:val="0"/>
        </w:numPr>
        <w:spacing w:before="0" w:after="0" w:line="360" w:lineRule="auto"/>
        <w:ind w:firstLine="560" w:firstLineChars="200"/>
        <w:rPr>
          <w:rFonts w:hint="eastAsia" w:ascii="仿宋_GB2312" w:hAnsi="仿宋_GB2312" w:eastAsia="仿宋_GB2312" w:cs="仿宋_GB2312"/>
          <w:b w:val="0"/>
          <w:sz w:val="28"/>
          <w:szCs w:val="28"/>
        </w:rPr>
      </w:pPr>
      <w:r>
        <w:rPr>
          <w:rFonts w:hint="eastAsia" w:ascii="仿宋_GB2312" w:hAnsi="仿宋_GB2312" w:eastAsia="仿宋_GB2312" w:cs="仿宋_GB2312"/>
          <w:b w:val="0"/>
          <w:sz w:val="28"/>
          <w:szCs w:val="28"/>
        </w:rPr>
        <w:t>2.3.2指标要求</w:t>
      </w:r>
    </w:p>
    <w:p w14:paraId="373549CA">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系统容错与业务维持率:保证数据中心柔性算力网络基本业务连续性的最大允许非正常工作节点比例达到20%。</w:t>
      </w:r>
    </w:p>
    <w:p w14:paraId="5039482A">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default"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多类算力业务负载特征画像泛化能力</w:t>
      </w: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：针对不同类型数据中心算力业务构建的计算与网络资源消耗特征量化模型，所能兼容适配的任务场景数量达到5。</w:t>
      </w:r>
    </w:p>
    <w:p w14:paraId="7DB70655">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算网资源动态调控性能增益：在实验室仿真验证场景下，算力负载全局动态路由与调控前后，算力网络整体资源利用率的提升占比差值变化</w:t>
      </w:r>
      <m:oMath>
        <m:r>
          <m:rPr>
            <m:sty m:val="p"/>
          </m:rPr>
          <w:rPr>
            <w:rFonts w:hint="eastAsia" w:ascii="Cambria Math" w:hAnsi="Cambria Math" w:eastAsia="仿宋_GB2312" w:cs="仿宋_GB2312"/>
            <w:color w:val="000000" w:themeColor="text1"/>
            <w:kern w:val="2"/>
            <w:sz w:val="28"/>
            <w:szCs w:val="28"/>
            <w:highlight w:val="none"/>
            <w:u w:val="none"/>
            <w:lang w:val="en-US" w:eastAsia="zh-CN" w:bidi="ar-SA"/>
            <w14:textFill>
              <w14:solidFill>
                <w14:schemeClr w14:val="tx1"/>
              </w14:solidFill>
            </w14:textFill>
          </w:rPr>
          <m:t>≥</m:t>
        </m:r>
      </m:oMath>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10%。</w:t>
      </w:r>
    </w:p>
    <w:p w14:paraId="284F16A1">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全局感知与动态调控引擎并发纳管规模：柔性算力网络全局感知与资源动态调控模型运行时，能够稳定承载与纳管的实时并发算力资源节点数量</w:t>
      </w:r>
      <m:oMath>
        <m:r>
          <m:rPr>
            <m:sty m:val="p"/>
          </m:rPr>
          <w:rPr>
            <w:rFonts w:hint="eastAsia" w:ascii="Cambria Math" w:hAnsi="Cambria Math" w:eastAsia="仿宋_GB2312" w:cs="仿宋_GB2312"/>
            <w:color w:val="000000" w:themeColor="text1"/>
            <w:kern w:val="2"/>
            <w:sz w:val="28"/>
            <w:szCs w:val="28"/>
            <w:highlight w:val="none"/>
            <w:u w:val="none"/>
            <w:lang w:val="en-US" w:eastAsia="zh-CN" w:bidi="ar-SA"/>
            <w14:textFill>
              <w14:solidFill>
                <w14:schemeClr w14:val="tx1"/>
              </w14:solidFill>
            </w14:textFill>
          </w:rPr>
          <m:t>≥</m:t>
        </m:r>
      </m:oMath>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500。</w:t>
      </w:r>
    </w:p>
    <w:p w14:paraId="0E08A37F">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算网智能全局感知典型应用场景：算网智能全局感知典型应用场景数量达到1。</w:t>
      </w:r>
    </w:p>
    <w:p w14:paraId="092BE5F2">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实时感知的集中式数据中心数量：实时感知的集中式数据中心数量达到1。</w:t>
      </w:r>
    </w:p>
    <w:p w14:paraId="6E74F818">
      <w:pPr>
        <w:numPr>
          <w:ilvl w:val="0"/>
          <w:numId w:val="7"/>
        </w:numPr>
        <w:spacing w:line="360" w:lineRule="auto"/>
        <w:ind w:firstLine="560" w:firstLineChars="200"/>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i w:val="0"/>
          <w:iCs/>
          <w:color w:val="000000" w:themeColor="text1"/>
          <w:kern w:val="2"/>
          <w:sz w:val="28"/>
          <w:szCs w:val="28"/>
          <w:highlight w:val="none"/>
          <w:u w:val="none"/>
          <w:lang w:val="en-US" w:eastAsia="zh-CN" w:bidi="ar-SA"/>
          <w14:textFill>
            <w14:solidFill>
              <w14:schemeClr w14:val="tx1"/>
            </w14:solidFill>
          </w14:textFill>
        </w:rPr>
        <w:t>全局调控策略生成性能：全局动态策略的生成响应时间。达到≤300ms。</w:t>
      </w:r>
    </w:p>
    <w:p w14:paraId="4F1BD0EB">
      <w:pPr>
        <w:pStyle w:val="2"/>
        <w:spacing w:before="0" w:after="0" w:line="560" w:lineRule="exact"/>
        <w:rPr>
          <w:rFonts w:hint="eastAsia" w:ascii="仿宋_GB2312" w:hAnsi="仿宋_GB2312" w:eastAsia="仿宋_GB2312" w:cs="仿宋_GB2312"/>
        </w:rPr>
      </w:pPr>
      <w:bookmarkStart w:id="39" w:name="_Toc27199"/>
      <w:bookmarkStart w:id="40" w:name="_Toc293308322"/>
      <w:bookmarkStart w:id="41" w:name="_Toc296516208"/>
      <w:bookmarkStart w:id="42" w:name="_Toc413948015"/>
      <w:bookmarkStart w:id="43" w:name="_Toc198702472"/>
      <w:r>
        <w:rPr>
          <w:rFonts w:hint="eastAsia" w:ascii="仿宋_GB2312" w:hAnsi="仿宋_GB2312" w:eastAsia="仿宋_GB2312" w:cs="仿宋_GB2312"/>
        </w:rPr>
        <w:t>项目实施要求</w:t>
      </w:r>
      <w:bookmarkEnd w:id="39"/>
      <w:bookmarkEnd w:id="40"/>
      <w:bookmarkEnd w:id="41"/>
      <w:bookmarkEnd w:id="42"/>
      <w:bookmarkEnd w:id="43"/>
      <w:bookmarkStart w:id="44" w:name="_Toc296524384"/>
      <w:bookmarkEnd w:id="44"/>
      <w:bookmarkStart w:id="45" w:name="_Toc297161656"/>
      <w:bookmarkEnd w:id="45"/>
      <w:bookmarkStart w:id="46" w:name="_Toc297161654"/>
      <w:bookmarkEnd w:id="46"/>
      <w:bookmarkStart w:id="47" w:name="_Toc296524383"/>
      <w:bookmarkEnd w:id="47"/>
      <w:bookmarkStart w:id="48" w:name="_Toc297161655"/>
      <w:bookmarkEnd w:id="48"/>
      <w:bookmarkStart w:id="49" w:name="_Toc296516210"/>
      <w:bookmarkEnd w:id="49"/>
      <w:bookmarkStart w:id="50" w:name="_Toc296524386"/>
      <w:bookmarkEnd w:id="50"/>
      <w:bookmarkStart w:id="51" w:name="_Toc296516209"/>
      <w:bookmarkEnd w:id="51"/>
      <w:bookmarkStart w:id="52" w:name="_Toc296516016"/>
      <w:bookmarkEnd w:id="52"/>
      <w:bookmarkStart w:id="53" w:name="_Toc296516015"/>
      <w:bookmarkEnd w:id="53"/>
      <w:bookmarkStart w:id="54" w:name="_Toc296516014"/>
      <w:bookmarkEnd w:id="54"/>
      <w:bookmarkStart w:id="55" w:name="_Toc297161657"/>
      <w:bookmarkEnd w:id="55"/>
      <w:bookmarkStart w:id="56" w:name="_Toc295228683"/>
      <w:bookmarkEnd w:id="56"/>
      <w:bookmarkStart w:id="57" w:name="_Toc296524385"/>
      <w:bookmarkEnd w:id="57"/>
      <w:bookmarkStart w:id="58" w:name="_Toc296516017"/>
      <w:bookmarkEnd w:id="58"/>
      <w:bookmarkStart w:id="59" w:name="_Toc297161653"/>
      <w:bookmarkEnd w:id="59"/>
      <w:bookmarkStart w:id="60" w:name="_Toc296516213"/>
      <w:bookmarkEnd w:id="60"/>
      <w:bookmarkStart w:id="61" w:name="_Toc296524382"/>
      <w:bookmarkEnd w:id="61"/>
      <w:bookmarkStart w:id="62" w:name="_Toc295225248"/>
      <w:bookmarkEnd w:id="62"/>
      <w:bookmarkStart w:id="63" w:name="_Toc296516018"/>
      <w:bookmarkEnd w:id="63"/>
      <w:bookmarkStart w:id="64" w:name="_Toc296516212"/>
      <w:bookmarkEnd w:id="64"/>
      <w:bookmarkStart w:id="65" w:name="_Toc296516211"/>
      <w:bookmarkEnd w:id="65"/>
      <w:bookmarkStart w:id="66" w:name="_Toc293308323"/>
      <w:bookmarkStart w:id="67" w:name="_Toc198702473"/>
    </w:p>
    <w:bookmarkEnd w:id="66"/>
    <w:bookmarkEnd w:id="67"/>
    <w:p w14:paraId="272DAD4B">
      <w:pPr>
        <w:pStyle w:val="3"/>
        <w:numPr>
          <w:ilvl w:val="0"/>
          <w:numId w:val="0"/>
        </w:numPr>
        <w:spacing w:before="0" w:after="0" w:line="560" w:lineRule="exact"/>
        <w:ind w:firstLine="281" w:firstLineChars="100"/>
        <w:rPr>
          <w:rFonts w:hint="eastAsia" w:ascii="仿宋_GB2312" w:hAnsi="仿宋_GB2312" w:eastAsia="仿宋_GB2312" w:cs="仿宋_GB2312"/>
        </w:rPr>
      </w:pPr>
      <w:bookmarkStart w:id="68" w:name="_Toc168479656"/>
      <w:bookmarkEnd w:id="68"/>
      <w:bookmarkStart w:id="69" w:name="_Toc413948016"/>
      <w:bookmarkStart w:id="70" w:name="_Toc15773"/>
      <w:r>
        <w:rPr>
          <w:rFonts w:hint="eastAsia" w:ascii="仿宋_GB2312" w:hAnsi="仿宋_GB2312" w:eastAsia="仿宋_GB2312" w:cs="仿宋_GB2312"/>
        </w:rPr>
        <w:t>3.1中标人的一般责任</w:t>
      </w:r>
      <w:bookmarkEnd w:id="69"/>
      <w:bookmarkEnd w:id="70"/>
    </w:p>
    <w:p w14:paraId="69FC15BB">
      <w:pPr>
        <w:pStyle w:val="5"/>
        <w:numPr>
          <w:ilvl w:val="0"/>
          <w:numId w:val="8"/>
        </w:numPr>
        <w:spacing w:line="560" w:lineRule="exact"/>
        <w:ind w:left="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中标人应</w:t>
      </w:r>
      <w:r>
        <w:rPr>
          <w:rFonts w:hint="eastAsia" w:ascii="仿宋_GB2312" w:hAnsi="仿宋_GB2312" w:eastAsia="仿宋_GB2312" w:cs="仿宋_GB2312"/>
          <w:color w:val="000000" w:themeColor="text1"/>
          <w:sz w:val="28"/>
          <w:szCs w:val="28"/>
          <w14:textFill>
            <w14:solidFill>
              <w14:schemeClr w14:val="tx1"/>
            </w14:solidFill>
          </w14:textFill>
        </w:rPr>
        <w:t>根据</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的</w:t>
      </w:r>
      <w:r>
        <w:rPr>
          <w:rFonts w:hint="eastAsia" w:ascii="仿宋_GB2312" w:hAnsi="仿宋_GB2312" w:eastAsia="仿宋_GB2312" w:cs="仿宋_GB2312"/>
          <w:sz w:val="28"/>
          <w:szCs w:val="28"/>
        </w:rPr>
        <w:t>要求及安排，根据需要派遣相关人员至地点</w:t>
      </w:r>
      <w:r>
        <w:rPr>
          <w:rFonts w:hint="eastAsia" w:ascii="仿宋" w:hAnsi="仿宋" w:eastAsia="仿宋"/>
          <w:color w:val="000000"/>
          <w:sz w:val="28"/>
          <w:szCs w:val="28"/>
          <w:highlight w:val="none"/>
          <w:u w:val="single"/>
        </w:rPr>
        <w:t>广州</w:t>
      </w:r>
      <w:r>
        <w:rPr>
          <w:rFonts w:hint="eastAsia" w:ascii="仿宋" w:hAnsi="仿宋" w:eastAsia="仿宋"/>
          <w:color w:val="000000"/>
          <w:sz w:val="28"/>
          <w:szCs w:val="28"/>
          <w:highlight w:val="none"/>
          <w:u w:val="single"/>
          <w:lang w:val="en-US" w:eastAsia="zh-CN"/>
        </w:rPr>
        <w:t>或甲方指定地点</w:t>
      </w:r>
      <w:r>
        <w:rPr>
          <w:rFonts w:hint="eastAsia" w:ascii="仿宋_GB2312" w:hAnsi="仿宋_GB2312" w:eastAsia="仿宋_GB2312" w:cs="仿宋_GB2312"/>
          <w:sz w:val="28"/>
          <w:szCs w:val="28"/>
        </w:rPr>
        <w:t>参与项目研究工作。本项目预计将在地点</w:t>
      </w:r>
      <w:r>
        <w:rPr>
          <w:rFonts w:hint="eastAsia" w:ascii="仿宋" w:hAnsi="仿宋" w:eastAsia="仿宋"/>
          <w:color w:val="000000"/>
          <w:sz w:val="28"/>
          <w:szCs w:val="28"/>
          <w:highlight w:val="none"/>
          <w:u w:val="single"/>
        </w:rPr>
        <w:t>广州</w:t>
      </w:r>
      <w:r>
        <w:rPr>
          <w:rFonts w:hint="eastAsia" w:ascii="仿宋" w:hAnsi="仿宋" w:eastAsia="仿宋"/>
          <w:color w:val="000000"/>
          <w:sz w:val="28"/>
          <w:szCs w:val="28"/>
          <w:highlight w:val="none"/>
          <w:u w:val="single"/>
          <w:lang w:val="en-US" w:eastAsia="zh-CN"/>
        </w:rPr>
        <w:t>或甲方指定地点</w:t>
      </w:r>
      <w:r>
        <w:rPr>
          <w:rFonts w:hint="eastAsia" w:ascii="仿宋_GB2312" w:hAnsi="仿宋_GB2312" w:eastAsia="仿宋_GB2312" w:cs="仿宋_GB2312"/>
          <w:sz w:val="28"/>
          <w:szCs w:val="28"/>
        </w:rPr>
        <w:t>至少</w:t>
      </w:r>
      <w:r>
        <w:rPr>
          <w:rFonts w:hint="eastAsia" w:ascii="仿宋_GB2312" w:hAnsi="仿宋_GB2312" w:eastAsia="仿宋_GB2312" w:cs="仿宋_GB2312"/>
          <w:sz w:val="28"/>
          <w:szCs w:val="28"/>
          <w:highlight w:val="none"/>
        </w:rPr>
        <w:t>进行</w:t>
      </w:r>
      <w:r>
        <w:rPr>
          <w:rFonts w:hint="eastAsia" w:ascii="仿宋_GB2312" w:hAnsi="仿宋_GB2312" w:eastAsia="仿宋_GB2312" w:cs="仿宋_GB2312"/>
          <w:color w:val="auto"/>
          <w:sz w:val="28"/>
          <w:szCs w:val="28"/>
          <w:highlight w:val="none"/>
          <w:u w:val="single"/>
          <w:lang w:val="en-US" w:eastAsia="zh-CN"/>
        </w:rPr>
        <w:t>3</w:t>
      </w:r>
      <w:r>
        <w:rPr>
          <w:rFonts w:hint="eastAsia" w:ascii="仿宋_GB2312" w:hAnsi="仿宋_GB2312" w:eastAsia="仿宋_GB2312" w:cs="仿宋_GB2312"/>
          <w:sz w:val="28"/>
          <w:szCs w:val="28"/>
          <w:highlight w:val="none"/>
        </w:rPr>
        <w:t>次集中工作，每次集中工作大概持续</w:t>
      </w:r>
      <w:r>
        <w:rPr>
          <w:rFonts w:hint="eastAsia" w:ascii="仿宋_GB2312" w:hAnsi="仿宋_GB2312" w:eastAsia="仿宋_GB2312" w:cs="仿宋_GB2312"/>
          <w:sz w:val="28"/>
          <w:szCs w:val="28"/>
          <w:highlight w:val="none"/>
          <w:u w:val="single"/>
          <w:lang w:val="en-US" w:eastAsia="zh-CN"/>
        </w:rPr>
        <w:t>7</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天，要求中标人每次集中工作至少派遣</w:t>
      </w:r>
      <w:r>
        <w:rPr>
          <w:rFonts w:hint="eastAsia" w:ascii="仿宋_GB2312" w:hAnsi="仿宋_GB2312" w:eastAsia="仿宋_GB2312" w:cs="仿宋_GB2312"/>
          <w:color w:val="auto"/>
          <w:sz w:val="28"/>
          <w:szCs w:val="28"/>
          <w:highlight w:val="none"/>
          <w:u w:val="single"/>
          <w:lang w:val="en-US" w:eastAsia="zh-CN"/>
        </w:rPr>
        <w:t>2</w:t>
      </w:r>
      <w:r>
        <w:rPr>
          <w:rFonts w:hint="eastAsia" w:ascii="仿宋_GB2312" w:hAnsi="仿宋_GB2312" w:eastAsia="仿宋_GB2312" w:cs="仿宋_GB2312"/>
          <w:sz w:val="28"/>
          <w:szCs w:val="28"/>
          <w:highlight w:val="none"/>
        </w:rPr>
        <w:t>人全程参加。</w:t>
      </w:r>
    </w:p>
    <w:p w14:paraId="1C2F04D7">
      <w:pPr>
        <w:pStyle w:val="5"/>
        <w:numPr>
          <w:ilvl w:val="0"/>
          <w:numId w:val="8"/>
        </w:numPr>
        <w:spacing w:line="560" w:lineRule="exact"/>
        <w:ind w:left="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按照合同约定，完成招标工作范围内的全部工作。</w:t>
      </w:r>
    </w:p>
    <w:p w14:paraId="266E4D77">
      <w:pPr>
        <w:pStyle w:val="5"/>
        <w:numPr>
          <w:ilvl w:val="0"/>
          <w:numId w:val="8"/>
        </w:numPr>
        <w:spacing w:line="560" w:lineRule="exact"/>
        <w:ind w:left="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若需向地方有关部门交纳有关的费用，由中标人自行承担。</w:t>
      </w:r>
    </w:p>
    <w:p w14:paraId="055B9A90">
      <w:pPr>
        <w:pStyle w:val="5"/>
        <w:numPr>
          <w:ilvl w:val="0"/>
          <w:numId w:val="8"/>
        </w:numPr>
        <w:spacing w:line="560" w:lineRule="exact"/>
        <w:ind w:left="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本项目不得转让或分包。</w:t>
      </w:r>
    </w:p>
    <w:p w14:paraId="2171B0E3">
      <w:pPr>
        <w:pStyle w:val="3"/>
        <w:numPr>
          <w:ilvl w:val="0"/>
          <w:numId w:val="0"/>
        </w:numPr>
        <w:spacing w:before="0" w:after="0" w:line="560" w:lineRule="exact"/>
        <w:ind w:left="284"/>
        <w:rPr>
          <w:rFonts w:hint="eastAsia" w:ascii="仿宋_GB2312" w:hAnsi="仿宋_GB2312" w:eastAsia="仿宋_GB2312" w:cs="仿宋_GB2312"/>
        </w:rPr>
      </w:pPr>
      <w:bookmarkStart w:id="71" w:name="_Toc413948017"/>
      <w:bookmarkStart w:id="72" w:name="_Toc32109"/>
      <w:r>
        <w:rPr>
          <w:rFonts w:hint="eastAsia" w:ascii="仿宋_GB2312" w:hAnsi="仿宋_GB2312" w:eastAsia="仿宋_GB2312" w:cs="仿宋_GB2312"/>
        </w:rPr>
        <w:t>3.2研究进度计划的编制及分段考核</w:t>
      </w:r>
      <w:bookmarkEnd w:id="71"/>
      <w:bookmarkEnd w:id="72"/>
    </w:p>
    <w:tbl>
      <w:tblPr>
        <w:tblStyle w:val="12"/>
        <w:tblpPr w:leftFromText="180" w:rightFromText="180" w:vertAnchor="text" w:horzAnchor="margin" w:tblpXSpec="center" w:tblpY="173"/>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675"/>
        <w:gridCol w:w="1842"/>
        <w:gridCol w:w="6203"/>
      </w:tblGrid>
      <w:tr w14:paraId="1F68ED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387" w:type="pct"/>
            <w:noWrap w:val="0"/>
            <w:vAlign w:val="center"/>
          </w:tcPr>
          <w:p w14:paraId="478EEAA7">
            <w:pPr>
              <w:adjustRightInd w:val="0"/>
              <w:snapToGrid w:val="0"/>
              <w:ind w:right="72"/>
              <w:jc w:val="left"/>
              <w:rPr>
                <w:rFonts w:hint="eastAsia" w:ascii="仿宋_GB2312" w:hAnsi="仿宋_GB2312" w:eastAsia="仿宋_GB2312" w:cs="仿宋_GB2312"/>
                <w:color w:val="000000"/>
                <w:szCs w:val="21"/>
                <w:highlight w:val="none"/>
                <w:lang w:val="en-US" w:eastAsia="zh-CN"/>
              </w:rPr>
            </w:pPr>
            <w:bookmarkStart w:id="73" w:name="_Hlk129008116"/>
            <w:r>
              <w:rPr>
                <w:rFonts w:hint="eastAsia" w:ascii="仿宋_GB2312" w:hAnsi="仿宋_GB2312" w:eastAsia="仿宋_GB2312" w:cs="仿宋_GB2312"/>
                <w:color w:val="000000"/>
                <w:szCs w:val="21"/>
                <w:highlight w:val="none"/>
                <w:lang w:val="en-US" w:eastAsia="zh-CN"/>
              </w:rPr>
              <w:t>序号</w:t>
            </w:r>
          </w:p>
        </w:tc>
        <w:tc>
          <w:tcPr>
            <w:tcW w:w="1056" w:type="pct"/>
            <w:noWrap w:val="0"/>
            <w:vAlign w:val="center"/>
          </w:tcPr>
          <w:p w14:paraId="6D14EBD7">
            <w:pPr>
              <w:adjustRightInd w:val="0"/>
              <w:snapToGrid w:val="0"/>
              <w:ind w:right="72"/>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时间</w:t>
            </w:r>
          </w:p>
        </w:tc>
        <w:tc>
          <w:tcPr>
            <w:tcW w:w="3556" w:type="pct"/>
            <w:noWrap w:val="0"/>
            <w:vAlign w:val="center"/>
          </w:tcPr>
          <w:p w14:paraId="2BC5FF90">
            <w:pPr>
              <w:adjustRightInd w:val="0"/>
              <w:snapToGrid w:val="0"/>
              <w:ind w:right="72"/>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主要内容及交付项</w:t>
            </w:r>
          </w:p>
        </w:tc>
      </w:tr>
      <w:tr w14:paraId="09F743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387" w:type="pct"/>
            <w:noWrap w:val="0"/>
            <w:vAlign w:val="center"/>
          </w:tcPr>
          <w:p w14:paraId="08C4F7AB">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1056" w:type="pct"/>
            <w:noWrap w:val="0"/>
            <w:vAlign w:val="center"/>
          </w:tcPr>
          <w:p w14:paraId="7304EDBB">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签署合同后</w:t>
            </w:r>
            <w:r>
              <w:rPr>
                <w:rFonts w:hint="eastAsia" w:ascii="仿宋_GB2312" w:hAnsi="仿宋_GB2312" w:eastAsia="仿宋_GB2312" w:cs="仿宋_GB2312"/>
                <w:color w:val="000000"/>
                <w:szCs w:val="21"/>
                <w:highlight w:val="none"/>
                <w:lang w:val="en-US" w:eastAsia="zh-CN"/>
              </w:rPr>
              <w:t>30</w:t>
            </w:r>
            <w:r>
              <w:rPr>
                <w:rFonts w:hint="eastAsia" w:ascii="仿宋_GB2312" w:hAnsi="仿宋_GB2312" w:eastAsia="仿宋_GB2312" w:cs="仿宋_GB2312"/>
                <w:color w:val="000000"/>
                <w:szCs w:val="21"/>
                <w:highlight w:val="none"/>
              </w:rPr>
              <w:t>日内</w:t>
            </w:r>
          </w:p>
        </w:tc>
        <w:tc>
          <w:tcPr>
            <w:tcW w:w="3556" w:type="pct"/>
            <w:noWrap w:val="0"/>
            <w:vAlign w:val="center"/>
          </w:tcPr>
          <w:p w14:paraId="717101DC">
            <w:pPr>
              <w:adjustRightInd w:val="0"/>
              <w:snapToGrid w:val="0"/>
              <w:ind w:right="72"/>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val="en-US" w:eastAsia="zh-CN"/>
              </w:rPr>
              <w:t>交付《研究开发计划书》</w:t>
            </w:r>
          </w:p>
        </w:tc>
      </w:tr>
      <w:tr w14:paraId="3AF21D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387" w:type="pct"/>
            <w:noWrap w:val="0"/>
            <w:vAlign w:val="center"/>
          </w:tcPr>
          <w:p w14:paraId="2D57F105">
            <w:pPr>
              <w:adjustRightInd w:val="0"/>
              <w:snapToGrid w:val="0"/>
              <w:ind w:right="72"/>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2</w:t>
            </w:r>
          </w:p>
        </w:tc>
        <w:tc>
          <w:tcPr>
            <w:tcW w:w="1056" w:type="pct"/>
            <w:noWrap w:val="0"/>
            <w:vAlign w:val="center"/>
          </w:tcPr>
          <w:p w14:paraId="3692EB74">
            <w:pPr>
              <w:adjustRightInd w:val="0"/>
              <w:snapToGrid w:val="0"/>
              <w:ind w:right="72"/>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2027年3月</w:t>
            </w:r>
          </w:p>
        </w:tc>
        <w:tc>
          <w:tcPr>
            <w:tcW w:w="3556" w:type="pct"/>
            <w:noWrap w:val="0"/>
            <w:vAlign w:val="center"/>
          </w:tcPr>
          <w:p w14:paraId="161E9DD2">
            <w:pPr>
              <w:adjustRightInd w:val="0"/>
              <w:snapToGrid w:val="0"/>
              <w:ind w:right="72"/>
              <w:jc w:val="left"/>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完成任务1-5的部分研究内容，交付</w:t>
            </w:r>
            <w:r>
              <w:rPr>
                <w:rFonts w:hint="default" w:ascii="仿宋_GB2312" w:hAnsi="仿宋_GB2312" w:eastAsia="仿宋_GB2312" w:cs="仿宋_GB2312"/>
                <w:color w:val="000000"/>
                <w:szCs w:val="21"/>
                <w:highlight w:val="none"/>
                <w:lang w:val="en-US" w:eastAsia="zh-CN"/>
              </w:rPr>
              <w:t>：</w:t>
            </w:r>
          </w:p>
          <w:p w14:paraId="207FFCC7">
            <w:pPr>
              <w:adjustRightInd w:val="0"/>
              <w:snapToGrid w:val="0"/>
              <w:ind w:right="72"/>
              <w:jc w:val="left"/>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1、发明专利底稿2篇；</w:t>
            </w:r>
          </w:p>
          <w:p w14:paraId="78BC489D">
            <w:pPr>
              <w:adjustRightInd w:val="0"/>
              <w:snapToGrid w:val="0"/>
              <w:ind w:right="72"/>
              <w:jc w:val="left"/>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2、科技核心期刊论文底稿2篇；</w:t>
            </w:r>
          </w:p>
          <w:p w14:paraId="205640B8">
            <w:pPr>
              <w:pStyle w:val="8"/>
              <w:ind w:left="0" w:leftChars="0" w:firstLine="0" w:firstLineChars="0"/>
              <w:jc w:val="left"/>
              <w:rPr>
                <w:rFonts w:hint="default"/>
                <w:lang w:val="en-US" w:eastAsia="zh-CN"/>
              </w:rPr>
            </w:pPr>
            <w:r>
              <w:rPr>
                <w:rFonts w:hint="eastAsia" w:ascii="仿宋_GB2312" w:hAnsi="仿宋_GB2312" w:eastAsia="仿宋_GB2312" w:cs="仿宋_GB2312"/>
                <w:color w:val="000000"/>
                <w:kern w:val="2"/>
                <w:sz w:val="21"/>
                <w:szCs w:val="21"/>
                <w:highlight w:val="none"/>
                <w:lang w:val="en-US" w:eastAsia="zh-CN" w:bidi="ar-SA"/>
              </w:rPr>
              <w:t>3、面向柔性算力网络的全局感知互联及资源动态调控关键技术研究报告1份。</w:t>
            </w:r>
          </w:p>
        </w:tc>
      </w:tr>
      <w:tr w14:paraId="75096D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 w:hRule="atLeast"/>
        </w:trPr>
        <w:tc>
          <w:tcPr>
            <w:tcW w:w="387" w:type="pct"/>
            <w:noWrap w:val="0"/>
            <w:vAlign w:val="center"/>
          </w:tcPr>
          <w:p w14:paraId="0F4978FF">
            <w:pPr>
              <w:adjustRightInd w:val="0"/>
              <w:snapToGrid w:val="0"/>
              <w:ind w:right="72"/>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3</w:t>
            </w:r>
          </w:p>
        </w:tc>
        <w:tc>
          <w:tcPr>
            <w:tcW w:w="1056" w:type="pct"/>
            <w:noWrap w:val="0"/>
            <w:vAlign w:val="center"/>
          </w:tcPr>
          <w:p w14:paraId="2193E936">
            <w:pPr>
              <w:adjustRightInd w:val="0"/>
              <w:snapToGrid w:val="0"/>
              <w:ind w:right="72"/>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2028年3月</w:t>
            </w:r>
          </w:p>
        </w:tc>
        <w:tc>
          <w:tcPr>
            <w:tcW w:w="3556" w:type="pct"/>
            <w:noWrap w:val="0"/>
            <w:vAlign w:val="center"/>
          </w:tcPr>
          <w:p w14:paraId="369A5174">
            <w:pPr>
              <w:adjustRightInd w:val="0"/>
              <w:snapToGrid w:val="0"/>
              <w:ind w:right="72"/>
              <w:jc w:val="left"/>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完成该项目任务1-5的所有研究内容，交付：</w:t>
            </w:r>
            <w:r>
              <w:rPr>
                <w:rFonts w:hint="eastAsia" w:ascii="仿宋_GB2312" w:hAnsi="仿宋_GB2312" w:eastAsia="仿宋_GB2312" w:cs="仿宋_GB2312"/>
                <w:color w:val="000000"/>
                <w:szCs w:val="21"/>
                <w:highlight w:val="none"/>
                <w:lang w:val="en-US" w:eastAsia="zh-CN"/>
              </w:rPr>
              <w:br w:type="textWrapping"/>
            </w:r>
            <w:r>
              <w:rPr>
                <w:rFonts w:hint="eastAsia" w:ascii="仿宋_GB2312" w:hAnsi="仿宋_GB2312" w:eastAsia="仿宋_GB2312" w:cs="仿宋_GB2312"/>
                <w:color w:val="000000"/>
                <w:szCs w:val="21"/>
                <w:highlight w:val="none"/>
                <w:lang w:val="en-US" w:eastAsia="zh-CN"/>
              </w:rPr>
              <w:t>1、发明专利底稿1篇</w:t>
            </w:r>
          </w:p>
          <w:p w14:paraId="35349661">
            <w:pPr>
              <w:adjustRightInd w:val="0"/>
              <w:snapToGrid w:val="0"/>
              <w:ind w:right="72"/>
              <w:jc w:val="left"/>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2、SCI期刊论文底稿1篇</w:t>
            </w:r>
            <w:r>
              <w:rPr>
                <w:rFonts w:hint="eastAsia" w:ascii="仿宋_GB2312" w:hAnsi="仿宋_GB2312" w:eastAsia="仿宋_GB2312" w:cs="仿宋_GB2312"/>
                <w:color w:val="000000"/>
                <w:szCs w:val="21"/>
                <w:highlight w:val="none"/>
                <w:lang w:val="en-US" w:eastAsia="zh-CN"/>
              </w:rPr>
              <w:br w:type="textWrapping"/>
            </w:r>
            <w:r>
              <w:rPr>
                <w:rFonts w:hint="eastAsia" w:ascii="仿宋_GB2312" w:hAnsi="仿宋_GB2312" w:eastAsia="仿宋_GB2312" w:cs="仿宋_GB2312"/>
                <w:color w:val="000000"/>
                <w:szCs w:val="21"/>
                <w:highlight w:val="none"/>
                <w:lang w:val="en-US" w:eastAsia="zh-CN"/>
              </w:rPr>
              <w:t>3、满足“2.3.2指标要求”的第三方测试报告。</w:t>
            </w:r>
          </w:p>
          <w:p w14:paraId="444EB387">
            <w:pPr>
              <w:adjustRightInd w:val="0"/>
              <w:snapToGrid w:val="0"/>
              <w:ind w:right="72"/>
              <w:jc w:val="left"/>
              <w:rPr>
                <w:rFonts w:hint="default"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Cs w:val="21"/>
                <w:highlight w:val="none"/>
                <w:lang w:val="en-US" w:eastAsia="zh-CN"/>
              </w:rPr>
              <w:t>4、柔性算力网络全局感知与资源动态调控模型1套，及相应源代码和部署包。</w:t>
            </w:r>
          </w:p>
        </w:tc>
      </w:tr>
      <w:bookmarkEnd w:id="73"/>
    </w:tbl>
    <w:p w14:paraId="5C4C1678">
      <w:pPr>
        <w:spacing w:line="560" w:lineRule="exact"/>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sz w:val="28"/>
          <w:szCs w:val="28"/>
        </w:rPr>
        <w:t>中标人</w:t>
      </w:r>
      <w:r>
        <w:rPr>
          <w:rFonts w:hint="eastAsia" w:ascii="仿宋_GB2312" w:hAnsi="仿宋_GB2312" w:eastAsia="仿宋_GB2312" w:cs="仿宋_GB2312"/>
          <w:color w:val="000000" w:themeColor="text1"/>
          <w:sz w:val="28"/>
          <w:szCs w:val="28"/>
          <w14:textFill>
            <w14:solidFill>
              <w14:schemeClr w14:val="tx1"/>
            </w14:solidFill>
          </w14:textFill>
        </w:rPr>
        <w:t>必须按</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确认的进度计划组织研究，接受</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对研究进度的检查和监督。项目实际进度与经确认的进度计划不符合时，中标人应按</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的要求提出改进措施，经</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确认后执行。因中标人的原因导致项目实际进度与进度计划不符，中标人需实施改进措施且不得追加合同价款。</w:t>
      </w:r>
    </w:p>
    <w:p w14:paraId="63B5EA62">
      <w:pPr>
        <w:pStyle w:val="3"/>
        <w:numPr>
          <w:ilvl w:val="0"/>
          <w:numId w:val="0"/>
        </w:numPr>
        <w:spacing w:before="0" w:after="0" w:line="560" w:lineRule="exact"/>
        <w:ind w:left="284"/>
        <w:rPr>
          <w:rFonts w:hint="eastAsia" w:ascii="仿宋_GB2312" w:hAnsi="仿宋_GB2312" w:eastAsia="仿宋_GB2312" w:cs="仿宋_GB2312"/>
        </w:rPr>
      </w:pPr>
      <w:bookmarkStart w:id="74" w:name="_Toc413948018"/>
      <w:bookmarkStart w:id="75" w:name="_Toc2354"/>
      <w:r>
        <w:rPr>
          <w:rFonts w:hint="eastAsia" w:ascii="仿宋_GB2312" w:hAnsi="仿宋_GB2312" w:eastAsia="仿宋_GB2312" w:cs="仿宋_GB2312"/>
        </w:rPr>
        <w:t>3.3项目研究结束</w:t>
      </w:r>
      <w:bookmarkEnd w:id="74"/>
      <w:bookmarkEnd w:id="75"/>
    </w:p>
    <w:p w14:paraId="7B8B8E66">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1)中标人必须按照本规范书约定的结束日期或</w:t>
      </w:r>
      <w:r>
        <w:rPr>
          <w:rFonts w:hint="eastAsia" w:ascii="仿宋_GB2312" w:hAnsi="仿宋_GB2312" w:eastAsia="仿宋_GB2312" w:cs="仿宋_GB2312"/>
          <w:color w:val="000000" w:themeColor="text1"/>
          <w:sz w:val="28"/>
          <w:szCs w:val="28"/>
          <w14:textFill>
            <w14:solidFill>
              <w14:schemeClr w14:val="tx1"/>
            </w14:solidFill>
          </w14:textFill>
        </w:rPr>
        <w:t>经</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同意顺</w:t>
      </w:r>
      <w:r>
        <w:rPr>
          <w:rFonts w:hint="eastAsia" w:ascii="仿宋_GB2312" w:hAnsi="仿宋_GB2312" w:eastAsia="仿宋_GB2312" w:cs="仿宋_GB2312"/>
          <w:sz w:val="28"/>
          <w:szCs w:val="28"/>
        </w:rPr>
        <w:t>延的计划完成项目。</w:t>
      </w:r>
    </w:p>
    <w:p w14:paraId="28998012">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2)因中标人原因不能按照本规范书约定的完成</w:t>
      </w:r>
      <w:r>
        <w:rPr>
          <w:rFonts w:hint="eastAsia" w:ascii="仿宋_GB2312" w:hAnsi="仿宋_GB2312" w:eastAsia="仿宋_GB2312" w:cs="仿宋_GB2312"/>
          <w:color w:val="000000" w:themeColor="text1"/>
          <w:sz w:val="28"/>
          <w:szCs w:val="28"/>
          <w14:textFill>
            <w14:solidFill>
              <w14:schemeClr w14:val="tx1"/>
            </w14:solidFill>
          </w14:textFill>
        </w:rPr>
        <w:t>日期或</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同</w:t>
      </w:r>
      <w:r>
        <w:rPr>
          <w:rFonts w:hint="eastAsia" w:ascii="仿宋_GB2312" w:hAnsi="仿宋_GB2312" w:eastAsia="仿宋_GB2312" w:cs="仿宋_GB2312"/>
          <w:sz w:val="28"/>
          <w:szCs w:val="28"/>
        </w:rPr>
        <w:t>意顺延的工期完成的，中标人承担违约责任。</w:t>
      </w:r>
    </w:p>
    <w:p w14:paraId="6227B14F">
      <w:pPr>
        <w:pStyle w:val="3"/>
        <w:numPr>
          <w:ilvl w:val="0"/>
          <w:numId w:val="0"/>
        </w:numPr>
        <w:spacing w:before="0" w:after="0" w:line="560" w:lineRule="exact"/>
        <w:ind w:left="284"/>
        <w:rPr>
          <w:rFonts w:hint="eastAsia" w:ascii="仿宋_GB2312" w:hAnsi="仿宋_GB2312" w:eastAsia="仿宋_GB2312" w:cs="仿宋_GB2312"/>
        </w:rPr>
      </w:pPr>
      <w:bookmarkStart w:id="76" w:name="_Toc22902"/>
      <w:bookmarkStart w:id="77" w:name="_Toc413948019"/>
      <w:r>
        <w:rPr>
          <w:rFonts w:hint="eastAsia" w:ascii="仿宋_GB2312" w:hAnsi="仿宋_GB2312" w:eastAsia="仿宋_GB2312" w:cs="仿宋_GB2312"/>
        </w:rPr>
        <w:t>3.4项目验收的形式与要求</w:t>
      </w:r>
      <w:bookmarkEnd w:id="76"/>
      <w:bookmarkEnd w:id="77"/>
    </w:p>
    <w:p w14:paraId="56448FFF">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本项目的具体验收方式及时间安排如下：</w:t>
      </w:r>
    </w:p>
    <w:p w14:paraId="17E1457F">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1）项目需于</w:t>
      </w:r>
      <w:r>
        <w:rPr>
          <w:rFonts w:hint="eastAsia" w:ascii="仿宋_GB2312" w:hAnsi="仿宋_GB2312" w:eastAsia="仿宋_GB2312" w:cs="仿宋_GB2312"/>
          <w:sz w:val="28"/>
          <w:szCs w:val="28"/>
          <w:lang w:val="en-US" w:eastAsia="zh-CN"/>
        </w:rPr>
        <w:t>2028</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31</w:t>
      </w:r>
      <w:r>
        <w:rPr>
          <w:rFonts w:hint="eastAsia" w:ascii="仿宋_GB2312" w:hAnsi="仿宋_GB2312" w:eastAsia="仿宋_GB2312" w:cs="仿宋_GB2312"/>
          <w:sz w:val="28"/>
          <w:szCs w:val="28"/>
        </w:rPr>
        <w:t>日前完成“2.3 研究成果/交付物的技术指标要求”交付的全部内容，并提交验收报告，通过甲方组织的验收。</w:t>
      </w:r>
    </w:p>
    <w:p w14:paraId="2B8D5678">
      <w:pPr>
        <w:spacing w:line="56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2）项目交付地址：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color w:val="000000"/>
          <w:sz w:val="28"/>
          <w:szCs w:val="28"/>
          <w:highlight w:val="none"/>
          <w:u w:val="single"/>
        </w:rPr>
        <w:t xml:space="preserve"> </w:t>
      </w:r>
      <w:r>
        <w:rPr>
          <w:rFonts w:hint="eastAsia" w:ascii="仿宋" w:hAnsi="仿宋" w:eastAsia="仿宋"/>
          <w:color w:val="000000"/>
          <w:sz w:val="28"/>
          <w:szCs w:val="28"/>
          <w:highlight w:val="none"/>
          <w:u w:val="single"/>
        </w:rPr>
        <w:t>广州</w:t>
      </w:r>
      <w:r>
        <w:rPr>
          <w:rFonts w:hint="eastAsia" w:ascii="仿宋" w:hAnsi="仿宋" w:eastAsia="仿宋"/>
          <w:color w:val="000000"/>
          <w:sz w:val="28"/>
          <w:szCs w:val="28"/>
          <w:highlight w:val="none"/>
          <w:u w:val="single"/>
          <w:lang w:val="en-US" w:eastAsia="zh-CN"/>
        </w:rPr>
        <w:t>或甲方指定地点</w:t>
      </w:r>
      <w:r>
        <w:rPr>
          <w:rFonts w:hint="eastAsia" w:ascii="仿宋_GB2312" w:hAnsi="仿宋_GB2312" w:eastAsia="仿宋_GB2312" w:cs="仿宋_GB2312"/>
          <w:sz w:val="28"/>
          <w:szCs w:val="28"/>
          <w:u w:val="single"/>
        </w:rPr>
        <w:t xml:space="preserve">  </w:t>
      </w:r>
    </w:p>
    <w:p w14:paraId="6DC67398">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3）满足验收条件时，中标人应首先进行认真的自检，并在验收前七日以书面形</w:t>
      </w:r>
      <w:r>
        <w:rPr>
          <w:rFonts w:hint="eastAsia" w:ascii="仿宋_GB2312" w:hAnsi="仿宋_GB2312" w:eastAsia="仿宋_GB2312" w:cs="仿宋_GB2312"/>
          <w:color w:val="000000" w:themeColor="text1"/>
          <w:sz w:val="28"/>
          <w:szCs w:val="28"/>
          <w14:textFill>
            <w14:solidFill>
              <w14:schemeClr w14:val="tx1"/>
            </w14:solidFill>
          </w14:textFill>
        </w:rPr>
        <w:t>式通知</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组织验收</w:t>
      </w:r>
      <w:r>
        <w:rPr>
          <w:rFonts w:hint="eastAsia" w:ascii="仿宋_GB2312" w:hAnsi="仿宋_GB2312" w:eastAsia="仿宋_GB2312" w:cs="仿宋_GB2312"/>
          <w:sz w:val="28"/>
          <w:szCs w:val="28"/>
        </w:rPr>
        <w:t>，通知包括验收的内容、验收时间和地点。中标人准备验收材料。</w:t>
      </w:r>
    </w:p>
    <w:p w14:paraId="4AACBA9A">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4）由于非中标人原因项目验收达不到验收标准及约定要</w:t>
      </w:r>
      <w:r>
        <w:rPr>
          <w:rFonts w:hint="eastAsia" w:ascii="仿宋_GB2312" w:hAnsi="仿宋_GB2312" w:eastAsia="仿宋_GB2312" w:cs="仿宋_GB2312"/>
          <w:color w:val="000000" w:themeColor="text1"/>
          <w:sz w:val="28"/>
          <w:szCs w:val="28"/>
          <w14:textFill>
            <w14:solidFill>
              <w14:schemeClr w14:val="tx1"/>
            </w14:solidFill>
          </w14:textFill>
        </w:rPr>
        <w:t>求，</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应要求有关单位修改，中</w:t>
      </w:r>
      <w:r>
        <w:rPr>
          <w:rFonts w:hint="eastAsia" w:ascii="仿宋_GB2312" w:hAnsi="仿宋_GB2312" w:eastAsia="仿宋_GB2312" w:cs="仿宋_GB2312"/>
          <w:sz w:val="28"/>
          <w:szCs w:val="28"/>
        </w:rPr>
        <w:t>标人按修改意见处理。</w:t>
      </w:r>
    </w:p>
    <w:p w14:paraId="75157AF1">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5）由于中标人原因项目验收达不到验收标准及约定要求，中标人应按采购人的要求进行补救或返工，并承担重新验收和返工的费用。</w:t>
      </w:r>
    </w:p>
    <w:p w14:paraId="13BF413A">
      <w:pPr>
        <w:pStyle w:val="3"/>
        <w:numPr>
          <w:ilvl w:val="0"/>
          <w:numId w:val="0"/>
        </w:numPr>
        <w:spacing w:before="0" w:after="0" w:line="560" w:lineRule="exact"/>
        <w:ind w:left="284"/>
        <w:rPr>
          <w:rFonts w:hint="eastAsia" w:ascii="仿宋_GB2312" w:hAnsi="仿宋_GB2312" w:eastAsia="仿宋_GB2312" w:cs="仿宋_GB2312"/>
        </w:rPr>
      </w:pPr>
      <w:bookmarkStart w:id="78" w:name="_Toc413948020"/>
      <w:bookmarkStart w:id="79" w:name="_Toc20058"/>
      <w:r>
        <w:rPr>
          <w:rFonts w:hint="eastAsia" w:ascii="仿宋_GB2312" w:hAnsi="仿宋_GB2312" w:eastAsia="仿宋_GB2312" w:cs="仿宋_GB2312"/>
        </w:rPr>
        <w:t>3.5项目质量安全保障</w:t>
      </w:r>
      <w:bookmarkEnd w:id="78"/>
      <w:bookmarkEnd w:id="79"/>
    </w:p>
    <w:p w14:paraId="46F1652E">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1）中标人应严格遵守本规范书关于项目的若干技术质量规定，制定严格的质量安全措施。中标人负责在整个项目过程中保证项目的质量和试验数据的可靠性。</w:t>
      </w:r>
    </w:p>
    <w:p w14:paraId="7913E97F">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2）由于中标人质量安全措施不力造成研究质量安全事故的责任，以及由此发生的费用和损失，由中标人承担。</w:t>
      </w:r>
    </w:p>
    <w:p w14:paraId="5CA8432A">
      <w:pPr>
        <w:pStyle w:val="2"/>
        <w:spacing w:before="0" w:after="0" w:line="560" w:lineRule="exact"/>
        <w:rPr>
          <w:rFonts w:hint="eastAsia" w:ascii="仿宋_GB2312" w:hAnsi="仿宋_GB2312" w:eastAsia="仿宋_GB2312" w:cs="仿宋_GB2312"/>
        </w:rPr>
      </w:pPr>
      <w:r>
        <w:rPr>
          <w:rFonts w:hint="eastAsia" w:ascii="仿宋_GB2312" w:hAnsi="仿宋_GB2312" w:eastAsia="仿宋_GB2312" w:cs="仿宋_GB2312"/>
        </w:rPr>
        <w:t>其它相关要求</w:t>
      </w:r>
    </w:p>
    <w:p w14:paraId="19425CAB">
      <w:pPr>
        <w:spacing w:line="560" w:lineRule="exact"/>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sz w:val="28"/>
          <w:szCs w:val="28"/>
        </w:rPr>
        <w:t>本技术规范书的最终解释</w:t>
      </w:r>
      <w:r>
        <w:rPr>
          <w:rFonts w:hint="eastAsia" w:ascii="仿宋_GB2312" w:hAnsi="仿宋_GB2312" w:eastAsia="仿宋_GB2312" w:cs="仿宋_GB2312"/>
          <w:color w:val="000000" w:themeColor="text1"/>
          <w:sz w:val="28"/>
          <w:szCs w:val="28"/>
          <w14:textFill>
            <w14:solidFill>
              <w14:schemeClr w14:val="tx1"/>
            </w14:solidFill>
          </w14:textFill>
        </w:rPr>
        <w:t>权归</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招标人</w:t>
      </w:r>
      <w:r>
        <w:rPr>
          <w:rFonts w:hint="eastAsia" w:ascii="仿宋_GB2312" w:hAnsi="仿宋_GB2312" w:eastAsia="仿宋_GB2312" w:cs="仿宋_GB2312"/>
          <w:color w:val="000000" w:themeColor="text1"/>
          <w:sz w:val="28"/>
          <w:szCs w:val="28"/>
          <w14:textFill>
            <w14:solidFill>
              <w14:schemeClr w14:val="tx1"/>
            </w14:solidFill>
          </w14:textFill>
        </w:rPr>
        <w:t>。</w:t>
      </w:r>
    </w:p>
    <w:p w14:paraId="23DF6F8B">
      <w:pPr>
        <w:spacing w:line="560" w:lineRule="exact"/>
        <w:rPr>
          <w:rFonts w:hint="eastAsia" w:ascii="仿宋_GB2312" w:hAnsi="仿宋_GB2312" w:eastAsia="仿宋_GB2312" w:cs="仿宋_GB2312"/>
        </w:rPr>
      </w:pPr>
    </w:p>
    <w:p w14:paraId="49235FA2">
      <w:pPr>
        <w:pStyle w:val="2"/>
        <w:numPr>
          <w:ilvl w:val="0"/>
          <w:numId w:val="0"/>
        </w:numPr>
        <w:spacing w:before="0" w:line="560" w:lineRule="exact"/>
        <w:ind w:left="420" w:hanging="420"/>
        <w:rPr>
          <w:rFonts w:hint="eastAsia" w:ascii="仿宋_GB2312" w:hAnsi="仿宋_GB2312" w:eastAsia="仿宋_GB2312" w:cs="仿宋_GB2312"/>
        </w:rPr>
      </w:pPr>
      <w:bookmarkStart w:id="80" w:name="_Toc413948021"/>
      <w:bookmarkEnd w:id="80"/>
      <w:bookmarkStart w:id="81" w:name="_Toc413948022"/>
      <w:bookmarkStart w:id="82" w:name="_Toc15695"/>
      <w:r>
        <w:rPr>
          <w:rFonts w:hint="eastAsia" w:ascii="仿宋_GB2312" w:hAnsi="仿宋_GB2312" w:eastAsia="仿宋_GB2312" w:cs="仿宋_GB2312"/>
        </w:rPr>
        <w:br w:type="page"/>
      </w:r>
      <w:r>
        <w:rPr>
          <w:rFonts w:hint="eastAsia" w:ascii="仿宋_GB2312" w:hAnsi="仿宋_GB2312" w:eastAsia="仿宋_GB2312" w:cs="仿宋_GB2312"/>
        </w:rPr>
        <w:t>附件一：技术差异表</w:t>
      </w:r>
      <w:bookmarkEnd w:id="81"/>
      <w:bookmarkEnd w:id="82"/>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2128"/>
        <w:gridCol w:w="1696"/>
        <w:gridCol w:w="2074"/>
        <w:gridCol w:w="1247"/>
      </w:tblGrid>
      <w:tr w14:paraId="7319F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trPr>
        <w:tc>
          <w:tcPr>
            <w:tcW w:w="903" w:type="pct"/>
            <w:noWrap w:val="0"/>
            <w:vAlign w:val="center"/>
          </w:tcPr>
          <w:p w14:paraId="46193670">
            <w:pPr>
              <w:jc w:val="center"/>
              <w:rPr>
                <w:rFonts w:hint="eastAsia" w:ascii="仿宋_GB2312" w:hAnsi="仿宋_GB2312" w:eastAsia="仿宋_GB2312" w:cs="仿宋_GB2312"/>
                <w:b/>
              </w:rPr>
            </w:pPr>
            <w:r>
              <w:rPr>
                <w:rFonts w:hint="eastAsia" w:ascii="仿宋_GB2312" w:hAnsi="仿宋_GB2312" w:eastAsia="仿宋_GB2312" w:cs="仿宋_GB2312"/>
                <w:b/>
              </w:rPr>
              <w:t>规范书条目</w:t>
            </w:r>
          </w:p>
        </w:tc>
        <w:tc>
          <w:tcPr>
            <w:tcW w:w="1220" w:type="pct"/>
            <w:noWrap w:val="0"/>
            <w:vAlign w:val="center"/>
          </w:tcPr>
          <w:p w14:paraId="70652982">
            <w:pPr>
              <w:jc w:val="center"/>
              <w:rPr>
                <w:rFonts w:hint="eastAsia" w:ascii="仿宋_GB2312" w:hAnsi="仿宋_GB2312" w:eastAsia="仿宋_GB2312" w:cs="仿宋_GB2312"/>
                <w:b/>
              </w:rPr>
            </w:pPr>
            <w:r>
              <w:rPr>
                <w:rFonts w:hint="eastAsia" w:ascii="仿宋_GB2312" w:hAnsi="仿宋_GB2312" w:eastAsia="仿宋_GB2312" w:cs="仿宋_GB2312"/>
                <w:b/>
              </w:rPr>
              <w:t>技术规范书要求</w:t>
            </w:r>
          </w:p>
        </w:tc>
        <w:tc>
          <w:tcPr>
            <w:tcW w:w="972" w:type="pct"/>
            <w:noWrap w:val="0"/>
            <w:vAlign w:val="center"/>
          </w:tcPr>
          <w:p w14:paraId="74D4985A">
            <w:pPr>
              <w:jc w:val="center"/>
              <w:rPr>
                <w:rFonts w:hint="eastAsia" w:ascii="仿宋_GB2312" w:hAnsi="仿宋_GB2312" w:eastAsia="仿宋_GB2312" w:cs="仿宋_GB2312"/>
                <w:b/>
              </w:rPr>
            </w:pPr>
            <w:r>
              <w:rPr>
                <w:rFonts w:hint="eastAsia" w:ascii="仿宋_GB2312" w:hAnsi="仿宋_GB2312" w:eastAsia="仿宋_GB2312" w:cs="仿宋_GB2312"/>
                <w:b/>
              </w:rPr>
              <w:t>技术偏差</w:t>
            </w:r>
          </w:p>
        </w:tc>
        <w:tc>
          <w:tcPr>
            <w:tcW w:w="1189" w:type="pct"/>
            <w:noWrap w:val="0"/>
            <w:vAlign w:val="center"/>
          </w:tcPr>
          <w:p w14:paraId="0F8C4DEF">
            <w:pPr>
              <w:jc w:val="center"/>
              <w:rPr>
                <w:rFonts w:hint="eastAsia" w:ascii="仿宋_GB2312" w:hAnsi="仿宋_GB2312" w:eastAsia="仿宋_GB2312" w:cs="仿宋_GB2312"/>
                <w:b/>
              </w:rPr>
            </w:pPr>
            <w:r>
              <w:rPr>
                <w:rFonts w:hint="eastAsia" w:ascii="仿宋_GB2312" w:hAnsi="仿宋_GB2312" w:eastAsia="仿宋_GB2312" w:cs="仿宋_GB2312"/>
                <w:b/>
              </w:rPr>
              <w:t>详细说明</w:t>
            </w:r>
          </w:p>
        </w:tc>
        <w:tc>
          <w:tcPr>
            <w:tcW w:w="715" w:type="pct"/>
            <w:noWrap w:val="0"/>
            <w:vAlign w:val="center"/>
          </w:tcPr>
          <w:p w14:paraId="2D86AF31">
            <w:pPr>
              <w:jc w:val="center"/>
              <w:rPr>
                <w:rFonts w:hint="eastAsia" w:ascii="仿宋_GB2312" w:hAnsi="仿宋_GB2312" w:eastAsia="仿宋_GB2312" w:cs="仿宋_GB2312"/>
                <w:b/>
              </w:rPr>
            </w:pPr>
            <w:r>
              <w:rPr>
                <w:rFonts w:hint="eastAsia" w:ascii="仿宋_GB2312" w:hAnsi="仿宋_GB2312" w:eastAsia="仿宋_GB2312" w:cs="仿宋_GB2312"/>
                <w:b/>
              </w:rPr>
              <w:t>备 注</w:t>
            </w:r>
          </w:p>
        </w:tc>
      </w:tr>
      <w:tr w14:paraId="2F22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03" w:type="pct"/>
            <w:noWrap w:val="0"/>
            <w:vAlign w:val="top"/>
          </w:tcPr>
          <w:p w14:paraId="7CC70126">
            <w:pPr>
              <w:pStyle w:val="6"/>
              <w:ind w:left="960"/>
              <w:rPr>
                <w:rFonts w:hint="eastAsia" w:ascii="仿宋_GB2312" w:hAnsi="仿宋_GB2312" w:eastAsia="仿宋_GB2312" w:cs="仿宋_GB2312"/>
                <w:b/>
                <w:sz w:val="30"/>
              </w:rPr>
            </w:pPr>
          </w:p>
        </w:tc>
        <w:tc>
          <w:tcPr>
            <w:tcW w:w="1220" w:type="pct"/>
            <w:noWrap w:val="0"/>
            <w:vAlign w:val="top"/>
          </w:tcPr>
          <w:p w14:paraId="05C59E20">
            <w:pPr>
              <w:pStyle w:val="6"/>
              <w:ind w:left="960"/>
              <w:rPr>
                <w:rFonts w:hint="eastAsia" w:ascii="仿宋_GB2312" w:hAnsi="仿宋_GB2312" w:eastAsia="仿宋_GB2312" w:cs="仿宋_GB2312"/>
                <w:b/>
                <w:sz w:val="30"/>
              </w:rPr>
            </w:pPr>
          </w:p>
        </w:tc>
        <w:tc>
          <w:tcPr>
            <w:tcW w:w="972" w:type="pct"/>
            <w:noWrap w:val="0"/>
            <w:vAlign w:val="top"/>
          </w:tcPr>
          <w:p w14:paraId="14A33818">
            <w:pPr>
              <w:pStyle w:val="6"/>
              <w:ind w:left="960"/>
              <w:rPr>
                <w:rFonts w:hint="eastAsia" w:ascii="仿宋_GB2312" w:hAnsi="仿宋_GB2312" w:eastAsia="仿宋_GB2312" w:cs="仿宋_GB2312"/>
                <w:b/>
                <w:sz w:val="30"/>
              </w:rPr>
            </w:pPr>
          </w:p>
        </w:tc>
        <w:tc>
          <w:tcPr>
            <w:tcW w:w="1189" w:type="pct"/>
            <w:noWrap w:val="0"/>
            <w:vAlign w:val="top"/>
          </w:tcPr>
          <w:p w14:paraId="06F6EA81">
            <w:pPr>
              <w:pStyle w:val="6"/>
              <w:ind w:left="960"/>
              <w:rPr>
                <w:rFonts w:hint="eastAsia" w:ascii="仿宋_GB2312" w:hAnsi="仿宋_GB2312" w:eastAsia="仿宋_GB2312" w:cs="仿宋_GB2312"/>
                <w:b/>
                <w:sz w:val="30"/>
              </w:rPr>
            </w:pPr>
          </w:p>
        </w:tc>
        <w:tc>
          <w:tcPr>
            <w:tcW w:w="715" w:type="pct"/>
            <w:noWrap w:val="0"/>
            <w:vAlign w:val="top"/>
          </w:tcPr>
          <w:p w14:paraId="48C28414">
            <w:pPr>
              <w:pStyle w:val="6"/>
              <w:ind w:left="960"/>
              <w:rPr>
                <w:rFonts w:hint="eastAsia" w:ascii="仿宋_GB2312" w:hAnsi="仿宋_GB2312" w:eastAsia="仿宋_GB2312" w:cs="仿宋_GB2312"/>
                <w:b/>
                <w:sz w:val="30"/>
              </w:rPr>
            </w:pPr>
          </w:p>
        </w:tc>
      </w:tr>
      <w:tr w14:paraId="384E4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03" w:type="pct"/>
            <w:noWrap w:val="0"/>
            <w:vAlign w:val="top"/>
          </w:tcPr>
          <w:p w14:paraId="741AC558">
            <w:pPr>
              <w:pStyle w:val="6"/>
              <w:ind w:left="960"/>
              <w:rPr>
                <w:rFonts w:hint="eastAsia" w:ascii="仿宋_GB2312" w:hAnsi="仿宋_GB2312" w:eastAsia="仿宋_GB2312" w:cs="仿宋_GB2312"/>
                <w:b/>
                <w:sz w:val="30"/>
              </w:rPr>
            </w:pPr>
          </w:p>
        </w:tc>
        <w:tc>
          <w:tcPr>
            <w:tcW w:w="1220" w:type="pct"/>
            <w:noWrap w:val="0"/>
            <w:vAlign w:val="top"/>
          </w:tcPr>
          <w:p w14:paraId="7B72CC5E">
            <w:pPr>
              <w:pStyle w:val="6"/>
              <w:ind w:left="960"/>
              <w:rPr>
                <w:rFonts w:hint="eastAsia" w:ascii="仿宋_GB2312" w:hAnsi="仿宋_GB2312" w:eastAsia="仿宋_GB2312" w:cs="仿宋_GB2312"/>
                <w:b/>
                <w:sz w:val="30"/>
              </w:rPr>
            </w:pPr>
          </w:p>
        </w:tc>
        <w:tc>
          <w:tcPr>
            <w:tcW w:w="972" w:type="pct"/>
            <w:noWrap w:val="0"/>
            <w:vAlign w:val="top"/>
          </w:tcPr>
          <w:p w14:paraId="045876F8">
            <w:pPr>
              <w:pStyle w:val="6"/>
              <w:ind w:left="960"/>
              <w:rPr>
                <w:rFonts w:hint="eastAsia" w:ascii="仿宋_GB2312" w:hAnsi="仿宋_GB2312" w:eastAsia="仿宋_GB2312" w:cs="仿宋_GB2312"/>
                <w:b/>
                <w:sz w:val="30"/>
              </w:rPr>
            </w:pPr>
          </w:p>
        </w:tc>
        <w:tc>
          <w:tcPr>
            <w:tcW w:w="1189" w:type="pct"/>
            <w:noWrap w:val="0"/>
            <w:vAlign w:val="top"/>
          </w:tcPr>
          <w:p w14:paraId="32947A4D">
            <w:pPr>
              <w:pStyle w:val="6"/>
              <w:ind w:left="960"/>
              <w:rPr>
                <w:rFonts w:hint="eastAsia" w:ascii="仿宋_GB2312" w:hAnsi="仿宋_GB2312" w:eastAsia="仿宋_GB2312" w:cs="仿宋_GB2312"/>
                <w:b/>
                <w:sz w:val="30"/>
              </w:rPr>
            </w:pPr>
          </w:p>
        </w:tc>
        <w:tc>
          <w:tcPr>
            <w:tcW w:w="715" w:type="pct"/>
            <w:noWrap w:val="0"/>
            <w:vAlign w:val="top"/>
          </w:tcPr>
          <w:p w14:paraId="0773F723">
            <w:pPr>
              <w:pStyle w:val="6"/>
              <w:ind w:left="960"/>
              <w:rPr>
                <w:rFonts w:hint="eastAsia" w:ascii="仿宋_GB2312" w:hAnsi="仿宋_GB2312" w:eastAsia="仿宋_GB2312" w:cs="仿宋_GB2312"/>
                <w:b/>
                <w:sz w:val="30"/>
              </w:rPr>
            </w:pPr>
          </w:p>
        </w:tc>
      </w:tr>
      <w:tr w14:paraId="14DC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03" w:type="pct"/>
            <w:noWrap w:val="0"/>
            <w:vAlign w:val="top"/>
          </w:tcPr>
          <w:p w14:paraId="479A7AEC">
            <w:pPr>
              <w:pStyle w:val="6"/>
              <w:ind w:left="960"/>
              <w:rPr>
                <w:rFonts w:hint="eastAsia" w:ascii="仿宋_GB2312" w:hAnsi="仿宋_GB2312" w:eastAsia="仿宋_GB2312" w:cs="仿宋_GB2312"/>
                <w:b/>
                <w:sz w:val="30"/>
              </w:rPr>
            </w:pPr>
          </w:p>
        </w:tc>
        <w:tc>
          <w:tcPr>
            <w:tcW w:w="1220" w:type="pct"/>
            <w:noWrap w:val="0"/>
            <w:vAlign w:val="top"/>
          </w:tcPr>
          <w:p w14:paraId="79AFF47A">
            <w:pPr>
              <w:pStyle w:val="6"/>
              <w:ind w:left="960"/>
              <w:rPr>
                <w:rFonts w:hint="eastAsia" w:ascii="仿宋_GB2312" w:hAnsi="仿宋_GB2312" w:eastAsia="仿宋_GB2312" w:cs="仿宋_GB2312"/>
                <w:b/>
                <w:sz w:val="30"/>
              </w:rPr>
            </w:pPr>
          </w:p>
        </w:tc>
        <w:tc>
          <w:tcPr>
            <w:tcW w:w="972" w:type="pct"/>
            <w:noWrap w:val="0"/>
            <w:vAlign w:val="top"/>
          </w:tcPr>
          <w:p w14:paraId="77874187">
            <w:pPr>
              <w:pStyle w:val="6"/>
              <w:ind w:left="960"/>
              <w:rPr>
                <w:rFonts w:hint="eastAsia" w:ascii="仿宋_GB2312" w:hAnsi="仿宋_GB2312" w:eastAsia="仿宋_GB2312" w:cs="仿宋_GB2312"/>
                <w:b/>
                <w:sz w:val="30"/>
              </w:rPr>
            </w:pPr>
          </w:p>
        </w:tc>
        <w:tc>
          <w:tcPr>
            <w:tcW w:w="1189" w:type="pct"/>
            <w:noWrap w:val="0"/>
            <w:vAlign w:val="top"/>
          </w:tcPr>
          <w:p w14:paraId="0CB3321D">
            <w:pPr>
              <w:pStyle w:val="6"/>
              <w:ind w:left="960"/>
              <w:rPr>
                <w:rFonts w:hint="eastAsia" w:ascii="仿宋_GB2312" w:hAnsi="仿宋_GB2312" w:eastAsia="仿宋_GB2312" w:cs="仿宋_GB2312"/>
                <w:b/>
                <w:sz w:val="30"/>
              </w:rPr>
            </w:pPr>
          </w:p>
        </w:tc>
        <w:tc>
          <w:tcPr>
            <w:tcW w:w="715" w:type="pct"/>
            <w:noWrap w:val="0"/>
            <w:vAlign w:val="top"/>
          </w:tcPr>
          <w:p w14:paraId="52B0AC8C">
            <w:pPr>
              <w:pStyle w:val="6"/>
              <w:ind w:left="960"/>
              <w:rPr>
                <w:rFonts w:hint="eastAsia" w:ascii="仿宋_GB2312" w:hAnsi="仿宋_GB2312" w:eastAsia="仿宋_GB2312" w:cs="仿宋_GB2312"/>
                <w:b/>
                <w:sz w:val="30"/>
              </w:rPr>
            </w:pPr>
          </w:p>
        </w:tc>
      </w:tr>
      <w:tr w14:paraId="25D5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903" w:type="pct"/>
            <w:noWrap w:val="0"/>
            <w:vAlign w:val="top"/>
          </w:tcPr>
          <w:p w14:paraId="67438E68">
            <w:pPr>
              <w:pStyle w:val="6"/>
              <w:ind w:left="960"/>
              <w:rPr>
                <w:rFonts w:hint="eastAsia" w:ascii="仿宋_GB2312" w:hAnsi="仿宋_GB2312" w:eastAsia="仿宋_GB2312" w:cs="仿宋_GB2312"/>
                <w:b/>
                <w:sz w:val="30"/>
              </w:rPr>
            </w:pPr>
          </w:p>
        </w:tc>
        <w:tc>
          <w:tcPr>
            <w:tcW w:w="1220" w:type="pct"/>
            <w:noWrap w:val="0"/>
            <w:vAlign w:val="top"/>
          </w:tcPr>
          <w:p w14:paraId="34F8C027">
            <w:pPr>
              <w:pStyle w:val="6"/>
              <w:ind w:left="960"/>
              <w:rPr>
                <w:rFonts w:hint="eastAsia" w:ascii="仿宋_GB2312" w:hAnsi="仿宋_GB2312" w:eastAsia="仿宋_GB2312" w:cs="仿宋_GB2312"/>
                <w:b/>
                <w:sz w:val="30"/>
              </w:rPr>
            </w:pPr>
          </w:p>
        </w:tc>
        <w:tc>
          <w:tcPr>
            <w:tcW w:w="972" w:type="pct"/>
            <w:noWrap w:val="0"/>
            <w:vAlign w:val="top"/>
          </w:tcPr>
          <w:p w14:paraId="0379B816">
            <w:pPr>
              <w:pStyle w:val="6"/>
              <w:ind w:left="960"/>
              <w:rPr>
                <w:rFonts w:hint="eastAsia" w:ascii="仿宋_GB2312" w:hAnsi="仿宋_GB2312" w:eastAsia="仿宋_GB2312" w:cs="仿宋_GB2312"/>
                <w:b/>
                <w:sz w:val="30"/>
              </w:rPr>
            </w:pPr>
          </w:p>
        </w:tc>
        <w:tc>
          <w:tcPr>
            <w:tcW w:w="1189" w:type="pct"/>
            <w:noWrap w:val="0"/>
            <w:vAlign w:val="top"/>
          </w:tcPr>
          <w:p w14:paraId="78E1FE10">
            <w:pPr>
              <w:pStyle w:val="6"/>
              <w:ind w:left="960"/>
              <w:rPr>
                <w:rFonts w:hint="eastAsia" w:ascii="仿宋_GB2312" w:hAnsi="仿宋_GB2312" w:eastAsia="仿宋_GB2312" w:cs="仿宋_GB2312"/>
                <w:b/>
                <w:sz w:val="30"/>
              </w:rPr>
            </w:pPr>
          </w:p>
        </w:tc>
        <w:tc>
          <w:tcPr>
            <w:tcW w:w="715" w:type="pct"/>
            <w:noWrap w:val="0"/>
            <w:vAlign w:val="top"/>
          </w:tcPr>
          <w:p w14:paraId="5A041605">
            <w:pPr>
              <w:pStyle w:val="6"/>
              <w:ind w:left="960"/>
              <w:rPr>
                <w:rFonts w:hint="eastAsia" w:ascii="仿宋_GB2312" w:hAnsi="仿宋_GB2312" w:eastAsia="仿宋_GB2312" w:cs="仿宋_GB2312"/>
                <w:b/>
                <w:sz w:val="30"/>
              </w:rPr>
            </w:pPr>
          </w:p>
        </w:tc>
      </w:tr>
      <w:bookmarkEnd w:id="35"/>
      <w:bookmarkEnd w:id="36"/>
    </w:tbl>
    <w:p w14:paraId="7A53D9D7">
      <w:pPr>
        <w:adjustRightInd w:val="0"/>
        <w:snapToGrid w:val="0"/>
        <w:spacing w:line="560" w:lineRule="exact"/>
        <w:rPr>
          <w:rFonts w:hint="eastAsia" w:ascii="仿宋_GB2312" w:hAnsi="仿宋_GB2312" w:eastAsia="仿宋_GB2312" w:cs="仿宋_GB2312"/>
          <w:kern w:val="0"/>
          <w:sz w:val="28"/>
          <w:szCs w:val="28"/>
        </w:rPr>
      </w:pPr>
    </w:p>
    <w:p w14:paraId="2B459227"/>
    <w:sectPr>
      <w:headerReference r:id="rId3" w:type="default"/>
      <w:footerReference r:id="rId4" w:type="default"/>
      <w:pgSz w:w="11906" w:h="16838"/>
      <w:pgMar w:top="1418" w:right="1701" w:bottom="1418" w:left="170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FC108">
    <w:pPr>
      <w:pStyle w:val="9"/>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4DB6F7">
                          <w:pPr>
                            <w:pStyle w:val="9"/>
                            <w:jc w:val="center"/>
                          </w:pPr>
                          <w:r>
                            <w:rPr>
                              <w:rStyle w:val="15"/>
                              <w:rFonts w:hint="eastAsia"/>
                            </w:rPr>
                            <w:t xml:space="preserve">－ </w:t>
                          </w:r>
                          <w:r>
                            <w:fldChar w:fldCharType="begin"/>
                          </w:r>
                          <w:r>
                            <w:rPr>
                              <w:rStyle w:val="15"/>
                            </w:rPr>
                            <w:instrText xml:space="preserve"> PAGE </w:instrText>
                          </w:r>
                          <w:r>
                            <w:fldChar w:fldCharType="separate"/>
                          </w:r>
                          <w:r>
                            <w:rPr>
                              <w:rStyle w:val="15"/>
                            </w:rPr>
                            <w:t>1</w:t>
                          </w:r>
                          <w:r>
                            <w:fldChar w:fldCharType="end"/>
                          </w:r>
                          <w:r>
                            <w:rPr>
                              <w:rStyle w:val="15"/>
                              <w:rFonts w:hint="eastAsia"/>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54DB6F7">
                    <w:pPr>
                      <w:pStyle w:val="9"/>
                      <w:jc w:val="center"/>
                    </w:pPr>
                    <w:r>
                      <w:rPr>
                        <w:rStyle w:val="15"/>
                        <w:rFonts w:hint="eastAsia"/>
                      </w:rPr>
                      <w:t xml:space="preserve">－ </w:t>
                    </w:r>
                    <w:r>
                      <w:fldChar w:fldCharType="begin"/>
                    </w:r>
                    <w:r>
                      <w:rPr>
                        <w:rStyle w:val="15"/>
                      </w:rPr>
                      <w:instrText xml:space="preserve"> PAGE </w:instrText>
                    </w:r>
                    <w:r>
                      <w:fldChar w:fldCharType="separate"/>
                    </w:r>
                    <w:r>
                      <w:rPr>
                        <w:rStyle w:val="15"/>
                      </w:rPr>
                      <w:t>1</w:t>
                    </w:r>
                    <w:r>
                      <w:fldChar w:fldCharType="end"/>
                    </w:r>
                    <w:r>
                      <w:rPr>
                        <w:rStyle w:val="15"/>
                        <w:rFonts w:hint="eastAsi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E8BD0">
    <w:pPr>
      <w:pStyle w:val="10"/>
      <w:wordWrap w:val="0"/>
      <w:jc w:val="right"/>
      <w:rPr>
        <w:rFonts w:ascii="宋体" w:hAnsi="宋体"/>
      </w:rPr>
    </w:pPr>
    <w:r>
      <w:rPr>
        <w:rFonts w:ascii="宋体" w:hAnsi="宋体"/>
      </w:rPr>
      <w:drawing>
        <wp:anchor distT="0" distB="0" distL="114300" distR="114300" simplePos="0" relativeHeight="251659264" behindDoc="0" locked="0" layoutInCell="1" allowOverlap="1">
          <wp:simplePos x="0" y="0"/>
          <wp:positionH relativeFrom="column">
            <wp:posOffset>-1905</wp:posOffset>
          </wp:positionH>
          <wp:positionV relativeFrom="paragraph">
            <wp:posOffset>-22225</wp:posOffset>
          </wp:positionV>
          <wp:extent cx="914400" cy="179070"/>
          <wp:effectExtent l="0" t="0" r="0" b="11430"/>
          <wp:wrapSquare wrapText="r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1" r:link="rId2"/>
                  <a:srcRect l="5882" t="14223" r="5882" b="27449"/>
                  <a:stretch>
                    <a:fillRect/>
                  </a:stretch>
                </pic:blipFill>
                <pic:spPr>
                  <a:xfrm>
                    <a:off x="0" y="0"/>
                    <a:ext cx="914400" cy="179070"/>
                  </a:xfrm>
                  <a:prstGeom prst="rect">
                    <a:avLst/>
                  </a:prstGeom>
                  <a:noFill/>
                  <a:ln>
                    <a:noFill/>
                  </a:ln>
                </pic:spPr>
              </pic:pic>
            </a:graphicData>
          </a:graphic>
        </wp:anchor>
      </w:drawing>
    </w:r>
    <w:r>
      <w:rPr>
        <w:rFonts w:hint="eastAsia" w:ascii="宋体" w:hAnsi="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346E0F"/>
    <w:multiLevelType w:val="singleLevel"/>
    <w:tmpl w:val="A9346E0F"/>
    <w:lvl w:ilvl="0" w:tentative="0">
      <w:start w:val="1"/>
      <w:numFmt w:val="decimal"/>
      <w:lvlText w:val="(%1)"/>
      <w:lvlJc w:val="left"/>
      <w:pPr>
        <w:tabs>
          <w:tab w:val="left" w:pos="312"/>
        </w:tabs>
      </w:pPr>
    </w:lvl>
  </w:abstractNum>
  <w:abstractNum w:abstractNumId="1">
    <w:nsid w:val="0B896C8E"/>
    <w:multiLevelType w:val="singleLevel"/>
    <w:tmpl w:val="0B896C8E"/>
    <w:lvl w:ilvl="0" w:tentative="0">
      <w:start w:val="1"/>
      <w:numFmt w:val="decimal"/>
      <w:suff w:val="nothing"/>
      <w:lvlText w:val="（%1）"/>
      <w:lvlJc w:val="left"/>
    </w:lvl>
  </w:abstractNum>
  <w:abstractNum w:abstractNumId="2">
    <w:nsid w:val="0BE171F8"/>
    <w:multiLevelType w:val="multilevel"/>
    <w:tmpl w:val="0BE171F8"/>
    <w:lvl w:ilvl="0" w:tentative="0">
      <w:start w:val="1"/>
      <w:numFmt w:val="decimal"/>
      <w:suff w:val="nothing"/>
      <w:lvlText w:val="%1）"/>
      <w:lvlJc w:val="left"/>
      <w:pPr>
        <w:ind w:left="900" w:hanging="420"/>
      </w:pPr>
      <w:rPr>
        <w:rFonts w:hint="eastAsia" w:ascii="Times New Roman" w:hAnsi="Times New Roman" w:eastAsia="宋体" w:cs="Times New Roman"/>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3">
    <w:nsid w:val="197B2D60"/>
    <w:multiLevelType w:val="multilevel"/>
    <w:tmpl w:val="197B2D60"/>
    <w:lvl w:ilvl="0" w:tentative="0">
      <w:start w:val="1"/>
      <w:numFmt w:val="decimal"/>
      <w:suff w:val="nothing"/>
      <w:lvlText w:val="%1）"/>
      <w:lvlJc w:val="left"/>
      <w:pPr>
        <w:ind w:left="900" w:hanging="420"/>
      </w:pPr>
      <w:rPr>
        <w:rFonts w:hint="eastAsia" w:ascii="Times New Roman" w:hAnsi="Times New Roman" w:eastAsia="宋体" w:cs="Times New Roman"/>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4">
    <w:nsid w:val="274127D9"/>
    <w:multiLevelType w:val="multilevel"/>
    <w:tmpl w:val="274127D9"/>
    <w:lvl w:ilvl="0" w:tentative="0">
      <w:start w:val="1"/>
      <w:numFmt w:val="decimal"/>
      <w:pStyle w:val="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55B1937"/>
    <w:multiLevelType w:val="multilevel"/>
    <w:tmpl w:val="355B1937"/>
    <w:lvl w:ilvl="0" w:tentative="0">
      <w:start w:val="1"/>
      <w:numFmt w:val="decimal"/>
      <w:suff w:val="nothing"/>
      <w:lvlText w:val="%1）"/>
      <w:lvlJc w:val="left"/>
      <w:pPr>
        <w:ind w:left="900" w:hanging="420"/>
      </w:pPr>
      <w:rPr>
        <w:rFonts w:hint="eastAsia" w:ascii="Times New Roman" w:hAnsi="Times New Roman" w:eastAsia="宋体" w:cs="Times New Roman"/>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6">
    <w:nsid w:val="756D29A0"/>
    <w:multiLevelType w:val="multilevel"/>
    <w:tmpl w:val="756D29A0"/>
    <w:lvl w:ilvl="0" w:tentative="0">
      <w:start w:val="1"/>
      <w:numFmt w:val="decimal"/>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lvlText w:val="%1.%2."/>
      <w:lvlJc w:val="left"/>
      <w:pPr>
        <w:tabs>
          <w:tab w:val="left" w:pos="567"/>
        </w:tabs>
        <w:ind w:left="567" w:hanging="567"/>
      </w:pPr>
      <w:rPr>
        <w:rFonts w:hint="default" w:ascii="Times New Roman" w:hAnsi="Times New Roman" w:eastAsia="宋体"/>
        <w:sz w:val="24"/>
        <w:szCs w:val="24"/>
      </w:rPr>
    </w:lvl>
    <w:lvl w:ilvl="2" w:tentative="0">
      <w:start w:val="1"/>
      <w:numFmt w:val="decimal"/>
      <w:pStyle w:val="4"/>
      <w:lvlText w:val="%1.%2.%3."/>
      <w:lvlJc w:val="left"/>
      <w:pPr>
        <w:tabs>
          <w:tab w:val="left" w:pos="709"/>
        </w:tabs>
        <w:ind w:left="709" w:hanging="709"/>
      </w:pPr>
      <w:rPr>
        <w:rFonts w:ascii="黑体" w:hAnsi="黑体" w:eastAsia="黑体"/>
        <w:b w:val="0"/>
        <w:sz w:val="24"/>
        <w:szCs w:val="24"/>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D0D363A"/>
    <w:multiLevelType w:val="multilevel"/>
    <w:tmpl w:val="7D0D363A"/>
    <w:lvl w:ilvl="0" w:tentative="0">
      <w:start w:val="1"/>
      <w:numFmt w:val="decimal"/>
      <w:pStyle w:val="3"/>
      <w:lvlText w:val="1.%1"/>
      <w:lvlJc w:val="left"/>
      <w:pPr>
        <w:ind w:left="70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42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7"/>
  </w:num>
  <w:num w:numId="3">
    <w:abstractNumId w:val="6"/>
  </w:num>
  <w:num w:numId="4">
    <w:abstractNumId w:val="2"/>
  </w:num>
  <w:num w:numId="5">
    <w:abstractNumId w:val="3"/>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8D0EF8"/>
    <w:rsid w:val="052E47BF"/>
    <w:rsid w:val="05EC1AA8"/>
    <w:rsid w:val="084F33CB"/>
    <w:rsid w:val="092D54BA"/>
    <w:rsid w:val="0C607954"/>
    <w:rsid w:val="0E42523D"/>
    <w:rsid w:val="12F11306"/>
    <w:rsid w:val="130D3C66"/>
    <w:rsid w:val="1AB64BE3"/>
    <w:rsid w:val="1B317B2B"/>
    <w:rsid w:val="1EE7180F"/>
    <w:rsid w:val="1F5F3AA4"/>
    <w:rsid w:val="21867A05"/>
    <w:rsid w:val="2BA47406"/>
    <w:rsid w:val="2DF16206"/>
    <w:rsid w:val="2F2443BA"/>
    <w:rsid w:val="2F401C3D"/>
    <w:rsid w:val="2F4F7689"/>
    <w:rsid w:val="305A291D"/>
    <w:rsid w:val="32C84429"/>
    <w:rsid w:val="33127786"/>
    <w:rsid w:val="334821C2"/>
    <w:rsid w:val="358E6A31"/>
    <w:rsid w:val="387D45A5"/>
    <w:rsid w:val="39EC3D26"/>
    <w:rsid w:val="3E703177"/>
    <w:rsid w:val="3EFC0E70"/>
    <w:rsid w:val="435412BA"/>
    <w:rsid w:val="457E617A"/>
    <w:rsid w:val="48FC65F5"/>
    <w:rsid w:val="4A0B01F8"/>
    <w:rsid w:val="4BCF4055"/>
    <w:rsid w:val="4BFC429C"/>
    <w:rsid w:val="4CA02404"/>
    <w:rsid w:val="4DBC1F35"/>
    <w:rsid w:val="4EFE032C"/>
    <w:rsid w:val="4F4F1C96"/>
    <w:rsid w:val="526861E8"/>
    <w:rsid w:val="54AA0D3A"/>
    <w:rsid w:val="58315BF8"/>
    <w:rsid w:val="58E862D4"/>
    <w:rsid w:val="5C590E22"/>
    <w:rsid w:val="5C8A1451"/>
    <w:rsid w:val="5CAA2BC6"/>
    <w:rsid w:val="5D0631CD"/>
    <w:rsid w:val="5EB34C8F"/>
    <w:rsid w:val="5FEA0B84"/>
    <w:rsid w:val="61880654"/>
    <w:rsid w:val="6477050C"/>
    <w:rsid w:val="64803521"/>
    <w:rsid w:val="65AF7D50"/>
    <w:rsid w:val="678D0EF8"/>
    <w:rsid w:val="680B1697"/>
    <w:rsid w:val="695B03FD"/>
    <w:rsid w:val="69D33B54"/>
    <w:rsid w:val="6C816770"/>
    <w:rsid w:val="6D5218DC"/>
    <w:rsid w:val="70B2756B"/>
    <w:rsid w:val="71984AA8"/>
    <w:rsid w:val="71AB7A47"/>
    <w:rsid w:val="72731842"/>
    <w:rsid w:val="742D6E23"/>
    <w:rsid w:val="75265D63"/>
    <w:rsid w:val="757C5983"/>
    <w:rsid w:val="762322A2"/>
    <w:rsid w:val="7D645FAA"/>
    <w:rsid w:val="7D9615AC"/>
    <w:rsid w:val="7E5C118D"/>
    <w:rsid w:val="7F8C0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widowControl/>
      <w:numPr>
        <w:ilvl w:val="0"/>
        <w:numId w:val="1"/>
      </w:numPr>
      <w:spacing w:before="240" w:after="240" w:line="480" w:lineRule="exact"/>
      <w:outlineLvl w:val="0"/>
    </w:pPr>
    <w:rPr>
      <w:rFonts w:ascii="仿宋_GB2312" w:hAnsi="Times New Roman" w:eastAsia="仿宋_GB2312"/>
      <w:b/>
      <w:bCs/>
      <w:kern w:val="44"/>
      <w:sz w:val="28"/>
      <w:szCs w:val="28"/>
    </w:rPr>
  </w:style>
  <w:style w:type="paragraph" w:styleId="3">
    <w:name w:val="heading 2"/>
    <w:basedOn w:val="1"/>
    <w:next w:val="1"/>
    <w:qFormat/>
    <w:uiPriority w:val="0"/>
    <w:pPr>
      <w:keepNext/>
      <w:keepLines/>
      <w:numPr>
        <w:ilvl w:val="0"/>
        <w:numId w:val="2"/>
      </w:numPr>
      <w:spacing w:before="240" w:after="240" w:line="480" w:lineRule="exact"/>
      <w:jc w:val="left"/>
      <w:outlineLvl w:val="1"/>
    </w:pPr>
    <w:rPr>
      <w:rFonts w:ascii="仿宋_GB2312" w:hAnsi="Arial" w:eastAsia="仿宋_GB2312"/>
      <w:b/>
      <w:bCs/>
      <w:sz w:val="28"/>
      <w:szCs w:val="28"/>
    </w:rPr>
  </w:style>
  <w:style w:type="paragraph" w:styleId="4">
    <w:name w:val="heading 3"/>
    <w:basedOn w:val="1"/>
    <w:next w:val="1"/>
    <w:qFormat/>
    <w:uiPriority w:val="0"/>
    <w:pPr>
      <w:keepNext/>
      <w:keepLines/>
      <w:numPr>
        <w:ilvl w:val="2"/>
        <w:numId w:val="3"/>
      </w:numPr>
      <w:spacing w:before="260" w:after="260" w:line="416" w:lineRule="auto"/>
      <w:outlineLvl w:val="2"/>
    </w:pPr>
    <w:rPr>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uiPriority w:val="0"/>
    <w:pPr>
      <w:spacing w:line="300" w:lineRule="auto"/>
      <w:ind w:firstLine="420"/>
    </w:pPr>
    <w:rPr>
      <w:sz w:val="24"/>
      <w:szCs w:val="20"/>
    </w:rPr>
  </w:style>
  <w:style w:type="paragraph" w:styleId="6">
    <w:name w:val="caption"/>
    <w:next w:val="1"/>
    <w:qFormat/>
    <w:uiPriority w:val="0"/>
    <w:pPr>
      <w:adjustRightInd w:val="0"/>
      <w:jc w:val="center"/>
      <w:textAlignment w:val="baseline"/>
    </w:pPr>
    <w:rPr>
      <w:rFonts w:ascii="Times New Roman" w:hAnsi="Times New Roman" w:eastAsia="仿宋" w:cs="Arial"/>
      <w:sz w:val="24"/>
      <w:lang w:val="en-US" w:eastAsia="zh-CN" w:bidi="ar-SA"/>
    </w:rPr>
  </w:style>
  <w:style w:type="paragraph" w:styleId="7">
    <w:name w:val="annotation text"/>
    <w:basedOn w:val="1"/>
    <w:qFormat/>
    <w:uiPriority w:val="0"/>
    <w:pPr>
      <w:jc w:val="left"/>
    </w:pPr>
  </w:style>
  <w:style w:type="paragraph" w:styleId="8">
    <w:name w:val="Body Text"/>
    <w:basedOn w:val="1"/>
    <w:next w:val="1"/>
    <w:qFormat/>
    <w:uiPriority w:val="99"/>
    <w:pPr>
      <w:spacing w:after="120"/>
      <w:ind w:firstLine="200" w:firstLineChars="200"/>
    </w:pPr>
    <w:rPr>
      <w:sz w:val="24"/>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itle"/>
    <w:basedOn w:val="1"/>
    <w:next w:val="1"/>
    <w:qFormat/>
    <w:uiPriority w:val="0"/>
    <w:pPr>
      <w:spacing w:before="240" w:after="60"/>
      <w:jc w:val="center"/>
      <w:outlineLvl w:val="0"/>
    </w:pPr>
    <w:rPr>
      <w:rFonts w:ascii="Cambria" w:hAnsi="Cambria"/>
      <w:b/>
      <w:bCs/>
      <w:sz w:val="32"/>
      <w:szCs w:val="32"/>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http://www.csg.net.cn/images/sy_logo.gif" TargetMode="External"/><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4175</Words>
  <Characters>4339</Characters>
  <Lines>0</Lines>
  <Paragraphs>0</Paragraphs>
  <TotalTime>0</TotalTime>
  <ScaleCrop>false</ScaleCrop>
  <LinksUpToDate>false</LinksUpToDate>
  <CharactersWithSpaces>4357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2026-06-01T03:00:00Z</dcterms:created>
  <dc:creator>xzt</dc:creator>
  <cp:lastModifiedBy>xzt</cp:lastModifiedBy>
  <dcterms:modified xsi:type="dcterms:W3CDTF">2026-07-21T00:34:54Z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51009A4F49A94FC7AEF3CCE4457386E3_11</vt:lpwstr>
  </property>
  <property fmtid="{D5CDD505-2E9C-101B-9397-08002B2CF9AE}" pid="4" name="KSOTemplateDocerSaveRecord">
    <vt:lpwstr>eyJoZGlkIjoiNzRlNmIzMDk0NmE0YjAwNTUzYjUyNmRjYTVmMDlkNzUiLCJ1c2VySWQiOiI2NDk4OTA1MDkifQ==</vt:lpwstr>
  </property>
</Properties>
</file>