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jc w:val="center"/>
        <w:rPr>
          <w:rFonts w:hint="eastAsia" w:ascii="仿宋" w:hAnsi="仿宋" w:eastAsia="仿宋" w:cs="仿宋"/>
          <w:b/>
          <w:bCs w:val="0"/>
          <w:color w:val="000000"/>
          <w:sz w:val="36"/>
          <w:szCs w:val="36"/>
          <w:u w:val="none"/>
          <w:lang w:val="en-US" w:eastAsia="zh-CN"/>
        </w:rPr>
      </w:pPr>
      <w:bookmarkStart w:id="0" w:name="_Toc349031711"/>
      <w:r>
        <w:rPr>
          <w:rFonts w:ascii="Calibri" w:hAnsi="Calibri" w:eastAsia="宋体" w:cs="Times New Roman"/>
          <w:kern w:val="2"/>
          <w:sz w:val="21"/>
          <w:szCs w:val="22"/>
          <w:lang w:val="en-US" w:eastAsia="zh-CN" w:bidi="ar-SA"/>
        </w:rPr>
        <w:drawing>
          <wp:anchor distT="0" distB="0" distL="114300" distR="114300" simplePos="0" relativeHeight="251659264" behindDoc="1" locked="0" layoutInCell="1" allowOverlap="1">
            <wp:simplePos x="0" y="0"/>
            <wp:positionH relativeFrom="page">
              <wp:posOffset>4445</wp:posOffset>
            </wp:positionH>
            <wp:positionV relativeFrom="paragraph">
              <wp:posOffset>-615950</wp:posOffset>
            </wp:positionV>
            <wp:extent cx="8046085" cy="7741285"/>
            <wp:effectExtent l="0" t="0" r="12065" b="1206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5">
                      <a:lum/>
                    </a:blip>
                    <a:stretch>
                      <a:fillRect/>
                    </a:stretch>
                  </pic:blipFill>
                  <pic:spPr>
                    <a:xfrm>
                      <a:off x="0" y="0"/>
                      <a:ext cx="8046085" cy="7741285"/>
                    </a:xfrm>
                    <a:prstGeom prst="rect">
                      <a:avLst/>
                    </a:prstGeom>
                    <a:noFill/>
                    <a:ln>
                      <a:noFill/>
                    </a:ln>
                  </pic:spPr>
                </pic:pic>
              </a:graphicData>
            </a:graphic>
          </wp:anchor>
        </w:drawing>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r>
        <w:rPr>
          <w:rFonts w:ascii="Calibri" w:hAnsi="Calibri" w:eastAsia="宋体" w:cs="Times New Roman"/>
          <w:kern w:val="2"/>
          <w:sz w:val="21"/>
          <w:szCs w:val="22"/>
          <w:lang w:val="en-US" w:eastAsia="zh-CN" w:bidi="ar-SA"/>
        </w:rPr>
        <w:drawing>
          <wp:anchor distT="0" distB="0" distL="114300" distR="114300" simplePos="0" relativeHeight="251660288" behindDoc="0" locked="0" layoutInCell="1" allowOverlap="1">
            <wp:simplePos x="0" y="0"/>
            <wp:positionH relativeFrom="page">
              <wp:posOffset>342900</wp:posOffset>
            </wp:positionH>
            <wp:positionV relativeFrom="paragraph">
              <wp:posOffset>46355</wp:posOffset>
            </wp:positionV>
            <wp:extent cx="3459480" cy="813435"/>
            <wp:effectExtent l="0" t="0" r="7620" b="5715"/>
            <wp:wrapNone/>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6">
                      <a:lum/>
                    </a:blip>
                    <a:stretch>
                      <a:fillRect/>
                    </a:stretch>
                  </pic:blipFill>
                  <pic:spPr>
                    <a:xfrm>
                      <a:off x="0" y="0"/>
                      <a:ext cx="3459480" cy="813435"/>
                    </a:xfrm>
                    <a:prstGeom prst="rect">
                      <a:avLst/>
                    </a:prstGeom>
                    <a:noFill/>
                    <a:ln>
                      <a:noFill/>
                    </a:ln>
                  </pic:spPr>
                </pic:pic>
              </a:graphicData>
            </a:graphic>
          </wp:anchor>
        </w:drawing>
      </w:r>
    </w:p>
    <w:p>
      <w:pPr>
        <w:pStyle w:val="10"/>
        <w:keepNext w:val="0"/>
        <w:keepLines w:val="0"/>
        <w:widowControl/>
        <w:suppressLineNumbers w:val="0"/>
        <w:rPr>
          <w:color w:val="000000"/>
          <w:sz w:val="50"/>
          <w:szCs w:val="50"/>
        </w:rPr>
      </w:pPr>
    </w:p>
    <w:p>
      <w:pPr>
        <w:spacing w:before="156"/>
        <w:jc w:val="center"/>
        <w:rPr>
          <w:rFonts w:hint="eastAsia" w:ascii="黑体" w:hAnsi="黑体" w:eastAsia="黑体" w:cs="宋体"/>
          <w:b/>
          <w:color w:val="000000"/>
          <w:sz w:val="48"/>
          <w:szCs w:val="48"/>
          <w:u w:val="single"/>
          <w:lang w:val="zh-CN" w:eastAsia="zh-CN"/>
        </w:rPr>
      </w:pPr>
    </w:p>
    <w:p>
      <w:pPr>
        <w:spacing w:before="156"/>
        <w:jc w:val="center"/>
        <w:rPr>
          <w:rFonts w:hint="eastAsia" w:ascii="黑体" w:hAnsi="黑体" w:eastAsia="黑体" w:cs="宋体"/>
          <w:b/>
          <w:color w:val="000000"/>
          <w:sz w:val="48"/>
          <w:szCs w:val="48"/>
          <w:u w:val="single"/>
          <w:lang w:val="zh-CN" w:eastAsia="zh-CN"/>
        </w:rPr>
      </w:pPr>
      <w:r>
        <w:rPr>
          <w:rFonts w:hint="eastAsia" w:ascii="黑体" w:hAnsi="黑体" w:eastAsia="黑体" w:cs="宋体"/>
          <w:b/>
          <w:color w:val="000000"/>
          <w:sz w:val="48"/>
          <w:szCs w:val="48"/>
          <w:u w:val="single"/>
          <w:lang w:val="zh-CN" w:eastAsia="zh-CN"/>
        </w:rPr>
        <w:t>广西电网公司</w:t>
      </w:r>
      <w:r>
        <w:rPr>
          <w:rFonts w:hint="eastAsia" w:ascii="黑体" w:hAnsi="黑体" w:eastAsia="黑体" w:cs="宋体"/>
          <w:b/>
          <w:color w:val="000000"/>
          <w:sz w:val="48"/>
          <w:szCs w:val="48"/>
          <w:u w:val="single"/>
          <w:lang w:val="en-US" w:eastAsia="zh-CN"/>
        </w:rPr>
        <w:t>百色</w:t>
      </w:r>
      <w:r>
        <w:rPr>
          <w:rFonts w:hint="eastAsia" w:ascii="黑体" w:hAnsi="黑体" w:eastAsia="黑体" w:cs="宋体"/>
          <w:b/>
          <w:color w:val="000000"/>
          <w:sz w:val="48"/>
          <w:szCs w:val="48"/>
          <w:u w:val="single"/>
          <w:lang w:val="zh-CN" w:eastAsia="zh-CN"/>
        </w:rPr>
        <w:t>供电局2026年规划发展专业小型基建项目前期专题（其他）技术服务零星采购项目技术规范书</w:t>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bookmarkEnd w:id="0"/>
    <w:p>
      <w:pPr>
        <w:adjustRightInd w:val="0"/>
        <w:snapToGrid w:val="0"/>
        <w:spacing w:before="156" w:line="360" w:lineRule="auto"/>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spacing w:before="156"/>
        <w:jc w:val="center"/>
        <w:rPr>
          <w:rFonts w:hint="eastAsia" w:ascii="仿宋" w:hAnsi="仿宋" w:eastAsia="仿宋" w:cs="仿宋"/>
          <w:b/>
          <w:bCs/>
          <w:color w:val="000000"/>
          <w:sz w:val="28"/>
          <w:szCs w:val="28"/>
          <w:lang w:val="zh-CN" w:eastAsia="zh-CN"/>
        </w:rPr>
      </w:pPr>
      <w:r>
        <w:rPr>
          <w:rFonts w:hint="eastAsia" w:ascii="仿宋" w:hAnsi="仿宋" w:eastAsia="仿宋" w:cs="仿宋"/>
          <w:b/>
          <w:bCs/>
          <w:color w:val="000000"/>
          <w:sz w:val="28"/>
          <w:szCs w:val="28"/>
          <w:lang w:val="zh-CN" w:eastAsia="zh-CN"/>
        </w:rPr>
        <w:t>广西电网公司</w:t>
      </w:r>
      <w:r>
        <w:rPr>
          <w:rFonts w:hint="eastAsia" w:ascii="仿宋" w:hAnsi="仿宋" w:eastAsia="仿宋" w:cs="仿宋"/>
          <w:b/>
          <w:bCs/>
          <w:color w:val="000000"/>
          <w:sz w:val="28"/>
          <w:szCs w:val="28"/>
          <w:lang w:val="en-US" w:eastAsia="zh-CN"/>
        </w:rPr>
        <w:t>百色</w:t>
      </w:r>
      <w:r>
        <w:rPr>
          <w:rFonts w:hint="eastAsia" w:ascii="仿宋" w:hAnsi="仿宋" w:eastAsia="仿宋" w:cs="仿宋"/>
          <w:b/>
          <w:bCs/>
          <w:color w:val="000000"/>
          <w:sz w:val="28"/>
          <w:szCs w:val="28"/>
          <w:lang w:val="zh-CN" w:eastAsia="zh-CN"/>
        </w:rPr>
        <w:t>供电局2026年规划发展专业小型基建项目前期专题（其他）技术服务零星采购项目技术规范书</w:t>
      </w:r>
    </w:p>
    <w:p>
      <w:pPr>
        <w:spacing w:before="156"/>
        <w:jc w:val="center"/>
        <w:rPr>
          <w:rFonts w:hint="eastAsia" w:ascii="仿宋" w:hAnsi="仿宋" w:eastAsia="仿宋" w:cs="仿宋"/>
          <w:b/>
          <w:bCs/>
          <w:color w:val="000000"/>
          <w:sz w:val="28"/>
          <w:szCs w:val="28"/>
        </w:rPr>
      </w:pPr>
    </w:p>
    <w:p>
      <w:pPr>
        <w:adjustRightInd w:val="0"/>
        <w:snapToGrid w:val="0"/>
        <w:spacing w:before="156"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为规范</w:t>
      </w:r>
      <w:r>
        <w:rPr>
          <w:rFonts w:hint="eastAsia" w:ascii="仿宋" w:hAnsi="仿宋" w:eastAsia="仿宋" w:cs="仿宋"/>
          <w:color w:val="000000"/>
          <w:sz w:val="28"/>
          <w:szCs w:val="28"/>
          <w:lang w:val="zh-CN" w:eastAsia="zh-CN"/>
        </w:rPr>
        <w:t>百色供电局2026年规划发展专业小型基建项目前期专题（其他）技术服务的零星采购工</w:t>
      </w:r>
      <w:r>
        <w:rPr>
          <w:rFonts w:hint="eastAsia" w:ascii="仿宋" w:hAnsi="仿宋" w:eastAsia="仿宋" w:cs="仿宋"/>
          <w:color w:val="000000"/>
          <w:sz w:val="28"/>
          <w:szCs w:val="28"/>
        </w:rPr>
        <w:t>作，保证项目如期完成，制订本服务标准。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一、</w:t>
      </w:r>
      <w:r>
        <w:rPr>
          <w:rFonts w:hint="eastAsia" w:ascii="仿宋" w:hAnsi="仿宋" w:eastAsia="仿宋" w:cs="仿宋"/>
          <w:b/>
          <w:color w:val="000000"/>
          <w:sz w:val="28"/>
          <w:szCs w:val="28"/>
        </w:rPr>
        <w:t>服务内容</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bookmarkStart w:id="1" w:name="_Toc349031717"/>
      <w:r>
        <w:rPr>
          <w:rFonts w:hint="eastAsia" w:ascii="仿宋" w:hAnsi="仿宋" w:eastAsia="仿宋" w:cs="仿宋"/>
          <w:color w:val="auto"/>
          <w:kern w:val="2"/>
          <w:sz w:val="28"/>
          <w:szCs w:val="28"/>
          <w:lang w:val="en-US" w:eastAsia="zh-CN" w:bidi="ar-SA"/>
        </w:rPr>
        <w:t>遵照国家及当地政府等相关规定，依据中国南方电网有限责任公司、广西电网有限责任公司关于电网基建项目管理的相关制度的要求，为百色供电局2026年小型基建项目百色田东供电局义圩供电所技术业务用房项目地块建设区控制性详细规划调整报告编制。</w:t>
      </w:r>
      <w:bookmarkEnd w:id="1"/>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二、</w:t>
      </w:r>
      <w:r>
        <w:rPr>
          <w:rFonts w:hint="eastAsia" w:ascii="仿宋" w:hAnsi="仿宋" w:eastAsia="仿宋" w:cs="仿宋"/>
          <w:b/>
          <w:color w:val="000000"/>
          <w:sz w:val="28"/>
          <w:szCs w:val="28"/>
        </w:rPr>
        <w:t>服务要求</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（一）根据政府相关办理国土规划等文件要求，完成百色田东供电局义圩供电所技术业务用房项目地块建设区控制性详细规划调整报告编制。</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（二）根据调研情况及收集的资料，编制并提交百色田东供电局义圩供电所技术业务用房项目地块建设区控制性详细规划调整报告编制。</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（三）按照审批部门要求，配合完成百色田东供电局</w:t>
      </w:r>
      <w:bookmarkStart w:id="3" w:name="_GoBack"/>
      <w:bookmarkEnd w:id="3"/>
      <w:r>
        <w:rPr>
          <w:rFonts w:hint="eastAsia" w:ascii="仿宋" w:hAnsi="仿宋" w:eastAsia="仿宋" w:cs="仿宋"/>
          <w:color w:val="auto"/>
          <w:kern w:val="2"/>
          <w:sz w:val="28"/>
          <w:szCs w:val="28"/>
          <w:lang w:val="en-US" w:eastAsia="zh-CN" w:bidi="ar-SA"/>
        </w:rPr>
        <w:t>义圩供电所技术业务用房项目详规报告，取得相关审查单位对本项目的审查意见。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default"/>
          <w:lang w:val="en-US" w:eastAsia="zh-CN"/>
        </w:rPr>
      </w:pPr>
      <w:r>
        <w:rPr>
          <w:rFonts w:hint="eastAsia" w:ascii="仿宋" w:hAnsi="仿宋" w:eastAsia="仿宋" w:cs="仿宋"/>
          <w:color w:val="auto"/>
          <w:kern w:val="2"/>
          <w:sz w:val="28"/>
          <w:szCs w:val="28"/>
          <w:lang w:val="en-US" w:eastAsia="zh-CN" w:bidi="ar-SA"/>
        </w:rPr>
        <w:t>（四）根据自然资源局的审查意见及甲方要求，乙方修改并向甲方提交百色田东供电局义圩供电所技术业务用房项目独立独立地块编制调规资料，同时协助甲方向自然资源局申请评审，取得正式同意通过的批复意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bookmarkStart w:id="2" w:name="_Toc349031718"/>
      <w:r>
        <w:rPr>
          <w:rFonts w:hint="eastAsia" w:ascii="仿宋" w:hAnsi="仿宋" w:eastAsia="仿宋" w:cs="仿宋"/>
          <w:b/>
          <w:color w:val="000000"/>
          <w:sz w:val="28"/>
          <w:szCs w:val="28"/>
          <w:lang w:eastAsia="zh-CN"/>
        </w:rPr>
        <w:t>三、</w:t>
      </w:r>
      <w:r>
        <w:rPr>
          <w:rFonts w:hint="eastAsia" w:ascii="仿宋" w:hAnsi="仿宋" w:eastAsia="仿宋" w:cs="仿宋"/>
          <w:b/>
          <w:color w:val="000000"/>
          <w:sz w:val="28"/>
          <w:szCs w:val="28"/>
        </w:rPr>
        <w:t>服务成果</w:t>
      </w:r>
    </w:p>
    <w:bookmarkEnd w:id="2"/>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color w:val="auto"/>
          <w:kern w:val="2"/>
          <w:sz w:val="28"/>
          <w:szCs w:val="28"/>
          <w:lang w:val="en-US" w:eastAsia="zh-CN" w:bidi="ar-SA"/>
        </w:rPr>
        <w:t>在承诺期限内完成项目独立地块详细规划编制调规，并取得自然资源局正式同意通过的批复意见</w:t>
      </w:r>
      <w:r>
        <w:rPr>
          <w:rFonts w:hint="eastAsia" w:ascii="仿宋" w:hAnsi="仿宋" w:eastAsia="仿宋" w:cs="仿宋"/>
          <w:sz w:val="28"/>
          <w:szCs w:val="28"/>
          <w:lang w:val="en-US" w:eastAsia="zh-CN"/>
        </w:rPr>
        <w:t>。</w:t>
      </w:r>
    </w:p>
    <w:p>
      <w:pPr>
        <w:keepNext w:val="0"/>
        <w:keepLines w:val="0"/>
        <w:pageBreakBefore w:val="0"/>
        <w:widowControl w:val="0"/>
        <w:kinsoku/>
        <w:wordWrap/>
        <w:overflowPunct/>
        <w:topLinePunct w:val="0"/>
        <w:autoSpaceDE/>
        <w:autoSpaceDN/>
        <w:bidi w:val="0"/>
        <w:snapToGrid w:val="0"/>
        <w:spacing w:line="360" w:lineRule="auto"/>
        <w:ind w:firstLine="562" w:firstLineChars="200"/>
        <w:textAlignment w:val="auto"/>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sz w:val="28"/>
          <w:szCs w:val="28"/>
          <w:lang w:val="en-US" w:eastAsia="zh-CN"/>
        </w:rPr>
        <w:t>四、</w:t>
      </w:r>
      <w:r>
        <w:rPr>
          <w:rFonts w:hint="eastAsia" w:ascii="仿宋" w:hAnsi="仿宋" w:eastAsia="仿宋" w:cs="仿宋"/>
          <w:b/>
          <w:color w:val="000000"/>
          <w:kern w:val="2"/>
          <w:sz w:val="28"/>
          <w:szCs w:val="28"/>
          <w:lang w:val="en-US" w:eastAsia="zh-CN" w:bidi="ar-SA"/>
        </w:rPr>
        <w:t>服务工期</w:t>
      </w:r>
    </w:p>
    <w:p>
      <w:pPr>
        <w:numPr>
          <w:ilvl w:val="0"/>
          <w:numId w:val="0"/>
        </w:numPr>
        <w:rPr>
          <w:rFonts w:hint="default" w:ascii="仿宋" w:hAnsi="仿宋" w:eastAsia="仿宋" w:cs="仿宋"/>
          <w:color w:val="auto"/>
          <w:kern w:val="2"/>
          <w:sz w:val="28"/>
          <w:szCs w:val="28"/>
          <w:lang w:val="en-US" w:eastAsia="zh-CN" w:bidi="ar-SA"/>
        </w:rPr>
      </w:pPr>
      <w:r>
        <w:rPr>
          <w:rFonts w:hint="eastAsia"/>
          <w:lang w:val="en-US" w:eastAsia="zh-CN"/>
        </w:rPr>
        <w:t xml:space="preserve">     </w:t>
      </w:r>
      <w:r>
        <w:rPr>
          <w:rFonts w:hint="eastAsia" w:ascii="仿宋" w:hAnsi="仿宋" w:eastAsia="仿宋" w:cs="仿宋"/>
          <w:color w:val="auto"/>
          <w:kern w:val="2"/>
          <w:sz w:val="28"/>
          <w:szCs w:val="28"/>
          <w:lang w:val="en-US" w:eastAsia="zh-CN" w:bidi="ar-SA"/>
        </w:rPr>
        <w:t>自合同签订之日起至取得自然资源局批复。</w:t>
      </w:r>
    </w:p>
    <w:p>
      <w:pPr>
        <w:numPr>
          <w:ilvl w:val="0"/>
          <w:numId w:val="0"/>
        </w:numPr>
        <w:ind w:firstLine="562" w:firstLineChars="20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五、供应商需说明的其他问题</w:t>
      </w:r>
    </w:p>
    <w:p>
      <w:pPr>
        <w:numPr>
          <w:ilvl w:val="0"/>
          <w:numId w:val="0"/>
        </w:numPr>
        <w:ind w:firstLine="560" w:firstLineChars="200"/>
      </w:pPr>
      <w:r>
        <w:rPr>
          <w:rFonts w:hint="eastAsia" w:ascii="仿宋" w:hAnsi="仿宋" w:eastAsia="仿宋" w:cs="仿宋"/>
          <w:kern w:val="2"/>
          <w:sz w:val="28"/>
          <w:szCs w:val="28"/>
          <w:lang w:val="en-US" w:eastAsia="zh-CN" w:bidi="ar-SA"/>
        </w:rPr>
        <w:t>如有需说明的其他问题，供应商应通过书面形式提交，并盖章。</w:t>
      </w:r>
    </w:p>
    <w:sectPr>
      <w:footerReference r:id="rId3" w:type="default"/>
      <w:pgSz w:w="12242" w:h="15842"/>
      <w:pgMar w:top="1134" w:right="1417" w:bottom="1134" w:left="141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2</w: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93EF6"/>
    <w:rsid w:val="00172A27"/>
    <w:rsid w:val="0020535B"/>
    <w:rsid w:val="00285DD9"/>
    <w:rsid w:val="002C47E3"/>
    <w:rsid w:val="00304697"/>
    <w:rsid w:val="003224E2"/>
    <w:rsid w:val="003447BF"/>
    <w:rsid w:val="003836EE"/>
    <w:rsid w:val="003D5C60"/>
    <w:rsid w:val="004676D1"/>
    <w:rsid w:val="00585BA6"/>
    <w:rsid w:val="00724986"/>
    <w:rsid w:val="008403B6"/>
    <w:rsid w:val="008512EB"/>
    <w:rsid w:val="008E795B"/>
    <w:rsid w:val="00963000"/>
    <w:rsid w:val="00A75B03"/>
    <w:rsid w:val="00B15A82"/>
    <w:rsid w:val="00B4071C"/>
    <w:rsid w:val="00C368E7"/>
    <w:rsid w:val="00C5403B"/>
    <w:rsid w:val="00C62270"/>
    <w:rsid w:val="00CA44F0"/>
    <w:rsid w:val="00CC0F3C"/>
    <w:rsid w:val="00D22275"/>
    <w:rsid w:val="00D4700C"/>
    <w:rsid w:val="00D51C9D"/>
    <w:rsid w:val="00D65545"/>
    <w:rsid w:val="00D77346"/>
    <w:rsid w:val="00DD1F8E"/>
    <w:rsid w:val="00DE356D"/>
    <w:rsid w:val="00E15D07"/>
    <w:rsid w:val="00E477F8"/>
    <w:rsid w:val="00EE5EBA"/>
    <w:rsid w:val="00F824CE"/>
    <w:rsid w:val="00FD6FF6"/>
    <w:rsid w:val="01F1023F"/>
    <w:rsid w:val="021D1914"/>
    <w:rsid w:val="03CB3BA3"/>
    <w:rsid w:val="046B38A6"/>
    <w:rsid w:val="04FA657D"/>
    <w:rsid w:val="060F01E6"/>
    <w:rsid w:val="06D75A51"/>
    <w:rsid w:val="08B82045"/>
    <w:rsid w:val="0946565C"/>
    <w:rsid w:val="094825D4"/>
    <w:rsid w:val="0AE47DFA"/>
    <w:rsid w:val="0BC866FE"/>
    <w:rsid w:val="0D9E7D4A"/>
    <w:rsid w:val="0E636C45"/>
    <w:rsid w:val="108960CA"/>
    <w:rsid w:val="10A4400A"/>
    <w:rsid w:val="161F2171"/>
    <w:rsid w:val="19B2362A"/>
    <w:rsid w:val="1AC008BD"/>
    <w:rsid w:val="1C480DE9"/>
    <w:rsid w:val="1C675B4D"/>
    <w:rsid w:val="1CE930EE"/>
    <w:rsid w:val="1CF24FF7"/>
    <w:rsid w:val="2146657F"/>
    <w:rsid w:val="21E37D11"/>
    <w:rsid w:val="248E77F1"/>
    <w:rsid w:val="24AD7D2A"/>
    <w:rsid w:val="25A51987"/>
    <w:rsid w:val="270A5F48"/>
    <w:rsid w:val="27180F70"/>
    <w:rsid w:val="28066B18"/>
    <w:rsid w:val="2AB053D0"/>
    <w:rsid w:val="2BAB54C1"/>
    <w:rsid w:val="2BBC4761"/>
    <w:rsid w:val="2C6000E8"/>
    <w:rsid w:val="300C7626"/>
    <w:rsid w:val="30332B06"/>
    <w:rsid w:val="30C06E17"/>
    <w:rsid w:val="31FB74BE"/>
    <w:rsid w:val="321E718E"/>
    <w:rsid w:val="3296460B"/>
    <w:rsid w:val="3296737C"/>
    <w:rsid w:val="343716A5"/>
    <w:rsid w:val="3457158B"/>
    <w:rsid w:val="34D00596"/>
    <w:rsid w:val="35315349"/>
    <w:rsid w:val="35C44201"/>
    <w:rsid w:val="38BE5CEE"/>
    <w:rsid w:val="395E02A8"/>
    <w:rsid w:val="3AD2491F"/>
    <w:rsid w:val="3C5248A7"/>
    <w:rsid w:val="3D2D0D0E"/>
    <w:rsid w:val="3DDF6F15"/>
    <w:rsid w:val="3F7E3672"/>
    <w:rsid w:val="3FE77A7E"/>
    <w:rsid w:val="40604AF8"/>
    <w:rsid w:val="42843849"/>
    <w:rsid w:val="42A7041B"/>
    <w:rsid w:val="437F455D"/>
    <w:rsid w:val="44AD1941"/>
    <w:rsid w:val="44C96B46"/>
    <w:rsid w:val="45A100BA"/>
    <w:rsid w:val="46884BEE"/>
    <w:rsid w:val="48FA06BB"/>
    <w:rsid w:val="494A108E"/>
    <w:rsid w:val="4A0A5461"/>
    <w:rsid w:val="4A986A2F"/>
    <w:rsid w:val="4B384F85"/>
    <w:rsid w:val="4C445423"/>
    <w:rsid w:val="4CB55F9B"/>
    <w:rsid w:val="506A2260"/>
    <w:rsid w:val="51452242"/>
    <w:rsid w:val="52711B64"/>
    <w:rsid w:val="5332151B"/>
    <w:rsid w:val="5384060A"/>
    <w:rsid w:val="53A1686E"/>
    <w:rsid w:val="56654A4C"/>
    <w:rsid w:val="578D0032"/>
    <w:rsid w:val="5808685E"/>
    <w:rsid w:val="58B30458"/>
    <w:rsid w:val="5A0E732F"/>
    <w:rsid w:val="5A26711B"/>
    <w:rsid w:val="5B5F66B7"/>
    <w:rsid w:val="5C046B35"/>
    <w:rsid w:val="5C34538D"/>
    <w:rsid w:val="5CF92A73"/>
    <w:rsid w:val="5D4D4958"/>
    <w:rsid w:val="5E7C1460"/>
    <w:rsid w:val="5EAE1426"/>
    <w:rsid w:val="61DD7156"/>
    <w:rsid w:val="62106567"/>
    <w:rsid w:val="64903F3E"/>
    <w:rsid w:val="64E06971"/>
    <w:rsid w:val="654B0169"/>
    <w:rsid w:val="66943B71"/>
    <w:rsid w:val="696F5C56"/>
    <w:rsid w:val="69E2036A"/>
    <w:rsid w:val="6BD83341"/>
    <w:rsid w:val="6EA61FA3"/>
    <w:rsid w:val="72C92680"/>
    <w:rsid w:val="73C965F4"/>
    <w:rsid w:val="74D8532A"/>
    <w:rsid w:val="76F73FDC"/>
    <w:rsid w:val="772939EB"/>
    <w:rsid w:val="793A7449"/>
    <w:rsid w:val="7B984078"/>
    <w:rsid w:val="7BBD7328"/>
    <w:rsid w:val="7C8F4E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25"/>
    <w:unhideWhenUsed/>
    <w:qFormat/>
    <w:uiPriority w:val="99"/>
    <w:pPr>
      <w:jc w:val="left"/>
    </w:pPr>
  </w:style>
  <w:style w:type="paragraph" w:styleId="4">
    <w:name w:val="Body Text"/>
    <w:basedOn w:val="1"/>
    <w:link w:val="19"/>
    <w:unhideWhenUsed/>
    <w:qFormat/>
    <w:uiPriority w:val="99"/>
    <w:pPr>
      <w:spacing w:after="120"/>
    </w:pPr>
    <w:rPr>
      <w:kern w:val="0"/>
      <w:sz w:val="20"/>
      <w:szCs w:val="20"/>
    </w:rPr>
  </w:style>
  <w:style w:type="paragraph" w:styleId="5">
    <w:name w:val="Plain Text"/>
    <w:basedOn w:val="1"/>
    <w:link w:val="23"/>
    <w:unhideWhenUsed/>
    <w:qFormat/>
    <w:uiPriority w:val="99"/>
    <w:rPr>
      <w:rFonts w:hint="eastAsia" w:ascii="宋体" w:hAnsi="Courier New" w:eastAsia="仿宋_GB2312"/>
      <w:sz w:val="28"/>
      <w:szCs w:val="20"/>
    </w:rPr>
  </w:style>
  <w:style w:type="paragraph" w:styleId="6">
    <w:name w:val="Body Text Indent 2"/>
    <w:basedOn w:val="1"/>
    <w:link w:val="22"/>
    <w:unhideWhenUsed/>
    <w:qFormat/>
    <w:uiPriority w:val="99"/>
    <w:pPr>
      <w:ind w:firstLine="645"/>
    </w:pPr>
    <w:rPr>
      <w:rFonts w:hint="eastAsia" w:ascii="华文中宋" w:hAnsi="华文中宋" w:eastAsia="仿宋_GB2312"/>
      <w:sz w:val="32"/>
      <w:szCs w:val="44"/>
    </w:rPr>
  </w:style>
  <w:style w:type="paragraph" w:styleId="7">
    <w:name w:val="Balloon Text"/>
    <w:basedOn w:val="1"/>
    <w:link w:val="17"/>
    <w:unhideWhenUsed/>
    <w:qFormat/>
    <w:uiPriority w:val="99"/>
    <w:rPr>
      <w:kern w:val="0"/>
      <w:sz w:val="18"/>
      <w:szCs w:val="18"/>
    </w:rPr>
  </w:style>
  <w:style w:type="paragraph" w:styleId="8">
    <w:name w:val="footer"/>
    <w:basedOn w:val="1"/>
    <w:link w:val="24"/>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rPr>
      <w:rFonts w:ascii="宋体" w:hAnsi="宋体" w:eastAsia="宋体" w:cs="宋体"/>
      <w:color w:val="000000"/>
      <w:sz w:val="24"/>
      <w:lang w:val="en-US" w:eastAsia="zh-CN" w:bidi="ar-SA"/>
    </w:rPr>
  </w:style>
  <w:style w:type="paragraph" w:styleId="11">
    <w:name w:val="annotation subject"/>
    <w:basedOn w:val="3"/>
    <w:next w:val="3"/>
    <w:link w:val="18"/>
    <w:unhideWhenUsed/>
    <w:qFormat/>
    <w:uiPriority w:val="99"/>
    <w:rPr>
      <w:b/>
      <w:bCs/>
    </w:rPr>
  </w:style>
  <w:style w:type="paragraph" w:styleId="12">
    <w:name w:val="Body Text First Indent"/>
    <w:basedOn w:val="1"/>
    <w:link w:val="21"/>
    <w:unhideWhenUsed/>
    <w:qFormat/>
    <w:uiPriority w:val="0"/>
    <w:pPr>
      <w:spacing w:beforeLines="50" w:line="360" w:lineRule="auto"/>
      <w:ind w:firstLine="200" w:firstLineChars="200"/>
    </w:pPr>
    <w:rPr>
      <w:rFonts w:ascii="Times New Roman" w:hAnsi="Times New Roman"/>
      <w:kern w:val="0"/>
      <w:sz w:val="24"/>
      <w:szCs w:val="24"/>
    </w:rPr>
  </w:style>
  <w:style w:type="character" w:styleId="15">
    <w:name w:val="Hyperlink"/>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Char"/>
    <w:link w:val="7"/>
    <w:semiHidden/>
    <w:qFormat/>
    <w:uiPriority w:val="99"/>
    <w:rPr>
      <w:rFonts w:ascii="Calibri" w:hAnsi="Calibri" w:eastAsia="宋体" w:cs="Times New Roman"/>
      <w:sz w:val="18"/>
      <w:szCs w:val="18"/>
    </w:rPr>
  </w:style>
  <w:style w:type="character" w:customStyle="1" w:styleId="18">
    <w:name w:val="批注主题 Char"/>
    <w:link w:val="11"/>
    <w:semiHidden/>
    <w:qFormat/>
    <w:uiPriority w:val="99"/>
    <w:rPr>
      <w:b/>
      <w:bCs/>
      <w:kern w:val="2"/>
      <w:sz w:val="21"/>
      <w:szCs w:val="22"/>
    </w:rPr>
  </w:style>
  <w:style w:type="character" w:customStyle="1" w:styleId="19">
    <w:name w:val="正文文本 Char"/>
    <w:link w:val="4"/>
    <w:semiHidden/>
    <w:qFormat/>
    <w:uiPriority w:val="99"/>
    <w:rPr>
      <w:rFonts w:ascii="Calibri" w:hAnsi="Calibri" w:eastAsia="宋体" w:cs="Times New Roman"/>
    </w:rPr>
  </w:style>
  <w:style w:type="character" w:customStyle="1" w:styleId="20">
    <w:name w:val="页眉 Char"/>
    <w:link w:val="9"/>
    <w:qFormat/>
    <w:uiPriority w:val="99"/>
    <w:rPr>
      <w:kern w:val="2"/>
      <w:sz w:val="18"/>
      <w:szCs w:val="18"/>
    </w:rPr>
  </w:style>
  <w:style w:type="character" w:customStyle="1" w:styleId="21">
    <w:name w:val="正文首行缩进 Char"/>
    <w:link w:val="12"/>
    <w:qFormat/>
    <w:uiPriority w:val="0"/>
    <w:rPr>
      <w:rFonts w:ascii="Times New Roman" w:hAnsi="Times New Roman" w:eastAsia="宋体" w:cs="Times New Roman"/>
      <w:sz w:val="24"/>
      <w:szCs w:val="24"/>
    </w:rPr>
  </w:style>
  <w:style w:type="character" w:customStyle="1" w:styleId="22">
    <w:name w:val="正文文本缩进 2 Char"/>
    <w:basedOn w:val="14"/>
    <w:link w:val="6"/>
    <w:qFormat/>
    <w:uiPriority w:val="0"/>
    <w:rPr>
      <w:rFonts w:hint="eastAsia" w:ascii="华文中宋" w:hAnsi="华文中宋" w:eastAsia="仿宋_GB2312" w:cs="Times New Roman"/>
      <w:kern w:val="2"/>
      <w:sz w:val="32"/>
      <w:szCs w:val="44"/>
    </w:rPr>
  </w:style>
  <w:style w:type="character" w:customStyle="1" w:styleId="23">
    <w:name w:val="纯文本 Char1"/>
    <w:basedOn w:val="14"/>
    <w:link w:val="5"/>
    <w:qFormat/>
    <w:uiPriority w:val="0"/>
    <w:rPr>
      <w:rFonts w:hint="eastAsia" w:ascii="宋体" w:hAnsi="Courier New" w:eastAsia="仿宋_GB2312" w:cs="Times New Roman"/>
      <w:kern w:val="2"/>
      <w:sz w:val="28"/>
    </w:rPr>
  </w:style>
  <w:style w:type="character" w:customStyle="1" w:styleId="24">
    <w:name w:val="页脚 Char"/>
    <w:link w:val="8"/>
    <w:qFormat/>
    <w:uiPriority w:val="99"/>
    <w:rPr>
      <w:kern w:val="2"/>
      <w:sz w:val="18"/>
      <w:szCs w:val="18"/>
    </w:rPr>
  </w:style>
  <w:style w:type="character" w:customStyle="1" w:styleId="25">
    <w:name w:val="批注文字 Char"/>
    <w:link w:val="3"/>
    <w:semiHidden/>
    <w:qFormat/>
    <w:uiPriority w:val="99"/>
    <w:rPr>
      <w:kern w:val="2"/>
      <w:sz w:val="21"/>
      <w:szCs w:val="22"/>
    </w:rPr>
  </w:style>
  <w:style w:type="character" w:customStyle="1" w:styleId="26">
    <w:name w:val="纯文本 Char"/>
    <w:basedOn w:val="14"/>
    <w:qFormat/>
    <w:uiPriority w:val="0"/>
    <w:rPr>
      <w:rFonts w:hint="eastAsia"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3</Pages>
  <Words>1169</Words>
  <Characters>1231</Characters>
  <Lines>22</Lines>
  <Paragraphs>6</Paragraphs>
  <TotalTime>2</TotalTime>
  <ScaleCrop>false</ScaleCrop>
  <LinksUpToDate>false</LinksUpToDate>
  <CharactersWithSpaces>1231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2017-03-20T13:45:00Z</dcterms:created>
  <dc:creator>2012-5-02</dc:creator>
  <cp:lastModifiedBy>张松彦</cp:lastModifiedBy>
  <cp:lastPrinted>2018-05-22T00:59:00Z</cp:lastPrinted>
  <dcterms:modified xsi:type="dcterms:W3CDTF">2026-08-03T01:59:11Z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CAFDE56C694C4409BC99D128A0FA0E93</vt:lpwstr>
  </property>
</Properties>
</file>