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0" w:after="0" w:line="560" w:lineRule="exact"/>
        <w:ind w:left="0" w:firstLine="0"/>
        <w:rPr>
          <w:rFonts w:hint="eastAsia" w:ascii="仿宋_GB2312" w:hAnsi="仿宋_GB2312" w:eastAsia="仿宋_GB2312" w:cs="仿宋_GB2312"/>
          <w:color w:val="000000"/>
        </w:rPr>
      </w:pPr>
      <w:r>
        <w:rPr>
          <w:rFonts w:hint="eastAsia" w:ascii="仿宋_GB2312" w:hAnsi="仿宋_GB2312" w:cs="仿宋_GB2312"/>
          <w:color w:val="000000"/>
        </w:rPr>
        <w:t>总则</w:t>
      </w:r>
    </w:p>
    <w:p>
      <w:pPr>
        <w:pStyle w:val="5"/>
        <w:numPr>
          <w:ilvl w:val="0"/>
          <w:numId w:val="2"/>
        </w:numPr>
        <w:spacing w:before="0" w:after="0" w:line="560" w:lineRule="exact"/>
        <w:ind w:left="426" w:right="0" w:hanging="420"/>
        <w:rPr>
          <w:rFonts w:hint="eastAsia" w:ascii="仿宋_GB2312" w:hAnsi="仿宋_GB2312" w:eastAsia="仿宋_GB2312" w:cs="仿宋_GB2312"/>
          <w:color w:val="000000"/>
        </w:rPr>
      </w:pPr>
      <w:r>
        <w:rPr>
          <w:rFonts w:hint="eastAsia" w:ascii="仿宋_GB2312" w:hAnsi="仿宋_GB2312" w:cs="仿宋_GB2312"/>
          <w:color w:val="000000"/>
        </w:rPr>
        <w:t>概述</w:t>
      </w:r>
    </w:p>
    <w:p>
      <w:pPr>
        <w:pStyle w:val="49"/>
        <w:numPr>
          <w:ilvl w:val="0"/>
          <w:numId w:val="4"/>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本文件适用于南方电网科学研究院有限责任公司（以下简称招标人）用于</w:t>
      </w:r>
      <w:r>
        <w:rPr>
          <w:rFonts w:hint="eastAsia" w:ascii="仿宋_GB2312" w:hAnsi="仿宋_GB2312" w:eastAsia="仿宋_GB2312" w:cs="仿宋_GB2312"/>
          <w:color w:val="000000"/>
          <w:sz w:val="28"/>
          <w:szCs w:val="28"/>
          <w:highlight w:val="none"/>
          <w:u w:val="single"/>
        </w:rPr>
        <w:t>负荷侧灵活性资源智能感知与轻量级电力交易技术研究项目采购</w:t>
      </w:r>
      <w:r>
        <w:rPr>
          <w:rFonts w:hint="eastAsia" w:ascii="仿宋_GB2312" w:hAnsi="仿宋_GB2312" w:eastAsia="仿宋_GB2312" w:cs="仿宋_GB2312"/>
          <w:color w:val="000000"/>
          <w:sz w:val="28"/>
          <w:szCs w:val="28"/>
          <w:highlight w:val="none"/>
        </w:rPr>
        <w:t>，本文</w:t>
      </w:r>
      <w:r>
        <w:rPr>
          <w:rFonts w:hint="eastAsia" w:ascii="仿宋_GB2312" w:hAnsi="仿宋_GB2312" w:eastAsia="仿宋_GB2312" w:cs="仿宋_GB2312"/>
          <w:color w:val="000000"/>
          <w:sz w:val="28"/>
          <w:szCs w:val="28"/>
        </w:rPr>
        <w:t>件的最终解释权归南方电网科学研究院有限责任公司。</w:t>
      </w:r>
    </w:p>
    <w:p>
      <w:pPr>
        <w:pStyle w:val="49"/>
        <w:numPr>
          <w:ilvl w:val="0"/>
          <w:numId w:val="4"/>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投标人可以就招标人认为的遗漏项目提请招标人注意，并详细说明理由。招标人将就此进行澄清。</w:t>
      </w:r>
    </w:p>
    <w:p>
      <w:pPr>
        <w:pStyle w:val="49"/>
        <w:numPr>
          <w:ilvl w:val="0"/>
          <w:numId w:val="4"/>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投标人应保证所提供的所有资料真实、完整、准确无误，否则采购人将有权取消投标人的投标资格，由此产生的一切后果由投标人承担。</w:t>
      </w:r>
    </w:p>
    <w:p>
      <w:pPr>
        <w:pStyle w:val="49"/>
        <w:numPr>
          <w:ilvl w:val="0"/>
          <w:numId w:val="4"/>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应按照本技术规范书的要求提供详细、完整的技术方案。所提供的技术方案应完全满足或高于本技术规范书的要求，对于本技术规范书中的条款，投标人如不能满足要求，或有其它替代方案，或有其它修改建议，应在技术方案以及技术差异表中指出其必须进行修改的理由以及与原要求的差别。对于本技术规范书未规定的有关系统性能和功能，投标人应提出补充要求或建议，并陈述其理由。</w:t>
      </w:r>
    </w:p>
    <w:p>
      <w:pPr>
        <w:pStyle w:val="5"/>
        <w:numPr>
          <w:ilvl w:val="0"/>
          <w:numId w:val="2"/>
        </w:numPr>
        <w:spacing w:before="0" w:after="0" w:line="560" w:lineRule="exact"/>
        <w:ind w:left="426" w:right="0" w:hanging="420"/>
        <w:rPr>
          <w:rFonts w:hint="eastAsia" w:ascii="仿宋_GB2312" w:hAnsi="仿宋_GB2312" w:eastAsia="仿宋_GB2312" w:cs="仿宋_GB2312"/>
          <w:color w:val="000000"/>
        </w:rPr>
      </w:pPr>
      <w:r>
        <w:rPr>
          <w:rFonts w:hint="eastAsia" w:ascii="仿宋_GB2312" w:hAnsi="仿宋_GB2312" w:cs="仿宋_GB2312"/>
          <w:color w:val="000000"/>
        </w:rPr>
        <w:t>定义</w:t>
      </w:r>
    </w:p>
    <w:p>
      <w:pPr>
        <w:pStyle w:val="49"/>
        <w:numPr>
          <w:ilvl w:val="0"/>
          <w:numId w:val="5"/>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招标人：南方电网科学研究院有限责任公司。</w:t>
      </w:r>
    </w:p>
    <w:p>
      <w:pPr>
        <w:pStyle w:val="49"/>
        <w:numPr>
          <w:ilvl w:val="0"/>
          <w:numId w:val="5"/>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投标人：参加本次投标竞争，向采购人提交投标文件的供货商/服务商/承包商。</w:t>
      </w:r>
    </w:p>
    <w:p>
      <w:pPr>
        <w:pStyle w:val="49"/>
        <w:numPr>
          <w:ilvl w:val="0"/>
          <w:numId w:val="5"/>
        </w:num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中标人：最终被授予合同的投标人。</w:t>
      </w:r>
    </w:p>
    <w:p>
      <w:pPr>
        <w:pStyle w:val="5"/>
        <w:numPr>
          <w:ilvl w:val="0"/>
          <w:numId w:val="2"/>
        </w:numPr>
        <w:spacing w:before="0" w:after="0" w:line="560" w:lineRule="exact"/>
        <w:ind w:left="426" w:right="0" w:hanging="420"/>
        <w:rPr>
          <w:rFonts w:hint="eastAsia" w:ascii="仿宋_GB2312" w:hAnsi="仿宋_GB2312" w:eastAsia="仿宋_GB2312" w:cs="仿宋_GB2312"/>
          <w:color w:val="000000"/>
        </w:rPr>
      </w:pPr>
      <w:r>
        <w:rPr>
          <w:rFonts w:hint="eastAsia" w:ascii="仿宋_GB2312" w:hAnsi="仿宋_GB2312" w:cs="仿宋_GB2312"/>
          <w:color w:val="000000"/>
        </w:rPr>
        <w:t>标准和规范</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技术规范中涉及的所有规范、标准或材料规格均应为最新版本，即以采购人发出本方案之日作为采用最新版本的截止日期。若发现本技术规范书与所列标准之间有不一致之处，投标人应向采购人指明，并由招标人确定采用哪一个规范。</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投标人如果采用自己的标准或规范，必须向招标人提供中文复印件并经招标方同意后方可采用，但不能低于GB、JB有关规定。</w:t>
      </w:r>
    </w:p>
    <w:p>
      <w:pPr>
        <w:pStyle w:val="5"/>
        <w:numPr>
          <w:ilvl w:val="0"/>
          <w:numId w:val="2"/>
        </w:numPr>
        <w:spacing w:before="0" w:after="0" w:line="560" w:lineRule="exact"/>
        <w:ind w:left="426" w:right="0" w:hanging="420"/>
        <w:rPr>
          <w:rFonts w:hint="eastAsia" w:ascii="仿宋_GB2312" w:hAnsi="仿宋_GB2312" w:eastAsia="仿宋_GB2312" w:cs="仿宋_GB2312"/>
          <w:color w:val="000000"/>
        </w:rPr>
      </w:pPr>
      <w:r>
        <w:rPr>
          <w:rFonts w:hint="eastAsia" w:ascii="仿宋_GB2312" w:hAnsi="仿宋_GB2312" w:cs="仿宋_GB2312"/>
          <w:color w:val="000000"/>
        </w:rPr>
        <w:t>对投标技术文件的要求</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投标技术文件必须包括但不限于以下内容：投标技术文件响应，技术差异表和技术方案。</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1.4.1投标文件的响应</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的投标技术文件响应中，要求对本招标文件所提出各项要求进行逐条逐项答复、说明和解释。首先对实现或满足程度明确作出“满足”、“部分满足”、“不满足”等应答，不得使用“明白”、“理解”等词语。凡采用“详见”、“参见”等方式说明的，应指明参见文档的章节及页码。凡采用“部分满足”应答的，应详细说明哪部分满足或不满足。</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1.4.2技术差异表</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技术差异表见附件一。</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1.4.3技术方案</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投标人所提供的技术方案应按照以下的内容格式及编排顺序进行编制，但不限于以下内容。</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1.4.3.1概述</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1.4.3.2研究内容和技术路线</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1.4.3.2.1研究内容：根据提出的研究任务，详细列出具体研究内容，说明各内容间的相互关系。</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1.4.3.2.2技术路线：提出进行研究所采用的技术路线及依据。</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1.4.3.3预期目标与成果形式</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提出项目研究将达成的目标，以及最终提供的成果形式，且内容应响应下文“2.3 研究成果/交付物的技术指标要求”。</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1.4.3.4项目的进度安排</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提交详细的项目进度计划，明确里程碑，且内容应响应下文“3.2研究进度计划的编制及分段考核”。</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1.4.3.5技术服务承诺</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投标人/供应商为本项目所提供的服务的内容、服务方式和服务承诺（含售后服务）。</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1.4.3.6项目管理方案</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项目组织。提供本项目组织详细资料，提供该项目人员构成及名单。</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1.4.3.7附录</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1.4.3.7.1风险与对策：若投标人认为实现本文件的相关内容存在技术类或其它类风险，请详细说明，并提供相应的对策。</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1.4.3.7.2投标人认为需要为本项目提供的其它任何的资料信息。</w:t>
      </w:r>
    </w:p>
    <w:p>
      <w:pPr>
        <w:pStyle w:val="4"/>
        <w:spacing w:before="0" w:after="0" w:line="560" w:lineRule="exact"/>
        <w:ind w:left="0" w:firstLine="0"/>
        <w:rPr>
          <w:rFonts w:hint="eastAsia" w:ascii="仿宋_GB2312" w:hAnsi="仿宋_GB2312" w:eastAsia="仿宋_GB2312" w:cs="仿宋_GB2312"/>
          <w:color w:val="000000"/>
        </w:rPr>
      </w:pPr>
      <w:r>
        <w:rPr>
          <w:rFonts w:hint="eastAsia" w:ascii="仿宋_GB2312" w:hAnsi="仿宋_GB2312" w:cs="仿宋_GB2312"/>
          <w:color w:val="000000"/>
        </w:rPr>
        <w:t>总体描述</w:t>
      </w:r>
    </w:p>
    <w:p>
      <w:pPr>
        <w:pStyle w:val="5"/>
        <w:numPr>
          <w:ilvl w:val="0"/>
          <w:numId w:val="0"/>
        </w:numPr>
        <w:spacing w:before="0" w:after="0" w:line="560" w:lineRule="exact"/>
        <w:ind w:left="0" w:firstLine="0"/>
        <w:rPr>
          <w:rFonts w:hint="eastAsia" w:ascii="仿宋_GB2312" w:hAnsi="仿宋_GB2312" w:eastAsia="仿宋_GB2312" w:cs="仿宋_GB2312"/>
          <w:color w:val="000000"/>
        </w:rPr>
      </w:pPr>
      <w:r>
        <w:rPr>
          <w:rFonts w:hint="eastAsia" w:eastAsia="仿宋_GB2312" w:cs="仿宋_GB2312"/>
          <w:color w:val="000000"/>
        </w:rPr>
        <w:t xml:space="preserve">2.1 </w:t>
      </w:r>
      <w:r>
        <w:rPr>
          <w:rFonts w:hint="eastAsia" w:ascii="仿宋_GB2312" w:hAnsi="仿宋_GB2312" w:cs="仿宋_GB2312"/>
          <w:color w:val="000000"/>
        </w:rPr>
        <w:t>项目背景</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在新型电力系统加速构建和电力市场建设纵深推进背景下，负荷侧资源正由传统刚性、被动用电单元转变为具备灵活调节能力与市场价值的关键资源。当前，海量异构终端便捷接入与自主协同能力不足，多元负荷调节潜力缺乏标准化、动态化量化评估体系，用户侧参与现货、需求侧响应等多类型市场的技术门槛较高，导致负荷资源感知数据难以支撑精准评估，评估结果难以驱动有效交易。亟需构建覆盖“精准感知、灵活接入、科学评估、高效交易”的全链条技术解决方案，支撑新型电力负荷管理系统升级与负荷侧资源常态化、市场化运营。</w:t>
      </w:r>
    </w:p>
    <w:p>
      <w:pPr>
        <w:pStyle w:val="5"/>
        <w:numPr>
          <w:ilvl w:val="0"/>
          <w:numId w:val="0"/>
        </w:numPr>
        <w:spacing w:before="0" w:after="0" w:line="560" w:lineRule="exact"/>
        <w:ind w:left="0" w:firstLine="0"/>
        <w:rPr>
          <w:rFonts w:hint="eastAsia" w:ascii="仿宋_GB2312" w:hAnsi="仿宋_GB2312" w:eastAsia="仿宋_GB2312" w:cs="仿宋_GB2312"/>
          <w:color w:val="000000"/>
        </w:rPr>
      </w:pPr>
      <w:r>
        <w:rPr>
          <w:rFonts w:hint="eastAsia" w:eastAsia="仿宋_GB2312" w:cs="仿宋_GB2312"/>
          <w:color w:val="000000"/>
        </w:rPr>
        <w:t xml:space="preserve">2.2 </w:t>
      </w:r>
      <w:r>
        <w:rPr>
          <w:rFonts w:hint="eastAsia" w:ascii="仿宋_GB2312" w:hAnsi="仿宋_GB2312" w:cs="仿宋_GB2312"/>
          <w:color w:val="000000"/>
        </w:rPr>
        <w:t>项目采购范围</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任务1：高耗能工业负荷资源智能感知与边缘协同技术研究</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研究基于分布式软总线的终端统一身份描述与自主感知机制，设计标准化设备能力描述模型与自动化协议适配流程，开发兼容主流工业总线与物联网标准的跨协议解析中间件，实现高耗能工业负荷终端从物理连接到逻辑上线的自动化接入。研究面向强电磁干扰、复杂物理遮挡等边缘环境的负荷边缘智能管理模型，设计轻量级多跳路由协议与链路质量实时感知机制，构建融合内生安全与人工智能的协同管控框架，实现终端动态组网、网络自动配置、优化与自愈，提升工业负荷集群协同调控的实时性、可靠性和安全性。</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任务2：高耗能工业负荷资源调控潜力量化方法研究</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面向电解铝、水泥等典型高耗能工业负荷，研究无外部调控状态下的生产流程逻辑、固有运行特性及生产工艺对电力调节的刚性约束，建立负荷调控潜力基值模型，形成关键调节特征参数与标准化潜力基值描述方法。研究高耗能工业负荷资源潜力在线滚动计算技术，针对工业负荷响应的非线性特征优化算法求解路径与计算效率，设计自适应校验机制，通过实时对比预测潜力与实际响应数据动态修正模型参数，确保评估准确性稳定在85%以上，支撑调控潜力动态精准追踪。</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bCs/>
          <w:i w:val="0"/>
          <w:iCs/>
          <w:color w:val="auto"/>
          <w:kern w:val="2"/>
          <w:sz w:val="28"/>
          <w:szCs w:val="28"/>
          <w:u w:val="none"/>
        </w:rPr>
        <w:t>任务3：面向多市场模式的高耗能工业负荷集群调控智能优化算法研究</w:t>
      </w:r>
    </w:p>
    <w:p>
      <w:pPr>
        <w:spacing w:line="560" w:lineRule="exact"/>
        <w:ind w:left="0" w:leftChars="0" w:right="0" w:rightChars="0" w:firstLineChars="200"/>
        <w:rPr>
          <w:rFonts w:hint="eastAsia" w:ascii="仿宋_GB2312" w:hAnsi="仿宋_GB2312" w:eastAsia="仿宋_GB2312" w:cs="仿宋_GB2312"/>
          <w:b w:val="0"/>
          <w:i w:val="0"/>
          <w:color w:val="auto"/>
          <w:sz w:val="28"/>
          <w:szCs w:val="28"/>
        </w:rPr>
      </w:pPr>
      <w:r>
        <w:rPr>
          <w:rFonts w:hint="eastAsia" w:ascii="仿宋_GB2312" w:hAnsi="仿宋_GB2312" w:eastAsia="仿宋_GB2312" w:cs="仿宋_GB2312"/>
          <w:b w:val="0"/>
          <w:bCs/>
          <w:i w:val="0"/>
          <w:iCs/>
          <w:color w:val="auto"/>
          <w:kern w:val="2"/>
          <w:sz w:val="28"/>
          <w:szCs w:val="28"/>
          <w:u w:val="none"/>
        </w:rPr>
        <w:t>研究内部用能优化与多源数据融合的负荷集群调控智能优化算法，融合历史出清价格、实时负荷预测数据及负荷设备可调节能力评估结果，建立耦合高耗能工业生产约束与市场机制的交易决策模型，在保障工业生产连续性的前提下形成内部用能调节与外部市场竞价的联合决策方案，支撑高耗能工业负荷内部用能成本降低超过10%、参与现货及需求侧响应市场交易收益能力提升超过10%。研究适配现货市场、需求侧响应市场等多品种市场的高耗能工业用户灵活入市交互机制，构建用户身份标识、可调节能力及交易记录的可信存证与信息溯源体系，支撑不同市场交易模式间的灵活选择与切换。</w:t>
      </w:r>
    </w:p>
    <w:p>
      <w:pPr>
        <w:pStyle w:val="5"/>
        <w:numPr>
          <w:ilvl w:val="0"/>
          <w:numId w:val="0"/>
        </w:numPr>
        <w:spacing w:before="0" w:after="0" w:line="560" w:lineRule="exact"/>
        <w:ind w:left="0" w:firstLine="0"/>
        <w:rPr>
          <w:rFonts w:hint="eastAsia" w:ascii="仿宋_GB2312" w:hAnsi="仿宋_GB2312" w:eastAsia="仿宋_GB2312" w:cs="仿宋_GB2312"/>
        </w:rPr>
      </w:pPr>
      <w:r>
        <w:rPr>
          <w:rFonts w:hint="eastAsia" w:eastAsia="仿宋_GB2312" w:cs="仿宋_GB2312"/>
        </w:rPr>
        <w:t xml:space="preserve">2.3 </w:t>
      </w:r>
      <w:r>
        <w:rPr>
          <w:rFonts w:hint="eastAsia" w:ascii="仿宋_GB2312" w:hAnsi="仿宋_GB2312" w:cs="仿宋_GB2312"/>
        </w:rPr>
        <w:t>项目研究成果</w:t>
      </w:r>
      <w:r>
        <w:rPr>
          <w:rFonts w:hint="eastAsia" w:eastAsia="仿宋_GB2312" w:cs="仿宋_GB2312"/>
        </w:rPr>
        <w:t>/</w:t>
      </w:r>
      <w:r>
        <w:rPr>
          <w:rFonts w:hint="eastAsia" w:ascii="仿宋_GB2312" w:hAnsi="仿宋_GB2312" w:cs="仿宋_GB2312"/>
        </w:rPr>
        <w:t>交付物的技术指标要求</w:t>
      </w:r>
    </w:p>
    <w:p>
      <w:pPr>
        <w:pStyle w:val="6"/>
        <w:numPr>
          <w:ilvl w:val="0"/>
          <w:numId w:val="0"/>
        </w:numPr>
        <w:spacing w:before="0" w:after="0" w:line="560" w:lineRule="exact"/>
        <w:ind w:left="0" w:leftChars="0" w:right="0" w:rightChars="0" w:firstLineChars="200"/>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2.3.1交付成果</w:t>
      </w:r>
    </w:p>
    <w:p>
      <w:pPr>
        <w:spacing w:line="560" w:lineRule="exact"/>
        <w:ind w:left="0" w:leftChars="0" w:right="0" w:rightChars="0"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（1）研究报告</w:t>
      </w:r>
    </w:p>
    <w:p>
      <w:pPr>
        <w:spacing w:line="560" w:lineRule="exact"/>
        <w:ind w:left="0" w:leftChars="0" w:right="0" w:rightChars="0" w:firstLineChars="200"/>
        <w:rPr>
          <w:rFonts w:hint="eastAsia" w:ascii="仿宋_GB2312" w:hAnsi="仿宋_GB2312" w:eastAsia="仿宋_GB2312" w:cs="仿宋_GB2312"/>
          <w:b w:val="0"/>
          <w:bCs/>
          <w:i w:val="0"/>
          <w:iCs/>
          <w:color w:val="auto"/>
          <w:kern w:val="2"/>
          <w:sz w:val="28"/>
          <w:szCs w:val="28"/>
          <w:highlight w:val="none"/>
          <w:u w:val="none"/>
        </w:rPr>
      </w:pPr>
      <w:r>
        <w:rPr>
          <w:rFonts w:hint="eastAsia" w:ascii="仿宋_GB2312" w:hAnsi="仿宋_GB2312" w:eastAsia="仿宋_GB2312" w:cs="仿宋_GB2312"/>
          <w:b w:val="0"/>
          <w:i w:val="0"/>
          <w:color w:val="auto"/>
          <w:sz w:val="28"/>
          <w:szCs w:val="28"/>
        </w:rPr>
        <w:t>1）《高耗能工业负荷资源智能感知与边缘协同技术研究》研究报告1份，内容应包括：负荷终端即插即用与智能感知技术、负荷边缘智能连接与协同管理模型、边缘侧内生安全协同管控方法等；</w:t>
      </w:r>
    </w:p>
    <w:p>
      <w:pPr>
        <w:spacing w:line="560" w:lineRule="exact"/>
        <w:ind w:left="0" w:leftChars="0" w:right="0" w:rightChars="0" w:firstLineChars="200"/>
        <w:rPr>
          <w:rFonts w:hint="eastAsia" w:ascii="仿宋_GB2312" w:hAnsi="仿宋_GB2312" w:eastAsia="仿宋_GB2312" w:cs="仿宋_GB2312"/>
          <w:b w:val="0"/>
          <w:i w:val="0"/>
          <w:color w:val="auto"/>
          <w:sz w:val="28"/>
          <w:szCs w:val="28"/>
        </w:rPr>
      </w:pPr>
      <w:r>
        <w:rPr>
          <w:rFonts w:hint="eastAsia" w:ascii="仿宋_GB2312" w:hAnsi="仿宋_GB2312" w:eastAsia="仿宋_GB2312" w:cs="仿宋_GB2312"/>
          <w:b w:val="0"/>
          <w:i w:val="0"/>
          <w:color w:val="auto"/>
          <w:sz w:val="28"/>
          <w:szCs w:val="28"/>
        </w:rPr>
        <w:t>2）《高耗能工业负荷资源调控潜力量化方法研究》研究报告1份，内容应包括：典型高耗能工业负荷调控潜力机理建模、关键调节特征参数提取、在线滚动量化方法及自适应校验机制等；</w:t>
      </w:r>
    </w:p>
    <w:p>
      <w:pPr>
        <w:spacing w:line="560" w:lineRule="exact"/>
        <w:ind w:left="0" w:leftChars="0" w:right="0" w:rightChars="0" w:firstLineChars="200"/>
        <w:rPr>
          <w:rFonts w:ascii="仿宋_GB2312" w:hAnsi="仿宋_GB2312" w:eastAsia="仿宋_GB2312" w:cs="仿宋_GB2312"/>
          <w:b w:val="0"/>
          <w:i w:val="0"/>
          <w:color w:val="auto"/>
          <w:sz w:val="28"/>
          <w:szCs w:val="28"/>
        </w:rPr>
      </w:pPr>
      <w:r>
        <w:rPr>
          <w:rFonts w:hint="eastAsia" w:ascii="仿宋_GB2312" w:hAnsi="仿宋_GB2312" w:eastAsia="仿宋_GB2312" w:cs="仿宋_GB2312"/>
          <w:b w:val="0"/>
          <w:i w:val="0"/>
          <w:color w:val="auto"/>
          <w:sz w:val="28"/>
          <w:szCs w:val="28"/>
        </w:rPr>
        <w:t>3）《面向多市场模式的高耗能工业负荷集群调控智能优化算法研究》研究报告1份，内容应包括：负荷集群调控智能优化算法、多源数据融合交易决策模型、多品种市场灵活入市交互机制与可信存证方法等。</w:t>
      </w:r>
    </w:p>
    <w:p>
      <w:pPr>
        <w:spacing w:line="560" w:lineRule="exact"/>
        <w:ind w:left="0" w:leftChars="0" w:right="0" w:rightChars="0" w:firstLineChars="200"/>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（2）标准/专利/论文</w:t>
      </w:r>
    </w:p>
    <w:p>
      <w:pPr>
        <w:spacing w:line="560" w:lineRule="exact"/>
        <w:ind w:left="0" w:leftChars="0" w:right="0" w:rightChars="0" w:firstLineChars="20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 w:val="28"/>
          <w:szCs w:val="28"/>
          <w:highlight w:val="none"/>
        </w:rPr>
        <w:t>1）提交</w:t>
      </w:r>
      <w:r>
        <w:rPr>
          <w:rFonts w:hint="eastAsia" w:ascii="仿宋_GB2312" w:hAnsi="仿宋_GB2312" w:eastAsia="仿宋_GB2312" w:cs="仿宋_GB2312"/>
          <w:color w:val="auto"/>
          <w:sz w:val="28"/>
          <w:szCs w:val="28"/>
          <w:highlight w:val="none"/>
          <w:lang w:val="en-US" w:eastAsia="zh-CN"/>
        </w:rPr>
        <w:t>相关技术</w:t>
      </w:r>
      <w:r>
        <w:rPr>
          <w:rFonts w:hint="eastAsia" w:ascii="仿宋_GB2312" w:hAnsi="仿宋_GB2312" w:eastAsia="仿宋_GB2312" w:cs="仿宋_GB2312"/>
          <w:color w:val="auto"/>
          <w:sz w:val="28"/>
          <w:szCs w:val="28"/>
          <w:highlight w:val="none"/>
        </w:rPr>
        <w:t>标准底稿1份；</w:t>
      </w:r>
    </w:p>
    <w:p>
      <w:pPr>
        <w:spacing w:line="560" w:lineRule="exact"/>
        <w:ind w:left="0" w:leftChars="0" w:right="0" w:rightChars="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2）提交发明专利底稿13项；</w:t>
      </w:r>
    </w:p>
    <w:p>
      <w:pPr>
        <w:spacing w:line="560" w:lineRule="exact"/>
        <w:ind w:left="0" w:leftChars="0" w:right="0" w:rightChars="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3）提交期刊论文底稿8篇。</w:t>
      </w:r>
    </w:p>
    <w:p>
      <w:pPr>
        <w:pStyle w:val="6"/>
        <w:numPr>
          <w:ilvl w:val="0"/>
          <w:numId w:val="0"/>
        </w:numPr>
        <w:spacing w:before="0" w:after="0" w:line="560" w:lineRule="exact"/>
        <w:ind w:left="0" w:leftChars="0" w:right="0" w:rightChars="0" w:firstLineChars="200"/>
        <w:rPr>
          <w:rFonts w:hint="eastAsia" w:ascii="仿宋_GB2312" w:hAnsi="仿宋_GB2312" w:eastAsia="仿宋_GB2312" w:cs="仿宋_GB2312"/>
          <w:b w:val="0"/>
          <w:sz w:val="28"/>
          <w:szCs w:val="28"/>
        </w:rPr>
      </w:pPr>
      <w:r>
        <w:rPr>
          <w:rFonts w:hint="eastAsia" w:ascii="仿宋_GB2312" w:hAnsi="仿宋_GB2312" w:eastAsia="仿宋_GB2312" w:cs="仿宋_GB2312"/>
          <w:b w:val="0"/>
          <w:sz w:val="28"/>
          <w:szCs w:val="28"/>
        </w:rPr>
        <w:t>2.3.2指标要求</w:t>
      </w:r>
    </w:p>
    <w:p>
      <w:pPr>
        <w:spacing w:line="560" w:lineRule="exact"/>
        <w:ind w:left="0" w:leftChars="0" w:right="0" w:rightChars="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（1）支撑高耗能工业负荷调控潜力在线滚动量化，平均单次计算时间不超过1秒；</w:t>
      </w:r>
    </w:p>
    <w:p>
      <w:pPr>
        <w:spacing w:line="560" w:lineRule="exact"/>
        <w:ind w:left="0" w:leftChars="0" w:right="0" w:rightChars="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（2）提升高耗能工业负荷参与现货、需求侧响应市场交易收益能力超过10%。</w:t>
      </w:r>
    </w:p>
    <w:p>
      <w:pPr>
        <w:pStyle w:val="4"/>
        <w:spacing w:before="0" w:after="0" w:line="560" w:lineRule="exact"/>
        <w:ind w:left="0" w:firstLine="0"/>
        <w:rPr>
          <w:rFonts w:hint="eastAsia" w:ascii="仿宋_GB2312" w:hAnsi="仿宋_GB2312" w:eastAsia="仿宋_GB2312" w:cs="仿宋_GB2312"/>
        </w:rPr>
      </w:pPr>
      <w:r>
        <w:rPr>
          <w:rFonts w:hint="eastAsia" w:ascii="仿宋_GB2312" w:hAnsi="仿宋_GB2312" w:cs="仿宋_GB2312"/>
        </w:rPr>
        <w:t>项目实施要求</w:t>
      </w:r>
    </w:p>
    <w:p>
      <w:pPr>
        <w:pStyle w:val="5"/>
        <w:numPr>
          <w:ilvl w:val="0"/>
          <w:numId w:val="0"/>
        </w:numPr>
        <w:spacing w:before="0" w:after="0" w:line="560" w:lineRule="exact"/>
        <w:ind w:left="0" w:leftChars="0" w:right="0" w:rightChars="0" w:firstLineChars="100"/>
        <w:rPr>
          <w:rFonts w:hint="eastAsia" w:ascii="仿宋_GB2312" w:hAnsi="仿宋_GB2312" w:eastAsia="仿宋_GB2312" w:cs="仿宋_GB2312"/>
        </w:rPr>
      </w:pPr>
      <w:r>
        <w:rPr>
          <w:rFonts w:hint="eastAsia" w:eastAsia="仿宋_GB2312" w:cs="仿宋_GB2312"/>
        </w:rPr>
        <w:t>3.1</w:t>
      </w:r>
      <w:r>
        <w:rPr>
          <w:rFonts w:hint="eastAsia" w:ascii="仿宋_GB2312" w:hAnsi="仿宋_GB2312" w:cs="仿宋_GB2312"/>
        </w:rPr>
        <w:t>中标人的一般责任</w:t>
      </w:r>
    </w:p>
    <w:p>
      <w:pPr>
        <w:pStyle w:val="49"/>
        <w:numPr>
          <w:ilvl w:val="0"/>
          <w:numId w:val="6"/>
        </w:numPr>
        <w:spacing w:line="560" w:lineRule="exact"/>
        <w:ind w:left="0" w:leftChars="0" w:right="0" w:rightChars="0" w:firstLineChars="200"/>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color w:val="auto"/>
          <w:sz w:val="28"/>
          <w:szCs w:val="28"/>
        </w:rPr>
        <w:t>中标人应根据招标人的要求及安排，根据需要派遣相关人员至地点</w:t>
      </w:r>
      <w:r>
        <w:rPr>
          <w:rFonts w:hint="eastAsia" w:ascii="仿宋_GB2312" w:hAnsi="仿宋_GB2312" w:eastAsia="仿宋_GB2312" w:cs="仿宋_GB2312"/>
          <w:color w:val="auto"/>
          <w:sz w:val="28"/>
          <w:szCs w:val="28"/>
          <w:u w:val="single"/>
          <w:lang w:val="en-US" w:eastAsia="zh-CN"/>
        </w:rPr>
        <w:t>广州</w:t>
      </w:r>
      <w:r>
        <w:rPr>
          <w:rFonts w:hint="eastAsia" w:ascii="仿宋_GB2312" w:hAnsi="仿宋_GB2312" w:eastAsia="仿宋_GB2312" w:cs="仿宋_GB2312"/>
          <w:color w:val="auto"/>
          <w:sz w:val="28"/>
          <w:szCs w:val="28"/>
        </w:rPr>
        <w:t>参与项目研究工作。本项目预计将在地点</w:t>
      </w:r>
      <w:r>
        <w:rPr>
          <w:rFonts w:hint="eastAsia" w:ascii="仿宋_GB2312" w:hAnsi="仿宋_GB2312" w:eastAsia="仿宋_GB2312" w:cs="仿宋_GB2312"/>
          <w:color w:val="auto"/>
          <w:sz w:val="28"/>
          <w:szCs w:val="28"/>
          <w:u w:val="single"/>
          <w:lang w:val="en-US" w:eastAsia="zh-CN"/>
        </w:rPr>
        <w:t>广州</w:t>
      </w:r>
      <w:r>
        <w:rPr>
          <w:rFonts w:hint="eastAsia" w:ascii="仿宋_GB2312" w:hAnsi="仿宋_GB2312" w:eastAsia="仿宋_GB2312" w:cs="仿宋_GB2312"/>
          <w:color w:val="auto"/>
          <w:sz w:val="28"/>
          <w:szCs w:val="28"/>
        </w:rPr>
        <w:t>至少进行</w:t>
      </w:r>
      <w:r>
        <w:rPr>
          <w:rFonts w:hint="eastAsia" w:ascii="仿宋_GB2312" w:hAnsi="仿宋_GB2312" w:eastAsia="仿宋_GB2312" w:cs="仿宋_GB2312"/>
          <w:color w:val="auto"/>
          <w:sz w:val="28"/>
          <w:szCs w:val="28"/>
          <w:u w:val="single"/>
        </w:rPr>
        <w:t>2</w:t>
      </w:r>
      <w:r>
        <w:rPr>
          <w:rFonts w:hint="eastAsia" w:ascii="仿宋_GB2312" w:hAnsi="仿宋_GB2312" w:eastAsia="仿宋_GB2312" w:cs="仿宋_GB2312"/>
          <w:color w:val="auto"/>
          <w:sz w:val="28"/>
          <w:szCs w:val="28"/>
        </w:rPr>
        <w:t>次集中工作，每次集中工作大概持续</w:t>
      </w:r>
      <w:r>
        <w:rPr>
          <w:rFonts w:hint="eastAsia" w:ascii="仿宋_GB2312" w:hAnsi="仿宋_GB2312" w:eastAsia="仿宋_GB2312" w:cs="仿宋_GB2312"/>
          <w:color w:val="auto"/>
          <w:sz w:val="28"/>
          <w:szCs w:val="28"/>
          <w:u w:val="single"/>
        </w:rPr>
        <w:t>5</w:t>
      </w:r>
      <w:r>
        <w:rPr>
          <w:rFonts w:hint="eastAsia" w:ascii="仿宋_GB2312" w:hAnsi="仿宋_GB2312" w:eastAsia="仿宋_GB2312" w:cs="仿宋_GB2312"/>
          <w:color w:val="auto"/>
          <w:sz w:val="28"/>
          <w:szCs w:val="28"/>
        </w:rPr>
        <w:t>天，要求中标人每次集中工作至少派遣</w:t>
      </w:r>
      <w:r>
        <w:rPr>
          <w:rFonts w:hint="eastAsia" w:ascii="仿宋_GB2312" w:hAnsi="仿宋_GB2312" w:eastAsia="仿宋_GB2312" w:cs="仿宋_GB2312"/>
          <w:color w:val="auto"/>
          <w:sz w:val="28"/>
          <w:szCs w:val="28"/>
          <w:u w:val="single"/>
        </w:rPr>
        <w:t>2</w:t>
      </w:r>
      <w:r>
        <w:rPr>
          <w:rFonts w:hint="eastAsia" w:ascii="仿宋_GB2312" w:hAnsi="仿宋_GB2312" w:eastAsia="仿宋_GB2312" w:cs="仿宋_GB2312"/>
          <w:color w:val="auto"/>
          <w:sz w:val="28"/>
          <w:szCs w:val="28"/>
        </w:rPr>
        <w:t>人全程参加。</w:t>
      </w:r>
    </w:p>
    <w:p>
      <w:pPr>
        <w:pStyle w:val="49"/>
        <w:numPr>
          <w:ilvl w:val="0"/>
          <w:numId w:val="6"/>
        </w:num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按照合同约定，完成招标工作范围内的全部工作。</w:t>
      </w:r>
    </w:p>
    <w:p>
      <w:pPr>
        <w:pStyle w:val="49"/>
        <w:numPr>
          <w:ilvl w:val="0"/>
          <w:numId w:val="6"/>
        </w:num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若需向地方有关部门交纳有关的费用，由中标人自行承担。</w:t>
      </w:r>
    </w:p>
    <w:p>
      <w:pPr>
        <w:pStyle w:val="49"/>
        <w:numPr>
          <w:ilvl w:val="0"/>
          <w:numId w:val="6"/>
        </w:num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本项目不得转让或分包。</w:t>
      </w:r>
    </w:p>
    <w:p>
      <w:pPr>
        <w:pStyle w:val="5"/>
        <w:numPr>
          <w:ilvl w:val="0"/>
          <w:numId w:val="0"/>
        </w:numPr>
        <w:spacing w:before="0" w:after="0" w:line="560" w:lineRule="exact"/>
        <w:ind w:left="284" w:right="0" w:firstLine="0"/>
        <w:rPr>
          <w:rFonts w:hint="eastAsia" w:ascii="仿宋_GB2312" w:hAnsi="仿宋_GB2312" w:eastAsia="仿宋_GB2312" w:cs="仿宋_GB2312"/>
        </w:rPr>
      </w:pPr>
      <w:r>
        <w:rPr>
          <w:rFonts w:hint="eastAsia" w:eastAsia="仿宋_GB2312" w:cs="仿宋_GB2312"/>
        </w:rPr>
        <w:t>3.2</w:t>
      </w:r>
      <w:r>
        <w:rPr>
          <w:rFonts w:hint="eastAsia" w:ascii="仿宋_GB2312" w:hAnsi="仿宋_GB2312" w:cs="仿宋_GB2312"/>
        </w:rPr>
        <w:t>研究进度计划的编制及分段考核</w:t>
      </w:r>
    </w:p>
    <w:tbl>
      <w:tblPr>
        <w:tblStyle w:val="14"/>
        <w:tblpPr w:leftFromText="180" w:rightFromText="180" w:vertAnchor="text" w:horzAnchor="margin" w:tblpXSpec="center" w:tblpY="173"/>
        <w:tblW w:w="8720" w:type="dxa"/>
        <w:tblInd w:w="108" w:type="dxa"/>
        <w:tblLayout w:type="fixed"/>
        <w:tblCellMar>
          <w:top w:w="0" w:type="dxa"/>
          <w:left w:w="108" w:type="dxa"/>
          <w:bottom w:w="0" w:type="dxa"/>
          <w:right w:w="108" w:type="dxa"/>
        </w:tblCellMar>
      </w:tblPr>
      <w:tblGrid>
        <w:gridCol w:w="674"/>
        <w:gridCol w:w="2003"/>
        <w:gridCol w:w="6043"/>
      </w:tblGrid>
      <w:tr>
        <w:tblPrEx>
          <w:tblCellMar>
            <w:top w:w="0" w:type="dxa"/>
            <w:left w:w="108" w:type="dxa"/>
            <w:bottom w:w="0" w:type="dxa"/>
            <w:right w:w="108" w:type="dxa"/>
          </w:tblCellMar>
        </w:tblPrEx>
        <w:trPr>
          <w:cantSplit/>
          <w:trHeight w:val="33" w:hRule="atLeast"/>
        </w:trPr>
        <w:tc>
          <w:tcPr>
            <w:tcW w:w="674"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eastAsia" w:ascii="仿宋_GB2312" w:hAnsi="仿宋_GB2312" w:eastAsia="仿宋_GB2312" w:cs="仿宋_GB2312"/>
                <w:b/>
                <w:color w:val="000000"/>
                <w:szCs w:val="21"/>
              </w:rPr>
            </w:pPr>
            <w:bookmarkStart w:id="0" w:name="_Hlk129008116"/>
            <w:bookmarkEnd w:id="0"/>
            <w:r>
              <w:rPr>
                <w:rFonts w:hint="eastAsia" w:ascii="仿宋_GB2312" w:hAnsi="仿宋_GB2312" w:eastAsia="仿宋_GB2312" w:cs="仿宋_GB2312"/>
                <w:b/>
                <w:color w:val="000000"/>
                <w:szCs w:val="21"/>
              </w:rPr>
              <w:t>序号</w:t>
            </w:r>
          </w:p>
        </w:tc>
        <w:tc>
          <w:tcPr>
            <w:tcW w:w="2003"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时间</w:t>
            </w:r>
          </w:p>
        </w:tc>
        <w:tc>
          <w:tcPr>
            <w:tcW w:w="6043" w:type="dxa"/>
            <w:tcBorders>
              <w:top w:val="single" w:color="000000" w:sz="8" w:space="0"/>
              <w:left w:val="single" w:color="000000" w:sz="8" w:space="0"/>
              <w:bottom w:val="single" w:color="000000" w:sz="8" w:space="0"/>
              <w:right w:val="single" w:color="000000" w:sz="8" w:space="0"/>
            </w:tcBorders>
            <w:vAlign w:val="center"/>
          </w:tcPr>
          <w:p>
            <w:pPr>
              <w:snapToGrid w:val="0"/>
              <w:ind w:right="249"/>
              <w:jc w:val="center"/>
              <w:rPr>
                <w:rFonts w:hint="eastAsia" w:ascii="仿宋_GB2312" w:hAnsi="仿宋_GB2312" w:eastAsia="仿宋_GB2312" w:cs="仿宋_GB2312"/>
                <w:b/>
                <w:color w:val="000000"/>
                <w:szCs w:val="21"/>
              </w:rPr>
            </w:pPr>
            <w:r>
              <w:rPr>
                <w:rFonts w:hint="eastAsia" w:ascii="仿宋_GB2312" w:hAnsi="仿宋_GB2312" w:eastAsia="仿宋_GB2312" w:cs="仿宋_GB2312"/>
                <w:b/>
                <w:color w:val="000000"/>
                <w:szCs w:val="21"/>
              </w:rPr>
              <w:t>主要内容及交付项</w:t>
            </w:r>
          </w:p>
        </w:tc>
      </w:tr>
      <w:tr>
        <w:tblPrEx>
          <w:tblCellMar>
            <w:top w:w="0" w:type="dxa"/>
            <w:left w:w="108" w:type="dxa"/>
            <w:bottom w:w="0" w:type="dxa"/>
            <w:right w:w="108" w:type="dxa"/>
          </w:tblCellMar>
        </w:tblPrEx>
        <w:trPr>
          <w:cantSplit/>
          <w:trHeight w:val="33" w:hRule="atLeast"/>
        </w:trPr>
        <w:tc>
          <w:tcPr>
            <w:tcW w:w="674"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1</w:t>
            </w:r>
          </w:p>
        </w:tc>
        <w:tc>
          <w:tcPr>
            <w:tcW w:w="2003" w:type="dxa"/>
            <w:tcBorders>
              <w:top w:val="single" w:color="000000" w:sz="8" w:space="0"/>
              <w:left w:val="single" w:color="000000" w:sz="8" w:space="0"/>
              <w:bottom w:val="single" w:color="000000" w:sz="8" w:space="0"/>
              <w:right w:val="single" w:color="000000" w:sz="8" w:space="0"/>
            </w:tcBorders>
            <w:vAlign w:val="center"/>
          </w:tcPr>
          <w:p>
            <w:pPr>
              <w:snapToGrid w:val="0"/>
              <w:jc w:val="center"/>
              <w:rPr>
                <w:rFonts w:hint="default"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lang w:val="en-US" w:eastAsia="zh-CN"/>
              </w:rPr>
              <w:t>合同生效之日</w:t>
            </w:r>
          </w:p>
        </w:tc>
        <w:tc>
          <w:tcPr>
            <w:tcW w:w="6043" w:type="dxa"/>
            <w:tcBorders>
              <w:top w:val="single" w:color="000000" w:sz="8" w:space="0"/>
              <w:left w:val="single" w:color="000000" w:sz="8" w:space="0"/>
              <w:bottom w:val="single" w:color="000000" w:sz="8" w:space="0"/>
              <w:right w:val="single" w:color="000000" w:sz="8" w:space="0"/>
            </w:tcBorders>
            <w:vAlign w:val="center"/>
          </w:tcPr>
          <w:p>
            <w:pPr>
              <w:snapToGrid w:val="0"/>
              <w:ind w:right="72"/>
              <w:jc w:val="center"/>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完成项目研究技术路线及实施方案制定，交付项目研究开发计划书1份。</w:t>
            </w:r>
          </w:p>
        </w:tc>
      </w:tr>
      <w:tr>
        <w:tblPrEx>
          <w:tblCellMar>
            <w:top w:w="0" w:type="dxa"/>
            <w:left w:w="108" w:type="dxa"/>
            <w:bottom w:w="0" w:type="dxa"/>
            <w:right w:w="108" w:type="dxa"/>
          </w:tblCellMar>
        </w:tblPrEx>
        <w:trPr>
          <w:cantSplit/>
          <w:trHeight w:val="33" w:hRule="atLeast"/>
        </w:trPr>
        <w:tc>
          <w:tcPr>
            <w:tcW w:w="67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Cs w:val="21"/>
                <w:lang w:eastAsia="zh-CN"/>
              </w:rPr>
            </w:pPr>
            <w:r>
              <w:rPr>
                <w:rFonts w:hint="eastAsia" w:ascii="仿宋_GB2312" w:hAnsi="仿宋_GB2312" w:eastAsia="仿宋_GB2312" w:cs="仿宋_GB2312"/>
                <w:color w:val="auto"/>
                <w:szCs w:val="21"/>
                <w:lang w:val="en-US" w:eastAsia="zh-CN"/>
              </w:rPr>
              <w:t>2</w:t>
            </w:r>
          </w:p>
        </w:tc>
        <w:tc>
          <w:tcPr>
            <w:tcW w:w="2003" w:type="dxa"/>
            <w:tcBorders>
              <w:top w:val="single" w:color="auto" w:sz="4" w:space="0"/>
              <w:left w:val="single" w:color="auto" w:sz="4" w:space="0"/>
              <w:bottom w:val="single" w:color="auto" w:sz="4" w:space="0"/>
              <w:right w:val="single" w:color="auto" w:sz="4" w:space="0"/>
            </w:tcBorders>
            <w:vAlign w:val="center"/>
          </w:tcPr>
          <w:p>
            <w:pPr>
              <w:jc w:val="center"/>
              <w:rPr>
                <w:rFonts w:hint="default"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rPr>
              <w:t>202</w:t>
            </w:r>
            <w:r>
              <w:rPr>
                <w:rFonts w:hint="eastAsia" w:ascii="仿宋_GB2312" w:hAnsi="仿宋_GB2312" w:eastAsia="仿宋_GB2312" w:cs="仿宋_GB2312"/>
                <w:color w:val="auto"/>
                <w:szCs w:val="21"/>
                <w:lang w:val="en-US" w:eastAsia="zh-CN"/>
              </w:rPr>
              <w:t>7</w:t>
            </w:r>
            <w:r>
              <w:rPr>
                <w:rFonts w:hint="eastAsia" w:ascii="仿宋_GB2312" w:hAnsi="仿宋_GB2312" w:eastAsia="仿宋_GB2312" w:cs="仿宋_GB2312"/>
                <w:color w:val="auto"/>
                <w:szCs w:val="21"/>
              </w:rPr>
              <w:t>年</w:t>
            </w:r>
            <w:r>
              <w:rPr>
                <w:rFonts w:hint="eastAsia" w:ascii="仿宋_GB2312" w:hAnsi="仿宋_GB2312" w:eastAsia="仿宋_GB2312" w:cs="仿宋_GB2312"/>
                <w:color w:val="auto"/>
                <w:szCs w:val="21"/>
                <w:lang w:val="en-US" w:eastAsia="zh-CN"/>
              </w:rPr>
              <w:t>1</w:t>
            </w:r>
            <w:r>
              <w:rPr>
                <w:rFonts w:hint="eastAsia" w:ascii="仿宋_GB2312" w:hAnsi="仿宋_GB2312" w:eastAsia="仿宋_GB2312" w:cs="仿宋_GB2312"/>
                <w:color w:val="auto"/>
                <w:szCs w:val="21"/>
              </w:rPr>
              <w:t>月</w:t>
            </w:r>
            <w:r>
              <w:rPr>
                <w:rFonts w:hint="eastAsia" w:ascii="仿宋_GB2312" w:hAnsi="仿宋_GB2312" w:eastAsia="仿宋_GB2312" w:cs="仿宋_GB2312"/>
                <w:color w:val="auto"/>
                <w:szCs w:val="21"/>
                <w:lang w:val="en-US" w:eastAsia="zh-CN"/>
              </w:rPr>
              <w:t>31日</w:t>
            </w:r>
          </w:p>
        </w:tc>
        <w:tc>
          <w:tcPr>
            <w:tcW w:w="604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完成高耗能工业负荷资源智能感知与边缘协同技术研究</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rPr>
              <w:t>高耗能工业负荷资源调控潜力量化方法研究，交付《高耗能工业负荷资源调控潜力量化方法研究》研究报告1份</w:t>
            </w:r>
            <w:r>
              <w:rPr>
                <w:rFonts w:hint="eastAsia" w:ascii="仿宋_GB2312" w:hAnsi="仿宋_GB2312" w:eastAsia="仿宋_GB2312" w:cs="仿宋_GB2312"/>
                <w:color w:val="auto"/>
                <w:szCs w:val="21"/>
                <w:lang w:eastAsia="zh-CN"/>
              </w:rPr>
              <w:t>、</w:t>
            </w:r>
            <w:r>
              <w:rPr>
                <w:rFonts w:hint="eastAsia" w:ascii="仿宋_GB2312" w:hAnsi="仿宋_GB2312" w:eastAsia="仿宋_GB2312" w:cs="仿宋_GB2312"/>
                <w:color w:val="auto"/>
                <w:szCs w:val="21"/>
              </w:rPr>
              <w:t>《高耗能工业负荷资源智能感知与边缘协同技术研究》研究报告1份、论文底稿</w:t>
            </w:r>
            <w:r>
              <w:rPr>
                <w:rFonts w:hint="eastAsia" w:ascii="仿宋_GB2312" w:hAnsi="仿宋_GB2312" w:eastAsia="仿宋_GB2312" w:cs="仿宋_GB2312"/>
                <w:color w:val="auto"/>
                <w:szCs w:val="21"/>
                <w:lang w:val="en-US" w:eastAsia="zh-CN"/>
              </w:rPr>
              <w:t>5</w:t>
            </w:r>
            <w:r>
              <w:rPr>
                <w:rFonts w:hint="eastAsia" w:ascii="仿宋_GB2312" w:hAnsi="仿宋_GB2312" w:eastAsia="仿宋_GB2312" w:cs="仿宋_GB2312"/>
                <w:color w:val="auto"/>
                <w:szCs w:val="21"/>
              </w:rPr>
              <w:t>篇、专利底稿</w:t>
            </w:r>
            <w:r>
              <w:rPr>
                <w:rFonts w:hint="eastAsia" w:ascii="仿宋_GB2312" w:hAnsi="仿宋_GB2312" w:eastAsia="仿宋_GB2312" w:cs="仿宋_GB2312"/>
                <w:color w:val="auto"/>
                <w:szCs w:val="21"/>
                <w:lang w:val="en-US" w:eastAsia="zh-CN"/>
              </w:rPr>
              <w:t>8</w:t>
            </w:r>
            <w:r>
              <w:rPr>
                <w:rFonts w:hint="eastAsia" w:ascii="仿宋_GB2312" w:hAnsi="仿宋_GB2312" w:eastAsia="仿宋_GB2312" w:cs="仿宋_GB2312"/>
                <w:color w:val="auto"/>
                <w:szCs w:val="21"/>
              </w:rPr>
              <w:t>项、标准底稿1份。</w:t>
            </w:r>
          </w:p>
        </w:tc>
      </w:tr>
      <w:tr>
        <w:tblPrEx>
          <w:tblCellMar>
            <w:top w:w="0" w:type="dxa"/>
            <w:left w:w="108" w:type="dxa"/>
            <w:bottom w:w="0" w:type="dxa"/>
            <w:right w:w="108" w:type="dxa"/>
          </w:tblCellMar>
        </w:tblPrEx>
        <w:tc>
          <w:tcPr>
            <w:tcW w:w="674" w:type="dxa"/>
            <w:tcBorders>
              <w:top w:val="single" w:color="auto" w:sz="4" w:space="0"/>
              <w:left w:val="single" w:color="auto" w:sz="4" w:space="0"/>
              <w:bottom w:val="single" w:color="auto" w:sz="4" w:space="0"/>
              <w:right w:val="single" w:color="auto" w:sz="4" w:space="0"/>
            </w:tcBorders>
          </w:tcPr>
          <w:p>
            <w:pPr>
              <w:jc w:val="center"/>
              <w:rPr>
                <w:rFonts w:hint="eastAsia" w:ascii="仿宋_GB2312" w:hAnsi="仿宋_GB2312" w:eastAsia="仿宋_GB2312" w:cs="仿宋_GB2312"/>
                <w:color w:val="auto"/>
                <w:szCs w:val="21"/>
                <w:lang w:eastAsia="zh-CN"/>
              </w:rPr>
            </w:pPr>
            <w:r>
              <w:rPr>
                <w:rFonts w:hint="eastAsia" w:ascii="仿宋_GB2312" w:hAnsi="仿宋_GB2312" w:eastAsia="仿宋_GB2312" w:cs="仿宋_GB2312"/>
                <w:color w:val="auto"/>
                <w:szCs w:val="21"/>
                <w:lang w:val="en-US" w:eastAsia="zh-CN"/>
              </w:rPr>
              <w:t>3</w:t>
            </w:r>
          </w:p>
        </w:tc>
        <w:tc>
          <w:tcPr>
            <w:tcW w:w="2003" w:type="dxa"/>
            <w:tcBorders>
              <w:top w:val="single" w:color="auto" w:sz="4" w:space="0"/>
              <w:left w:val="single" w:color="auto" w:sz="4" w:space="0"/>
              <w:bottom w:val="single" w:color="auto" w:sz="4" w:space="0"/>
              <w:right w:val="single" w:color="auto" w:sz="4" w:space="0"/>
            </w:tcBorders>
          </w:tcPr>
          <w:p>
            <w:pPr>
              <w:jc w:val="center"/>
              <w:rPr>
                <w:rFonts w:hint="default" w:ascii="仿宋_GB2312" w:hAnsi="仿宋_GB2312" w:eastAsia="仿宋_GB2312" w:cs="仿宋_GB2312"/>
                <w:color w:val="auto"/>
                <w:szCs w:val="21"/>
                <w:lang w:val="en-US" w:eastAsia="zh-CN"/>
              </w:rPr>
            </w:pPr>
            <w:r>
              <w:rPr>
                <w:rFonts w:hint="eastAsia" w:ascii="仿宋_GB2312" w:hAnsi="仿宋_GB2312" w:eastAsia="仿宋_GB2312" w:cs="仿宋_GB2312"/>
                <w:color w:val="auto"/>
                <w:szCs w:val="21"/>
              </w:rPr>
              <w:t>2027年5月</w:t>
            </w:r>
            <w:r>
              <w:rPr>
                <w:rFonts w:hint="eastAsia" w:ascii="仿宋_GB2312" w:hAnsi="仿宋_GB2312" w:eastAsia="仿宋_GB2312" w:cs="仿宋_GB2312"/>
                <w:color w:val="auto"/>
                <w:szCs w:val="21"/>
                <w:lang w:val="en-US" w:eastAsia="zh-CN"/>
              </w:rPr>
              <w:t>31日</w:t>
            </w:r>
          </w:p>
        </w:tc>
        <w:tc>
          <w:tcPr>
            <w:tcW w:w="6043" w:type="dxa"/>
            <w:tcBorders>
              <w:top w:val="single" w:color="auto" w:sz="4" w:space="0"/>
              <w:left w:val="single" w:color="auto" w:sz="4" w:space="0"/>
              <w:bottom w:val="single" w:color="auto" w:sz="4" w:space="0"/>
              <w:right w:val="single" w:color="auto" w:sz="4" w:space="0"/>
            </w:tcBorders>
          </w:tcPr>
          <w:p>
            <w:pPr>
              <w:jc w:val="center"/>
              <w:rPr>
                <w:rFonts w:hint="eastAsia" w:ascii="仿宋_GB2312" w:hAnsi="仿宋_GB2312" w:eastAsia="仿宋_GB2312" w:cs="仿宋_GB2312"/>
                <w:color w:val="auto"/>
                <w:szCs w:val="21"/>
              </w:rPr>
            </w:pPr>
            <w:r>
              <w:rPr>
                <w:rFonts w:hint="eastAsia" w:ascii="仿宋_GB2312" w:hAnsi="仿宋_GB2312" w:eastAsia="仿宋_GB2312" w:cs="仿宋_GB2312"/>
                <w:color w:val="auto"/>
                <w:szCs w:val="21"/>
              </w:rPr>
              <w:t>完成面向多市场模式的高耗能工业负荷集群调控智能优化算法研究，交付《面向多市场模式的高耗能工业负荷集群调控智能优化算法研究》研究报告1份、论文底稿3篇、专利底稿5项，并提交全部交付物。</w:t>
            </w:r>
          </w:p>
        </w:tc>
      </w:tr>
    </w:tbl>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中标人必须按招标人确认的进度计划组织研究，接受招标人对研究进度的检查和监督。项目实际进度与经确认的进度计划不符合时，中标人应按招标人的要求提出改进措施，经招标</w:t>
      </w:r>
      <w:bookmarkStart w:id="1" w:name="_GoBack"/>
      <w:bookmarkEnd w:id="1"/>
      <w:r>
        <w:rPr>
          <w:rFonts w:hint="eastAsia" w:ascii="仿宋_GB2312" w:hAnsi="仿宋_GB2312" w:eastAsia="仿宋_GB2312" w:cs="仿宋_GB2312"/>
          <w:color w:val="000000"/>
          <w:sz w:val="28"/>
          <w:szCs w:val="28"/>
        </w:rPr>
        <w:t>人确认后执行。因中标人的原因导致项目实际进度与进度计划不符，中标人需实施改进措施且不得追加合同价款。</w:t>
      </w:r>
    </w:p>
    <w:p>
      <w:pPr>
        <w:pStyle w:val="5"/>
        <w:numPr>
          <w:ilvl w:val="0"/>
          <w:numId w:val="0"/>
        </w:numPr>
        <w:spacing w:before="0" w:after="0" w:line="560" w:lineRule="exact"/>
        <w:ind w:left="284" w:right="0" w:firstLine="0"/>
        <w:rPr>
          <w:rFonts w:hint="eastAsia" w:ascii="仿宋_GB2312" w:hAnsi="仿宋_GB2312" w:eastAsia="仿宋_GB2312" w:cs="仿宋_GB2312"/>
        </w:rPr>
      </w:pPr>
      <w:r>
        <w:rPr>
          <w:rFonts w:hint="eastAsia" w:eastAsia="仿宋_GB2312" w:cs="仿宋_GB2312"/>
        </w:rPr>
        <w:t>3.3</w:t>
      </w:r>
      <w:r>
        <w:rPr>
          <w:rFonts w:hint="eastAsia" w:ascii="仿宋_GB2312" w:hAnsi="仿宋_GB2312" w:cs="仿宋_GB2312"/>
        </w:rPr>
        <w:t>项目研究结束</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1)中标人必须按照本规范书约定的结束日期或经招标人同意顺延的计划完成项目。</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2)因中标人原因不能按照本规范书约定的完成日期或招标人同意顺延的工期完成的，中标人承担违约责任。</w:t>
      </w:r>
    </w:p>
    <w:p>
      <w:pPr>
        <w:pStyle w:val="5"/>
        <w:numPr>
          <w:ilvl w:val="0"/>
          <w:numId w:val="0"/>
        </w:numPr>
        <w:spacing w:before="0" w:after="0" w:line="560" w:lineRule="exact"/>
        <w:ind w:left="284" w:right="0" w:firstLine="0"/>
        <w:rPr>
          <w:rFonts w:hint="eastAsia" w:ascii="仿宋_GB2312" w:hAnsi="仿宋_GB2312" w:eastAsia="仿宋_GB2312" w:cs="仿宋_GB2312"/>
        </w:rPr>
      </w:pPr>
      <w:r>
        <w:rPr>
          <w:rFonts w:hint="eastAsia" w:eastAsia="仿宋_GB2312" w:cs="仿宋_GB2312"/>
        </w:rPr>
        <w:t>3.4</w:t>
      </w:r>
      <w:r>
        <w:rPr>
          <w:rFonts w:hint="eastAsia" w:ascii="仿宋_GB2312" w:hAnsi="仿宋_GB2312" w:cs="仿宋_GB2312"/>
        </w:rPr>
        <w:t>项目验收的形式与要求</w:t>
      </w:r>
    </w:p>
    <w:p>
      <w:pPr>
        <w:spacing w:line="560" w:lineRule="exact"/>
        <w:ind w:left="0" w:leftChars="0" w:right="0" w:rightChars="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本项目的具体验收方式及时间安排如下：</w:t>
      </w:r>
    </w:p>
    <w:p>
      <w:pPr>
        <w:spacing w:line="560" w:lineRule="exact"/>
        <w:ind w:left="0" w:leftChars="0" w:right="0" w:rightChars="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1）项目需于</w:t>
      </w:r>
      <w:r>
        <w:rPr>
          <w:rFonts w:hint="eastAsia" w:ascii="仿宋_GB2312" w:hAnsi="仿宋_GB2312" w:eastAsia="仿宋_GB2312" w:cs="仿宋_GB2312"/>
          <w:sz w:val="28"/>
          <w:szCs w:val="28"/>
          <w:highlight w:val="none"/>
          <w:u w:val="single"/>
        </w:rPr>
        <w:t>2027年5月31日</w:t>
      </w:r>
      <w:r>
        <w:rPr>
          <w:rFonts w:hint="eastAsia" w:ascii="仿宋_GB2312" w:hAnsi="仿宋_GB2312" w:eastAsia="仿宋_GB2312" w:cs="仿宋_GB2312"/>
          <w:sz w:val="28"/>
          <w:szCs w:val="28"/>
          <w:highlight w:val="none"/>
        </w:rPr>
        <w:t>前完成“2.3 研究成果/交付物的技术指标要求”交付的全部内容，并提交验收报告，通过甲方组织的验收。</w:t>
      </w:r>
    </w:p>
    <w:p>
      <w:pPr>
        <w:spacing w:line="560" w:lineRule="exact"/>
        <w:ind w:left="0" w:leftChars="0" w:right="0" w:rightChars="0" w:firstLineChars="200"/>
        <w:rPr>
          <w:rFonts w:hint="eastAsia" w:ascii="仿宋_GB2312" w:hAnsi="仿宋_GB2312" w:eastAsia="仿宋_GB2312" w:cs="仿宋_GB2312"/>
          <w:sz w:val="28"/>
          <w:szCs w:val="28"/>
          <w:highlight w:val="none"/>
          <w:u w:val="single"/>
        </w:rPr>
      </w:pPr>
      <w:r>
        <w:rPr>
          <w:rFonts w:hint="eastAsia" w:ascii="仿宋_GB2312" w:hAnsi="仿宋_GB2312" w:eastAsia="仿宋_GB2312" w:cs="仿宋_GB2312"/>
          <w:sz w:val="28"/>
          <w:szCs w:val="28"/>
          <w:highlight w:val="none"/>
        </w:rPr>
        <w:t>2）项目交付地址：</w:t>
      </w:r>
      <w:r>
        <w:rPr>
          <w:rFonts w:hint="eastAsia" w:ascii="仿宋_GB2312" w:hAnsi="仿宋_GB2312" w:eastAsia="仿宋_GB2312" w:cs="仿宋_GB2312"/>
          <w:sz w:val="28"/>
          <w:szCs w:val="28"/>
          <w:highlight w:val="none"/>
          <w:u w:val="single"/>
        </w:rPr>
        <w:t xml:space="preserve">  </w:t>
      </w:r>
      <w:r>
        <w:rPr>
          <w:rFonts w:hint="eastAsia" w:ascii="仿宋_GB2312" w:hAnsi="仿宋_GB2312" w:eastAsia="仿宋_GB2312" w:cs="仿宋_GB2312"/>
          <w:sz w:val="28"/>
          <w:szCs w:val="28"/>
          <w:highlight w:val="none"/>
          <w:u w:val="single"/>
          <w:lang w:val="en-US" w:eastAsia="zh-CN"/>
        </w:rPr>
        <w:t>广州</w:t>
      </w:r>
      <w:r>
        <w:rPr>
          <w:rFonts w:hint="eastAsia" w:ascii="仿宋_GB2312" w:hAnsi="仿宋_GB2312" w:eastAsia="仿宋_GB2312" w:cs="仿宋_GB2312"/>
          <w:sz w:val="28"/>
          <w:szCs w:val="28"/>
          <w:highlight w:val="none"/>
          <w:u w:val="single"/>
        </w:rPr>
        <w:t xml:space="preserve">  </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3）满足验收条件时，中标人应首先进行认真的自检，并在验收前七日以书面形式通知招标人组织验收，通知包括验收的内容、验收时间和地点。中标人准备验收材料。</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4）由于非中标人原因项目验收达不到验收标准及约定要求，招标人应要求有关单位修改，中标人按修改意见处理。</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5）由于中标人原因项目验收达不到验收标准及约定要求，中标人应按采购人的要求进行补救或返工，并承担重新验收和返工的费用。</w:t>
      </w:r>
    </w:p>
    <w:p>
      <w:pPr>
        <w:pStyle w:val="5"/>
        <w:numPr>
          <w:ilvl w:val="0"/>
          <w:numId w:val="0"/>
        </w:numPr>
        <w:spacing w:before="0" w:after="0" w:line="560" w:lineRule="exact"/>
        <w:ind w:left="284" w:right="0" w:firstLine="0"/>
        <w:rPr>
          <w:rFonts w:hint="eastAsia" w:ascii="仿宋_GB2312" w:hAnsi="仿宋_GB2312" w:eastAsia="仿宋_GB2312" w:cs="仿宋_GB2312"/>
        </w:rPr>
      </w:pPr>
      <w:r>
        <w:rPr>
          <w:rFonts w:hint="eastAsia" w:eastAsia="仿宋_GB2312" w:cs="仿宋_GB2312"/>
        </w:rPr>
        <w:t>3.5</w:t>
      </w:r>
      <w:r>
        <w:rPr>
          <w:rFonts w:hint="eastAsia" w:ascii="仿宋_GB2312" w:hAnsi="仿宋_GB2312" w:cs="仿宋_GB2312"/>
        </w:rPr>
        <w:t>项目质量安全保障</w:t>
      </w:r>
    </w:p>
    <w:p>
      <w:pPr>
        <w:spacing w:line="560" w:lineRule="exact"/>
        <w:ind w:left="0" w:leftChars="0" w:right="0" w:rightChars="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1）中标人应严格遵守本规范书关于项目的若干技术质量规定，制定严格的质量安全措施。中标人负责在整个项目过程中保证项目的质量和试验数据的可靠性。</w:t>
      </w:r>
    </w:p>
    <w:p>
      <w:pPr>
        <w:spacing w:line="560" w:lineRule="exact"/>
        <w:ind w:left="0" w:leftChars="0" w:right="0" w:rightChars="0" w:firstLineChars="200"/>
        <w:rPr>
          <w:rFonts w:hint="eastAsia" w:ascii="仿宋_GB2312" w:hAnsi="仿宋_GB2312" w:eastAsia="仿宋_GB2312" w:cs="仿宋_GB2312"/>
          <w:color w:val="auto"/>
          <w:sz w:val="28"/>
          <w:szCs w:val="28"/>
        </w:rPr>
      </w:pPr>
      <w:r>
        <w:rPr>
          <w:rFonts w:hint="eastAsia" w:ascii="仿宋_GB2312" w:hAnsi="仿宋_GB2312" w:eastAsia="仿宋_GB2312" w:cs="仿宋_GB2312"/>
          <w:color w:val="auto"/>
          <w:sz w:val="28"/>
          <w:szCs w:val="28"/>
        </w:rPr>
        <w:t>2）由于中标人质量安全措施不力造成研究质量安全事故的责任，以及由此发生的费用和损失，由中标人承担。</w:t>
      </w:r>
    </w:p>
    <w:p>
      <w:pPr>
        <w:pStyle w:val="4"/>
        <w:spacing w:before="0" w:after="0" w:line="560" w:lineRule="exact"/>
        <w:ind w:left="0" w:firstLine="0"/>
        <w:rPr>
          <w:rFonts w:hint="eastAsia" w:ascii="仿宋_GB2312" w:hAnsi="仿宋_GB2312" w:eastAsia="仿宋_GB2312" w:cs="仿宋_GB2312"/>
        </w:rPr>
      </w:pPr>
      <w:r>
        <w:rPr>
          <w:rFonts w:hint="eastAsia" w:ascii="仿宋_GB2312" w:hAnsi="仿宋_GB2312" w:cs="仿宋_GB2312"/>
        </w:rPr>
        <w:t>其它相关要求</w:t>
      </w:r>
    </w:p>
    <w:p>
      <w:pPr>
        <w:spacing w:line="560" w:lineRule="exact"/>
        <w:ind w:left="0" w:leftChars="0" w:right="0" w:rightChars="0" w:firstLineChars="200"/>
        <w:rPr>
          <w:rFonts w:hint="eastAsia" w:ascii="仿宋_GB2312" w:hAnsi="仿宋_GB2312" w:eastAsia="仿宋_GB2312" w:cs="仿宋_GB2312"/>
          <w:color w:val="000000"/>
          <w:sz w:val="28"/>
          <w:szCs w:val="28"/>
        </w:rPr>
      </w:pPr>
      <w:r>
        <w:rPr>
          <w:rFonts w:hint="eastAsia" w:ascii="仿宋_GB2312" w:hAnsi="仿宋_GB2312" w:eastAsia="仿宋_GB2312" w:cs="仿宋_GB2312"/>
          <w:color w:val="000000"/>
          <w:sz w:val="28"/>
          <w:szCs w:val="28"/>
        </w:rPr>
        <w:t>本技术规范书的最终解释权归招标人。</w:t>
      </w:r>
      <w:r>
        <w:br w:type="page"/>
      </w:r>
    </w:p>
    <w:p>
      <w:pPr>
        <w:pStyle w:val="4"/>
        <w:numPr>
          <w:ilvl w:val="0"/>
          <w:numId w:val="0"/>
        </w:numPr>
        <w:spacing w:before="0" w:after="240" w:line="560" w:lineRule="exact"/>
        <w:ind w:left="420" w:right="0" w:hanging="420"/>
        <w:rPr>
          <w:rFonts w:hint="eastAsia" w:ascii="仿宋_GB2312" w:hAnsi="仿宋_GB2312" w:eastAsia="仿宋_GB2312" w:cs="仿宋_GB2312"/>
        </w:rPr>
      </w:pPr>
      <w:r>
        <w:rPr>
          <w:rFonts w:hint="eastAsia" w:ascii="仿宋_GB2312" w:hAnsi="仿宋_GB2312" w:cs="仿宋_GB2312"/>
        </w:rPr>
        <w:t>附件一：技术差异表</w:t>
      </w:r>
    </w:p>
    <w:tbl>
      <w:tblPr>
        <w:tblStyle w:val="14"/>
        <w:tblW w:w="5000" w:type="pct"/>
        <w:tblInd w:w="0" w:type="dxa"/>
        <w:tblLayout w:type="fixed"/>
        <w:tblCellMar>
          <w:top w:w="0" w:type="dxa"/>
          <w:left w:w="108" w:type="dxa"/>
          <w:bottom w:w="0" w:type="dxa"/>
          <w:right w:w="108" w:type="dxa"/>
        </w:tblCellMar>
      </w:tblPr>
      <w:tblGrid>
        <w:gridCol w:w="1574"/>
        <w:gridCol w:w="2129"/>
        <w:gridCol w:w="1696"/>
        <w:gridCol w:w="2073"/>
        <w:gridCol w:w="1248"/>
      </w:tblGrid>
      <w:tr>
        <w:tblPrEx>
          <w:tblCellMar>
            <w:top w:w="0" w:type="dxa"/>
            <w:left w:w="108" w:type="dxa"/>
            <w:bottom w:w="0" w:type="dxa"/>
            <w:right w:w="108" w:type="dxa"/>
          </w:tblCellMar>
        </w:tblPrEx>
        <w:trPr>
          <w:trHeight w:val="438" w:hRule="exact"/>
        </w:trPr>
        <w:tc>
          <w:tcPr>
            <w:tcW w:w="15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rPr>
            </w:pPr>
            <w:r>
              <w:rPr>
                <w:rFonts w:hint="eastAsia" w:ascii="仿宋_GB2312" w:hAnsi="仿宋_GB2312" w:eastAsia="仿宋_GB2312" w:cs="仿宋_GB2312"/>
                <w:b/>
              </w:rPr>
              <w:t>规范书条目</w:t>
            </w:r>
          </w:p>
        </w:tc>
        <w:tc>
          <w:tcPr>
            <w:tcW w:w="20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rPr>
            </w:pPr>
            <w:r>
              <w:rPr>
                <w:rFonts w:hint="eastAsia" w:ascii="仿宋_GB2312" w:hAnsi="仿宋_GB2312" w:eastAsia="仿宋_GB2312" w:cs="仿宋_GB2312"/>
                <w:b/>
              </w:rPr>
              <w:t>技术规范书要求</w:t>
            </w:r>
          </w:p>
        </w:tc>
        <w:tc>
          <w:tcPr>
            <w:tcW w:w="1654"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rPr>
            </w:pPr>
            <w:r>
              <w:rPr>
                <w:rFonts w:hint="eastAsia" w:ascii="仿宋_GB2312" w:hAnsi="仿宋_GB2312" w:eastAsia="仿宋_GB2312" w:cs="仿宋_GB2312"/>
                <w:b/>
              </w:rPr>
              <w:t>技术偏差</w:t>
            </w:r>
          </w:p>
        </w:tc>
        <w:tc>
          <w:tcPr>
            <w:tcW w:w="202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rPr>
            </w:pPr>
            <w:r>
              <w:rPr>
                <w:rFonts w:hint="eastAsia" w:ascii="仿宋_GB2312" w:hAnsi="仿宋_GB2312" w:eastAsia="仿宋_GB2312" w:cs="仿宋_GB2312"/>
                <w:b/>
              </w:rPr>
              <w:t>详细说明</w:t>
            </w:r>
          </w:p>
        </w:tc>
        <w:tc>
          <w:tcPr>
            <w:tcW w:w="12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仿宋_GB2312" w:eastAsia="仿宋_GB2312" w:cs="仿宋_GB2312"/>
                <w:b/>
              </w:rPr>
            </w:pPr>
            <w:r>
              <w:rPr>
                <w:rFonts w:hint="eastAsia" w:ascii="仿宋_GB2312" w:hAnsi="仿宋_GB2312" w:eastAsia="仿宋_GB2312" w:cs="仿宋_GB2312"/>
                <w:b/>
              </w:rPr>
              <w:t>备 注</w:t>
            </w:r>
          </w:p>
        </w:tc>
      </w:tr>
      <w:tr>
        <w:tblPrEx>
          <w:tblCellMar>
            <w:top w:w="0" w:type="dxa"/>
            <w:left w:w="108" w:type="dxa"/>
            <w:bottom w:w="0" w:type="dxa"/>
            <w:right w:w="108" w:type="dxa"/>
          </w:tblCellMar>
        </w:tblPrEx>
        <w:trPr>
          <w:trHeight w:val="510" w:hRule="exact"/>
        </w:trPr>
        <w:tc>
          <w:tcPr>
            <w:tcW w:w="1535"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2076"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1654"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2022"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1217"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r>
      <w:tr>
        <w:tblPrEx>
          <w:tblCellMar>
            <w:top w:w="0" w:type="dxa"/>
            <w:left w:w="108" w:type="dxa"/>
            <w:bottom w:w="0" w:type="dxa"/>
            <w:right w:w="108" w:type="dxa"/>
          </w:tblCellMar>
        </w:tblPrEx>
        <w:trPr>
          <w:trHeight w:val="510" w:hRule="exact"/>
        </w:trPr>
        <w:tc>
          <w:tcPr>
            <w:tcW w:w="1535"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2076"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1654"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2022"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1217"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r>
      <w:tr>
        <w:tblPrEx>
          <w:tblCellMar>
            <w:top w:w="0" w:type="dxa"/>
            <w:left w:w="108" w:type="dxa"/>
            <w:bottom w:w="0" w:type="dxa"/>
            <w:right w:w="108" w:type="dxa"/>
          </w:tblCellMar>
        </w:tblPrEx>
        <w:trPr>
          <w:trHeight w:val="510" w:hRule="exact"/>
        </w:trPr>
        <w:tc>
          <w:tcPr>
            <w:tcW w:w="1535"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2076"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1654"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2022"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1217"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r>
      <w:tr>
        <w:tblPrEx>
          <w:tblCellMar>
            <w:top w:w="0" w:type="dxa"/>
            <w:left w:w="108" w:type="dxa"/>
            <w:bottom w:w="0" w:type="dxa"/>
            <w:right w:w="108" w:type="dxa"/>
          </w:tblCellMar>
        </w:tblPrEx>
        <w:trPr>
          <w:trHeight w:val="510" w:hRule="exact"/>
        </w:trPr>
        <w:tc>
          <w:tcPr>
            <w:tcW w:w="1535"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2076"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1654"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2022"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c>
          <w:tcPr>
            <w:tcW w:w="1217" w:type="dxa"/>
            <w:tcBorders>
              <w:top w:val="single" w:color="000000" w:sz="4" w:space="0"/>
              <w:left w:val="single" w:color="000000" w:sz="4" w:space="0"/>
              <w:bottom w:val="single" w:color="000000" w:sz="4" w:space="0"/>
              <w:right w:val="single" w:color="000000" w:sz="4" w:space="0"/>
            </w:tcBorders>
          </w:tcPr>
          <w:p>
            <w:pPr>
              <w:pStyle w:val="50"/>
              <w:snapToGrid w:val="0"/>
              <w:ind w:left="960" w:right="0"/>
              <w:rPr>
                <w:rFonts w:hint="eastAsia" w:ascii="仿宋_GB2312" w:hAnsi="仿宋_GB2312" w:eastAsia="仿宋_GB2312" w:cs="仿宋_GB2312"/>
                <w:b/>
                <w:sz w:val="30"/>
              </w:rPr>
            </w:pPr>
          </w:p>
        </w:tc>
      </w:tr>
    </w:tbl>
    <w:p>
      <w:pPr>
        <w:snapToGrid w:val="0"/>
        <w:spacing w:line="560" w:lineRule="exact"/>
        <w:rPr>
          <w:rFonts w:hint="eastAsia" w:ascii="仿宋_GB2312" w:hAnsi="仿宋_GB2312" w:eastAsia="仿宋_GB2312" w:cs="仿宋_GB2312"/>
          <w:kern w:val="0"/>
          <w:sz w:val="28"/>
          <w:szCs w:val="28"/>
        </w:rPr>
      </w:pPr>
    </w:p>
    <w:sectPr>
      <w:headerReference r:id="rId5" w:type="first"/>
      <w:footerReference r:id="rId8" w:type="first"/>
      <w:headerReference r:id="rId3" w:type="default"/>
      <w:footerReference r:id="rId6" w:type="default"/>
      <w:headerReference r:id="rId4" w:type="even"/>
      <w:footerReference r:id="rId7" w:type="even"/>
      <w:pgSz w:w="11906" w:h="16838"/>
      <w:pgMar w:top="1418" w:right="1701" w:bottom="1418" w:left="1701" w:header="851" w:footer="992" w:gutter="0"/>
      <w:pgNumType w:fmt="decimal"/>
      <w:cols w:space="720" w:num="1"/>
      <w:formProt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 w:name="Liberation Serif">
    <w:altName w:val="Segoe Print"/>
    <w:panose1 w:val="00000000000000000000"/>
    <w:charset w:val="01"/>
    <w:family w:val="roman"/>
    <w:pitch w:val="default"/>
    <w:sig w:usb0="00000000" w:usb1="00000000" w:usb2="00000000" w:usb3="00000000" w:csb0="00000000" w:csb1="00000000"/>
  </w:font>
  <w:font w:name="华文宋体">
    <w:altName w:val="宋体"/>
    <w:panose1 w:val="02010600040101010101"/>
    <w:charset w:val="86"/>
    <w:family w:val="auto"/>
    <w:pitch w:val="default"/>
    <w:sig w:usb0="00000000" w:usb1="0000000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hint="eastAsia"/>
      </w:rPr>
    </w:pPr>
    <w:r>
      <mc:AlternateContent>
        <mc:Choice Requires="wps">
          <w:drawing>
            <wp:anchor distT="0" distB="0" distL="114935" distR="114935" simplePos="0" relativeHeight="251659264" behindDoc="1" locked="0" layoutInCell="0" allowOverlap="1">
              <wp:simplePos x="0" y="0"/>
              <wp:positionH relativeFrom="margin">
                <wp:align>center</wp:align>
              </wp:positionH>
              <wp:positionV relativeFrom="paragraph">
                <wp:posOffset>635</wp:posOffset>
              </wp:positionV>
              <wp:extent cx="351155" cy="195580"/>
              <wp:effectExtent l="0" t="0" r="0" b="0"/>
              <wp:wrapNone/>
              <wp:docPr id="2" name="Frame2"/>
              <wp:cNvGraphicFramePr/>
              <a:graphic xmlns:a="http://schemas.openxmlformats.org/drawingml/2006/main">
                <a:graphicData uri="http://schemas.microsoft.com/office/word/2010/wordprocessingShape">
                  <wps:wsp>
                    <wps:cNvSpPr txBox="1"/>
                    <wps:spPr>
                      <a:xfrm>
                        <a:off x="0" y="0"/>
                        <a:ext cx="351155" cy="195580"/>
                      </a:xfrm>
                      <a:prstGeom prst="rect">
                        <a:avLst/>
                      </a:prstGeom>
                      <a:solidFill>
                        <a:srgbClr val="FFFFFF">
                          <a:alpha val="0"/>
                        </a:srgbClr>
                      </a:solidFill>
                    </wps:spPr>
                    <wps:txbx>
                      <w:txbxContent>
                        <w:p>
                          <w:pPr>
                            <w:pStyle w:val="9"/>
                            <w:jc w:val="center"/>
                          </w:pPr>
                          <w:r>
                            <w:rPr>
                              <w:rStyle w:val="16"/>
                              <w:rFonts w:hint="eastAsia"/>
                            </w:rPr>
                            <w:t xml:space="preserve">－ </w:t>
                          </w:r>
                          <w:r>
                            <w:fldChar w:fldCharType="begin"/>
                          </w:r>
                          <w:r>
                            <w:instrText xml:space="preserve"> PAGE </w:instrText>
                          </w:r>
                          <w:r>
                            <w:fldChar w:fldCharType="separate"/>
                          </w:r>
                          <w:r>
                            <w:t>8</w:t>
                          </w:r>
                          <w:r>
                            <w:fldChar w:fldCharType="end"/>
                          </w:r>
                          <w:r>
                            <w:rPr>
                              <w:rStyle w:val="16"/>
                              <w:rFonts w:hint="eastAsia"/>
                            </w:rPr>
                            <w:t xml:space="preserve"> －</w:t>
                          </w:r>
                        </w:p>
                      </w:txbxContent>
                    </wps:txbx>
                    <wps:bodyPr lIns="635" tIns="635" rIns="635" bIns="635" anchor="t">
                      <a:spAutoFit/>
                    </wps:bodyPr>
                  </wps:wsp>
                </a:graphicData>
              </a:graphic>
            </wp:anchor>
          </w:drawing>
        </mc:Choice>
        <mc:Fallback>
          <w:pict>
            <v:shape id="Frame2" o:spid="_x0000_s1026" o:spt="202" type="#_x0000_t202" style="position:absolute;left:0pt;margin-top:0.05pt;height:15.4pt;width:27.65pt;mso-position-horizontal:center;mso-position-horizontal-relative:margin;z-index:-251657216;mso-width-relative:page;mso-height-relative:page;" fillcolor="#FFFFFF" filled="t" stroked="f" coordsize="21600,21600" o:allowincell="f" o:gfxdata="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DGKTqnTAAAAAwEAAA8AAAAAAAAAAQAgAAAAIgAAAGRycy9kb3du&#10;cmV2LnhtbFBLAQIUABQAAAAIAIdO4kCeHxiVywEAALsDAAAOAAAAAAAAAAEAIAAAACIBAABkcnMv&#10;ZTJvRG9jLnhtbFBLBQYAAAAABgAGAFkBAABfBQAAAAA=&#10;">
              <v:fill on="t" opacity="0f" focussize="0,0"/>
              <v:stroke on="f"/>
              <v:imagedata o:title=""/>
              <o:lock v:ext="edit" aspectratio="f"/>
              <v:textbox inset="0.05pt,0.05pt,0.05pt,0.05pt" style="mso-fit-shape-to-text:t;">
                <w:txbxContent>
                  <w:p>
                    <w:pPr>
                      <w:pStyle w:val="9"/>
                      <w:jc w:val="center"/>
                    </w:pPr>
                    <w:r>
                      <w:rPr>
                        <w:rStyle w:val="16"/>
                        <w:rFonts w:hint="eastAsia"/>
                      </w:rPr>
                      <w:t xml:space="preserve">－ </w:t>
                    </w:r>
                    <w:r>
                      <w:fldChar w:fldCharType="begin"/>
                    </w:r>
                    <w:r>
                      <w:instrText xml:space="preserve"> PAGE </w:instrText>
                    </w:r>
                    <w:r>
                      <w:fldChar w:fldCharType="separate"/>
                    </w:r>
                    <w:r>
                      <w:t>8</w:t>
                    </w:r>
                    <w:r>
                      <w:fldChar w:fldCharType="end"/>
                    </w:r>
                    <w:r>
                      <w:rPr>
                        <w:rStyle w:val="16"/>
                        <w:rFonts w:hint="eastAsia"/>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right"/>
      <w:rPr>
        <w:rFonts w:hint="eastAsia" w:ascii="宋体" w:hAnsi="宋体" w:cs="宋体"/>
      </w:rPr>
    </w:pPr>
    <w:r>
      <w:drawing>
        <wp:anchor distT="0" distB="0" distL="114935" distR="114935" simplePos="0" relativeHeight="251659264" behindDoc="0" locked="0" layoutInCell="0" allowOverlap="1">
          <wp:simplePos x="0" y="0"/>
          <wp:positionH relativeFrom="column">
            <wp:posOffset>-1905</wp:posOffset>
          </wp:positionH>
          <wp:positionV relativeFrom="paragraph">
            <wp:posOffset>-22225</wp:posOffset>
          </wp:positionV>
          <wp:extent cx="914400" cy="179070"/>
          <wp:effectExtent l="0" t="0" r="0" b="0"/>
          <wp:wrapSquare wrapText="right"/>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1"/>
                  <a:srcRect l="5835" t="14169" r="5835" b="27393"/>
                  <a:stretch>
                    <a:fillRect/>
                  </a:stretch>
                </pic:blipFill>
                <pic:spPr>
                  <a:xfrm>
                    <a:off x="0" y="0"/>
                    <a:ext cx="914400" cy="179070"/>
                  </a:xfrm>
                  <a:prstGeom prst="rect">
                    <a:avLst/>
                  </a:prstGeom>
                  <a:noFill/>
                </pic:spPr>
              </pic:pic>
            </a:graphicData>
          </a:graphic>
        </wp:anchor>
      </w:drawing>
    </w:r>
    <w:r>
      <w:rPr>
        <w:rFonts w:hint="eastAsia" w:ascii="宋体" w:hAnsi="宋体" w:cs="宋体"/>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CB4770"/>
    <w:multiLevelType w:val="multilevel"/>
    <w:tmpl w:val="DBCB4770"/>
    <w:lvl w:ilvl="0" w:tentative="0">
      <w:start w:val="1"/>
      <w:numFmt w:val="decimal"/>
      <w:pStyle w:val="6"/>
      <w:lvlText w:val="%1."/>
      <w:lvlJc w:val="left"/>
      <w:pPr>
        <w:tabs>
          <w:tab w:val="left" w:pos="0"/>
        </w:tabs>
        <w:ind w:left="425" w:hanging="425"/>
      </w:pPr>
      <w:rPr>
        <w:rFonts w:ascii="Times New Roman" w:hAnsi="Times New Roman" w:eastAsia="宋体" w:cs="Times New Roman"/>
        <w:b w:val="0"/>
        <w:i w:val="0"/>
        <w:spacing w:val="-12"/>
        <w:sz w:val="28"/>
        <w:szCs w:val="44"/>
      </w:rPr>
    </w:lvl>
    <w:lvl w:ilvl="1" w:tentative="0">
      <w:start w:val="1"/>
      <w:numFmt w:val="decimal"/>
      <w:lvlText w:val="%1.%2."/>
      <w:lvlJc w:val="left"/>
      <w:pPr>
        <w:tabs>
          <w:tab w:val="left" w:pos="0"/>
        </w:tabs>
        <w:ind w:left="567" w:hanging="567"/>
      </w:pPr>
      <w:rPr>
        <w:rFonts w:ascii="Times New Roman" w:hAnsi="Times New Roman" w:eastAsia="宋体" w:cs="Times New Roman"/>
        <w:shadow w:val="0"/>
        <w:sz w:val="24"/>
        <w:szCs w:val="24"/>
      </w:rPr>
    </w:lvl>
    <w:lvl w:ilvl="2" w:tentative="0">
      <w:start w:val="1"/>
      <w:numFmt w:val="decimal"/>
      <w:lvlText w:val="%1.%2.%3."/>
      <w:lvlJc w:val="left"/>
      <w:pPr>
        <w:tabs>
          <w:tab w:val="left" w:pos="0"/>
        </w:tabs>
        <w:ind w:left="709" w:hanging="709"/>
      </w:pPr>
      <w:rPr>
        <w:rFonts w:ascii="黑体" w:hAnsi="黑体" w:eastAsia="黑体" w:cs="黑体"/>
        <w:b w:val="0"/>
        <w:sz w:val="24"/>
        <w:szCs w:val="24"/>
      </w:rPr>
    </w:lvl>
    <w:lvl w:ilvl="3" w:tentative="0">
      <w:start w:val="1"/>
      <w:numFmt w:val="decimal"/>
      <w:lvlText w:val="%1.%2.%3.%4."/>
      <w:lvlJc w:val="left"/>
      <w:pPr>
        <w:tabs>
          <w:tab w:val="left" w:pos="0"/>
        </w:tabs>
        <w:ind w:left="851" w:hanging="851"/>
      </w:pPr>
      <w:rPr>
        <w:rFonts w:hint="eastAsia"/>
        <w:shadow w:val="0"/>
        <w:sz w:val="24"/>
        <w:szCs w:val="24"/>
      </w:rPr>
    </w:lvl>
    <w:lvl w:ilvl="4" w:tentative="0">
      <w:start w:val="1"/>
      <w:numFmt w:val="decimal"/>
      <w:lvlText w:val="%1.%2.%3.%4.%5."/>
      <w:lvlJc w:val="left"/>
      <w:pPr>
        <w:tabs>
          <w:tab w:val="left" w:pos="0"/>
        </w:tabs>
        <w:ind w:left="992" w:hanging="992"/>
      </w:pPr>
      <w:rPr>
        <w:rFonts w:hint="eastAsia"/>
      </w:rPr>
    </w:lvl>
    <w:lvl w:ilvl="5" w:tentative="0">
      <w:start w:val="1"/>
      <w:numFmt w:val="decimal"/>
      <w:lvlText w:val="%1.%2.%3.%4.%5.%6."/>
      <w:lvlJc w:val="left"/>
      <w:pPr>
        <w:tabs>
          <w:tab w:val="left" w:pos="0"/>
        </w:tabs>
        <w:ind w:left="1134" w:hanging="1134"/>
      </w:pPr>
      <w:rPr>
        <w:rFonts w:hint="eastAsia"/>
      </w:rPr>
    </w:lvl>
    <w:lvl w:ilvl="6" w:tentative="0">
      <w:start w:val="1"/>
      <w:numFmt w:val="decimal"/>
      <w:lvlText w:val="%1.%2.%3.%4.%5.%6.%7."/>
      <w:lvlJc w:val="left"/>
      <w:pPr>
        <w:tabs>
          <w:tab w:val="left" w:pos="0"/>
        </w:tabs>
        <w:ind w:left="1276" w:hanging="1276"/>
      </w:pPr>
      <w:rPr>
        <w:rFonts w:hint="eastAsia"/>
      </w:rPr>
    </w:lvl>
    <w:lvl w:ilvl="7" w:tentative="0">
      <w:start w:val="1"/>
      <w:numFmt w:val="decimal"/>
      <w:lvlText w:val="%1.%2.%3.%4.%5.%6.%7.%8."/>
      <w:lvlJc w:val="left"/>
      <w:pPr>
        <w:tabs>
          <w:tab w:val="left" w:pos="0"/>
        </w:tabs>
        <w:ind w:left="1418" w:hanging="1418"/>
      </w:pPr>
      <w:rPr>
        <w:rFonts w:hint="eastAsia"/>
      </w:rPr>
    </w:lvl>
    <w:lvl w:ilvl="8" w:tentative="0">
      <w:start w:val="1"/>
      <w:numFmt w:val="decimal"/>
      <w:lvlText w:val="%1.%2.%3.%4.%5.%6.%7.%8.%9."/>
      <w:lvlJc w:val="left"/>
      <w:pPr>
        <w:tabs>
          <w:tab w:val="left" w:pos="0"/>
        </w:tabs>
        <w:ind w:left="1559" w:hanging="1559"/>
      </w:pPr>
      <w:rPr>
        <w:rFonts w:hint="eastAsia"/>
      </w:rPr>
    </w:lvl>
  </w:abstractNum>
  <w:abstractNum w:abstractNumId="1">
    <w:nsid w:val="E9FF7637"/>
    <w:multiLevelType w:val="multilevel"/>
    <w:tmpl w:val="E9FF7637"/>
    <w:lvl w:ilvl="0" w:tentative="0">
      <w:start w:val="1"/>
      <w:numFmt w:val="decimal"/>
      <w:pStyle w:val="4"/>
      <w:lvlText w:val="%1."/>
      <w:lvlJc w:val="left"/>
      <w:pPr>
        <w:tabs>
          <w:tab w:val="left" w:pos="0"/>
        </w:tabs>
        <w:ind w:left="420" w:hanging="420"/>
      </w:p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2">
    <w:nsid w:val="EDFC37E3"/>
    <w:multiLevelType w:val="multilevel"/>
    <w:tmpl w:val="EDFC37E3"/>
    <w:lvl w:ilvl="0" w:tentative="0">
      <w:start w:val="1"/>
      <w:numFmt w:val="decimal"/>
      <w:suff w:val="nothing"/>
      <w:lvlText w:val="%1）"/>
      <w:lvlJc w:val="left"/>
      <w:pPr>
        <w:tabs>
          <w:tab w:val="left" w:pos="0"/>
        </w:tabs>
        <w:ind w:left="900" w:hanging="420"/>
      </w:pPr>
      <w:rPr>
        <w:rFonts w:hint="eastAsia" w:ascii="Times New Roman" w:hAnsi="Times New Roman" w:eastAsia="宋体" w:cs="Times New Roman"/>
      </w:rPr>
    </w:lvl>
    <w:lvl w:ilvl="1" w:tentative="0">
      <w:start w:val="1"/>
      <w:numFmt w:val="lowerLetter"/>
      <w:lvlText w:val="%2)"/>
      <w:lvlJc w:val="left"/>
      <w:pPr>
        <w:tabs>
          <w:tab w:val="left" w:pos="0"/>
        </w:tabs>
        <w:ind w:left="1320" w:hanging="420"/>
      </w:pPr>
      <w:rPr>
        <w:rFonts w:hint="eastAsia"/>
      </w:rPr>
    </w:lvl>
    <w:lvl w:ilvl="2" w:tentative="0">
      <w:start w:val="1"/>
      <w:numFmt w:val="lowerRoman"/>
      <w:lvlText w:val="%3."/>
      <w:lvlJc w:val="right"/>
      <w:pPr>
        <w:tabs>
          <w:tab w:val="left" w:pos="0"/>
        </w:tabs>
        <w:ind w:left="1740" w:hanging="420"/>
      </w:pPr>
      <w:rPr>
        <w:rFonts w:hint="eastAsia"/>
      </w:rPr>
    </w:lvl>
    <w:lvl w:ilvl="3" w:tentative="0">
      <w:start w:val="1"/>
      <w:numFmt w:val="decimal"/>
      <w:lvlText w:val="%4."/>
      <w:lvlJc w:val="left"/>
      <w:pPr>
        <w:tabs>
          <w:tab w:val="left" w:pos="0"/>
        </w:tabs>
        <w:ind w:left="2160" w:hanging="420"/>
      </w:pPr>
      <w:rPr>
        <w:rFonts w:hint="eastAsia"/>
      </w:rPr>
    </w:lvl>
    <w:lvl w:ilvl="4" w:tentative="0">
      <w:start w:val="1"/>
      <w:numFmt w:val="lowerLetter"/>
      <w:lvlText w:val="%5)"/>
      <w:lvlJc w:val="left"/>
      <w:pPr>
        <w:tabs>
          <w:tab w:val="left" w:pos="0"/>
        </w:tabs>
        <w:ind w:left="2580" w:hanging="420"/>
      </w:pPr>
      <w:rPr>
        <w:rFonts w:hint="eastAsia"/>
      </w:rPr>
    </w:lvl>
    <w:lvl w:ilvl="5" w:tentative="0">
      <w:start w:val="1"/>
      <w:numFmt w:val="lowerRoman"/>
      <w:lvlText w:val="%6."/>
      <w:lvlJc w:val="right"/>
      <w:pPr>
        <w:tabs>
          <w:tab w:val="left" w:pos="0"/>
        </w:tabs>
        <w:ind w:left="3000" w:hanging="420"/>
      </w:pPr>
      <w:rPr>
        <w:rFonts w:hint="eastAsia"/>
      </w:rPr>
    </w:lvl>
    <w:lvl w:ilvl="6" w:tentative="0">
      <w:start w:val="1"/>
      <w:numFmt w:val="decimal"/>
      <w:lvlText w:val="%7."/>
      <w:lvlJc w:val="left"/>
      <w:pPr>
        <w:tabs>
          <w:tab w:val="left" w:pos="0"/>
        </w:tabs>
        <w:ind w:left="3420" w:hanging="420"/>
      </w:pPr>
      <w:rPr>
        <w:rFonts w:hint="eastAsia"/>
      </w:rPr>
    </w:lvl>
    <w:lvl w:ilvl="7" w:tentative="0">
      <w:start w:val="1"/>
      <w:numFmt w:val="lowerLetter"/>
      <w:lvlText w:val="%8)"/>
      <w:lvlJc w:val="left"/>
      <w:pPr>
        <w:tabs>
          <w:tab w:val="left" w:pos="0"/>
        </w:tabs>
        <w:ind w:left="3840" w:hanging="420"/>
      </w:pPr>
      <w:rPr>
        <w:rFonts w:hint="eastAsia"/>
      </w:rPr>
    </w:lvl>
    <w:lvl w:ilvl="8" w:tentative="0">
      <w:start w:val="1"/>
      <w:numFmt w:val="lowerRoman"/>
      <w:lvlText w:val="%9."/>
      <w:lvlJc w:val="right"/>
      <w:pPr>
        <w:tabs>
          <w:tab w:val="left" w:pos="0"/>
        </w:tabs>
        <w:ind w:left="4260" w:hanging="420"/>
      </w:pPr>
      <w:rPr>
        <w:rFonts w:hint="eastAsia"/>
      </w:rPr>
    </w:lvl>
  </w:abstractNum>
  <w:abstractNum w:abstractNumId="3">
    <w:nsid w:val="F3DDBE01"/>
    <w:multiLevelType w:val="multilevel"/>
    <w:tmpl w:val="F3DDBE01"/>
    <w:lvl w:ilvl="0" w:tentative="0">
      <w:start w:val="1"/>
      <w:numFmt w:val="decimal"/>
      <w:suff w:val="nothing"/>
      <w:lvlText w:val="%1）"/>
      <w:lvlJc w:val="left"/>
      <w:pPr>
        <w:tabs>
          <w:tab w:val="left" w:pos="0"/>
        </w:tabs>
        <w:ind w:left="900" w:hanging="420"/>
      </w:pPr>
      <w:rPr>
        <w:rFonts w:hint="eastAsia" w:ascii="Times New Roman" w:hAnsi="Times New Roman" w:eastAsia="宋体" w:cs="Times New Roman"/>
      </w:rPr>
    </w:lvl>
    <w:lvl w:ilvl="1" w:tentative="0">
      <w:start w:val="1"/>
      <w:numFmt w:val="lowerLetter"/>
      <w:lvlText w:val="%2)"/>
      <w:lvlJc w:val="left"/>
      <w:pPr>
        <w:tabs>
          <w:tab w:val="left" w:pos="0"/>
        </w:tabs>
        <w:ind w:left="1320" w:hanging="420"/>
      </w:pPr>
      <w:rPr>
        <w:rFonts w:hint="eastAsia"/>
      </w:rPr>
    </w:lvl>
    <w:lvl w:ilvl="2" w:tentative="0">
      <w:start w:val="1"/>
      <w:numFmt w:val="lowerRoman"/>
      <w:lvlText w:val="%3."/>
      <w:lvlJc w:val="right"/>
      <w:pPr>
        <w:tabs>
          <w:tab w:val="left" w:pos="0"/>
        </w:tabs>
        <w:ind w:left="1740" w:hanging="420"/>
      </w:pPr>
      <w:rPr>
        <w:rFonts w:hint="eastAsia"/>
      </w:rPr>
    </w:lvl>
    <w:lvl w:ilvl="3" w:tentative="0">
      <w:start w:val="1"/>
      <w:numFmt w:val="decimal"/>
      <w:lvlText w:val="%4."/>
      <w:lvlJc w:val="left"/>
      <w:pPr>
        <w:tabs>
          <w:tab w:val="left" w:pos="0"/>
        </w:tabs>
        <w:ind w:left="2160" w:hanging="420"/>
      </w:pPr>
      <w:rPr>
        <w:rFonts w:hint="eastAsia"/>
      </w:rPr>
    </w:lvl>
    <w:lvl w:ilvl="4" w:tentative="0">
      <w:start w:val="1"/>
      <w:numFmt w:val="lowerLetter"/>
      <w:lvlText w:val="%5)"/>
      <w:lvlJc w:val="left"/>
      <w:pPr>
        <w:tabs>
          <w:tab w:val="left" w:pos="0"/>
        </w:tabs>
        <w:ind w:left="2580" w:hanging="420"/>
      </w:pPr>
      <w:rPr>
        <w:rFonts w:hint="eastAsia"/>
      </w:rPr>
    </w:lvl>
    <w:lvl w:ilvl="5" w:tentative="0">
      <w:start w:val="1"/>
      <w:numFmt w:val="lowerRoman"/>
      <w:lvlText w:val="%6."/>
      <w:lvlJc w:val="right"/>
      <w:pPr>
        <w:tabs>
          <w:tab w:val="left" w:pos="0"/>
        </w:tabs>
        <w:ind w:left="3000" w:hanging="420"/>
      </w:pPr>
      <w:rPr>
        <w:rFonts w:hint="eastAsia"/>
      </w:rPr>
    </w:lvl>
    <w:lvl w:ilvl="6" w:tentative="0">
      <w:start w:val="1"/>
      <w:numFmt w:val="decimal"/>
      <w:lvlText w:val="%7."/>
      <w:lvlJc w:val="left"/>
      <w:pPr>
        <w:tabs>
          <w:tab w:val="left" w:pos="0"/>
        </w:tabs>
        <w:ind w:left="3420" w:hanging="420"/>
      </w:pPr>
      <w:rPr>
        <w:rFonts w:hint="eastAsia"/>
      </w:rPr>
    </w:lvl>
    <w:lvl w:ilvl="7" w:tentative="0">
      <w:start w:val="1"/>
      <w:numFmt w:val="lowerLetter"/>
      <w:lvlText w:val="%8)"/>
      <w:lvlJc w:val="left"/>
      <w:pPr>
        <w:tabs>
          <w:tab w:val="left" w:pos="0"/>
        </w:tabs>
        <w:ind w:left="3840" w:hanging="420"/>
      </w:pPr>
      <w:rPr>
        <w:rFonts w:hint="eastAsia"/>
      </w:rPr>
    </w:lvl>
    <w:lvl w:ilvl="8" w:tentative="0">
      <w:start w:val="1"/>
      <w:numFmt w:val="lowerRoman"/>
      <w:lvlText w:val="%9."/>
      <w:lvlJc w:val="right"/>
      <w:pPr>
        <w:tabs>
          <w:tab w:val="left" w:pos="0"/>
        </w:tabs>
        <w:ind w:left="4260" w:hanging="420"/>
      </w:pPr>
      <w:rPr>
        <w:rFonts w:hint="eastAsia"/>
      </w:rPr>
    </w:lvl>
  </w:abstractNum>
  <w:abstractNum w:abstractNumId="4">
    <w:nsid w:val="FA8AB0EE"/>
    <w:multiLevelType w:val="multilevel"/>
    <w:tmpl w:val="FA8AB0EE"/>
    <w:lvl w:ilvl="0" w:tentative="0">
      <w:start w:val="1"/>
      <w:numFmt w:val="decimal"/>
      <w:pStyle w:val="5"/>
      <w:lvlText w:val="1.%1"/>
      <w:lvlJc w:val="left"/>
      <w:pPr>
        <w:tabs>
          <w:tab w:val="left" w:pos="0"/>
        </w:tabs>
        <w:ind w:left="704" w:hanging="420"/>
      </w:pPr>
      <w:rPr>
        <w:rFonts w:hint="eastAsia"/>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42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5">
    <w:nsid w:val="6BFF1FB0"/>
    <w:multiLevelType w:val="multilevel"/>
    <w:tmpl w:val="6BFF1FB0"/>
    <w:lvl w:ilvl="0" w:tentative="0">
      <w:start w:val="1"/>
      <w:numFmt w:val="decimal"/>
      <w:suff w:val="nothing"/>
      <w:lvlText w:val="%1）"/>
      <w:lvlJc w:val="left"/>
      <w:pPr>
        <w:tabs>
          <w:tab w:val="left" w:pos="0"/>
        </w:tabs>
        <w:ind w:left="900" w:hanging="420"/>
      </w:pPr>
      <w:rPr>
        <w:rFonts w:hint="eastAsia" w:ascii="Times New Roman" w:hAnsi="Times New Roman" w:eastAsia="宋体" w:cs="Times New Roman"/>
      </w:rPr>
    </w:lvl>
    <w:lvl w:ilvl="1" w:tentative="0">
      <w:start w:val="1"/>
      <w:numFmt w:val="lowerLetter"/>
      <w:lvlText w:val="%2)"/>
      <w:lvlJc w:val="left"/>
      <w:pPr>
        <w:tabs>
          <w:tab w:val="left" w:pos="0"/>
        </w:tabs>
        <w:ind w:left="1320" w:hanging="420"/>
      </w:pPr>
      <w:rPr>
        <w:rFonts w:hint="eastAsia"/>
      </w:rPr>
    </w:lvl>
    <w:lvl w:ilvl="2" w:tentative="0">
      <w:start w:val="1"/>
      <w:numFmt w:val="lowerRoman"/>
      <w:lvlText w:val="%3."/>
      <w:lvlJc w:val="right"/>
      <w:pPr>
        <w:tabs>
          <w:tab w:val="left" w:pos="0"/>
        </w:tabs>
        <w:ind w:left="1740" w:hanging="420"/>
      </w:pPr>
      <w:rPr>
        <w:rFonts w:hint="eastAsia"/>
      </w:rPr>
    </w:lvl>
    <w:lvl w:ilvl="3" w:tentative="0">
      <w:start w:val="1"/>
      <w:numFmt w:val="decimal"/>
      <w:lvlText w:val="%4."/>
      <w:lvlJc w:val="left"/>
      <w:pPr>
        <w:tabs>
          <w:tab w:val="left" w:pos="0"/>
        </w:tabs>
        <w:ind w:left="2160" w:hanging="420"/>
      </w:pPr>
      <w:rPr>
        <w:rFonts w:hint="eastAsia"/>
      </w:rPr>
    </w:lvl>
    <w:lvl w:ilvl="4" w:tentative="0">
      <w:start w:val="1"/>
      <w:numFmt w:val="lowerLetter"/>
      <w:lvlText w:val="%5)"/>
      <w:lvlJc w:val="left"/>
      <w:pPr>
        <w:tabs>
          <w:tab w:val="left" w:pos="0"/>
        </w:tabs>
        <w:ind w:left="2580" w:hanging="420"/>
      </w:pPr>
      <w:rPr>
        <w:rFonts w:hint="eastAsia"/>
      </w:rPr>
    </w:lvl>
    <w:lvl w:ilvl="5" w:tentative="0">
      <w:start w:val="1"/>
      <w:numFmt w:val="lowerRoman"/>
      <w:lvlText w:val="%6."/>
      <w:lvlJc w:val="right"/>
      <w:pPr>
        <w:tabs>
          <w:tab w:val="left" w:pos="0"/>
        </w:tabs>
        <w:ind w:left="3000" w:hanging="420"/>
      </w:pPr>
      <w:rPr>
        <w:rFonts w:hint="eastAsia"/>
      </w:rPr>
    </w:lvl>
    <w:lvl w:ilvl="6" w:tentative="0">
      <w:start w:val="1"/>
      <w:numFmt w:val="decimal"/>
      <w:lvlText w:val="%7."/>
      <w:lvlJc w:val="left"/>
      <w:pPr>
        <w:tabs>
          <w:tab w:val="left" w:pos="0"/>
        </w:tabs>
        <w:ind w:left="3420" w:hanging="420"/>
      </w:pPr>
      <w:rPr>
        <w:rFonts w:hint="eastAsia"/>
      </w:rPr>
    </w:lvl>
    <w:lvl w:ilvl="7" w:tentative="0">
      <w:start w:val="1"/>
      <w:numFmt w:val="lowerLetter"/>
      <w:lvlText w:val="%8)"/>
      <w:lvlJc w:val="left"/>
      <w:pPr>
        <w:tabs>
          <w:tab w:val="left" w:pos="0"/>
        </w:tabs>
        <w:ind w:left="3840" w:hanging="420"/>
      </w:pPr>
      <w:rPr>
        <w:rFonts w:hint="eastAsia"/>
      </w:rPr>
    </w:lvl>
    <w:lvl w:ilvl="8" w:tentative="0">
      <w:start w:val="1"/>
      <w:numFmt w:val="lowerRoman"/>
      <w:lvlText w:val="%9."/>
      <w:lvlJc w:val="right"/>
      <w:pPr>
        <w:tabs>
          <w:tab w:val="left" w:pos="0"/>
        </w:tabs>
        <w:ind w:left="4260" w:hanging="420"/>
      </w:pPr>
      <w:rPr>
        <w:rFonts w:hint="eastAsia"/>
      </w:rPr>
    </w:lvl>
  </w:abstractNum>
  <w:num w:numId="1">
    <w:abstractNumId w:val="1"/>
  </w:num>
  <w:num w:numId="2">
    <w:abstractNumId w:val="4"/>
  </w:num>
  <w:num w:numId="3">
    <w:abstractNumId w:val="0"/>
  </w:num>
  <w:num w:numId="4">
    <w:abstractNumId w:val="5"/>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documentProtection w:enforcement="0"/>
  <w:defaultTabStop w:val="420"/>
  <w:autoHyphenation/>
  <w:hyphenationZone w:val="0"/>
  <w:compat>
    <w:doNotExpandShiftReturn/>
    <w:adjustLineHeightInTable/>
    <w:useFELayout/>
    <w:compatSetting w:name="compatibilityMode" w:uri="http://schemas.microsoft.com/office/word" w:val="11"/>
  </w:compat>
  <w:docVars>
    <w:docVar w:name="commondata" w:val="eyJoZGlkIjoiNjZlNDgwMmM5YTcxMmI2MTM4OTEzOWEwNDllYjczZTEifQ=="/>
  </w:docVars>
  <w:rsids>
    <w:rsidRoot w:val="00000000"/>
    <w:rsid w:val="09C97505"/>
    <w:rsid w:val="0ADF29F6"/>
    <w:rsid w:val="21BF2833"/>
    <w:rsid w:val="363FC710"/>
    <w:rsid w:val="4C6B1FD5"/>
    <w:rsid w:val="514F513B"/>
    <w:rsid w:val="5EFF012C"/>
    <w:rsid w:val="6BC03890"/>
    <w:rsid w:val="711D403A"/>
    <w:rsid w:val="7D0F9665"/>
    <w:rsid w:val="9FF70E40"/>
    <w:rsid w:val="A3FE6D82"/>
    <w:rsid w:val="DBEF77E1"/>
    <w:rsid w:val="DFBBA033"/>
    <w:rsid w:val="EDF7A9A9"/>
    <w:rsid w:val="EFFE4A4C"/>
    <w:rsid w:val="F2F9D03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Liberation Serif" w:hAnsi="Liberation Serif" w:eastAsia="华文宋体" w:cs="Arial Unicode MS"/>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Times New Roman" w:hAnsi="Times New Roman" w:eastAsia="宋体" w:cs="Times New Roman"/>
      <w:color w:val="auto"/>
      <w:kern w:val="2"/>
      <w:sz w:val="21"/>
      <w:szCs w:val="22"/>
      <w:lang w:val="en-US" w:eastAsia="zh-CN" w:bidi="ar-SA"/>
    </w:rPr>
  </w:style>
  <w:style w:type="paragraph" w:styleId="4">
    <w:name w:val="heading 1"/>
    <w:basedOn w:val="1"/>
    <w:next w:val="1"/>
    <w:qFormat/>
    <w:uiPriority w:val="0"/>
    <w:pPr>
      <w:keepNext/>
      <w:keepLines/>
      <w:widowControl/>
      <w:numPr>
        <w:ilvl w:val="0"/>
        <w:numId w:val="1"/>
      </w:numPr>
      <w:spacing w:before="240" w:after="240" w:line="480" w:lineRule="exact"/>
      <w:outlineLvl w:val="0"/>
    </w:pPr>
    <w:rPr>
      <w:rFonts w:ascii="仿宋_GB2312" w:hAnsi="仿宋_GB2312" w:eastAsia="仿宋_GB2312" w:cs="Times New Roman"/>
      <w:b/>
      <w:bCs/>
      <w:kern w:val="2"/>
      <w:sz w:val="28"/>
      <w:szCs w:val="28"/>
    </w:rPr>
  </w:style>
  <w:style w:type="paragraph" w:styleId="5">
    <w:name w:val="heading 2"/>
    <w:basedOn w:val="1"/>
    <w:next w:val="1"/>
    <w:qFormat/>
    <w:uiPriority w:val="0"/>
    <w:pPr>
      <w:keepNext/>
      <w:keepLines/>
      <w:numPr>
        <w:ilvl w:val="0"/>
        <w:numId w:val="2"/>
      </w:numPr>
      <w:spacing w:before="240" w:after="240" w:line="480" w:lineRule="exact"/>
      <w:jc w:val="left"/>
      <w:outlineLvl w:val="1"/>
    </w:pPr>
    <w:rPr>
      <w:rFonts w:ascii="仿宋_GB2312" w:hAnsi="仿宋_GB2312" w:eastAsia="仿宋_GB2312" w:cs="Arial"/>
      <w:b/>
      <w:bCs/>
      <w:sz w:val="28"/>
      <w:szCs w:val="28"/>
    </w:rPr>
  </w:style>
  <w:style w:type="paragraph" w:styleId="6">
    <w:name w:val="heading 3"/>
    <w:basedOn w:val="1"/>
    <w:next w:val="1"/>
    <w:qFormat/>
    <w:uiPriority w:val="0"/>
    <w:pPr>
      <w:keepNext/>
      <w:keepLines/>
      <w:numPr>
        <w:ilvl w:val="0"/>
        <w:numId w:val="3"/>
      </w:numPr>
      <w:tabs>
        <w:tab w:val="left" w:pos="709"/>
      </w:tabs>
      <w:spacing w:before="260" w:after="260" w:line="415" w:lineRule="auto"/>
      <w:outlineLvl w:val="2"/>
    </w:pPr>
    <w:rPr>
      <w:b/>
      <w:bCs/>
      <w:sz w:val="32"/>
      <w:szCs w:val="32"/>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before="240" w:after="120"/>
      <w:ind w:left="0" w:leftChars="0" w:right="0" w:rightChars="0" w:firstLineChars="200"/>
    </w:pPr>
    <w:rPr>
      <w:sz w:val="24"/>
    </w:rPr>
  </w:style>
  <w:style w:type="paragraph" w:customStyle="1" w:styleId="3">
    <w:name w:val="Heading"/>
    <w:basedOn w:val="1"/>
    <w:next w:val="1"/>
    <w:qFormat/>
    <w:uiPriority w:val="0"/>
    <w:pPr>
      <w:spacing w:before="240" w:after="60"/>
      <w:jc w:val="center"/>
      <w:outlineLvl w:val="0"/>
    </w:pPr>
    <w:rPr>
      <w:rFonts w:ascii="Cambria" w:hAnsi="Cambria" w:cs="Cambria"/>
      <w:b/>
      <w:bCs/>
      <w:sz w:val="32"/>
      <w:szCs w:val="32"/>
    </w:rPr>
  </w:style>
  <w:style w:type="paragraph" w:styleId="7">
    <w:name w:val="caption"/>
    <w:basedOn w:val="1"/>
    <w:next w:val="1"/>
    <w:qFormat/>
    <w:uiPriority w:val="0"/>
    <w:pPr>
      <w:suppressLineNumbers/>
      <w:spacing w:before="120" w:after="120"/>
    </w:pPr>
    <w:rPr>
      <w:rFonts w:cs="Arial Unicode MS"/>
      <w:i/>
      <w:iCs/>
      <w:sz w:val="24"/>
      <w:szCs w:val="24"/>
    </w:rPr>
  </w:style>
  <w:style w:type="paragraph" w:styleId="8">
    <w:name w:val="annotation text"/>
    <w:basedOn w:val="1"/>
    <w:qFormat/>
    <w:uiPriority w:val="0"/>
    <w:pPr>
      <w:jc w:val="left"/>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000000" w:sz="6" w:space="1"/>
      </w:pBdr>
      <w:tabs>
        <w:tab w:val="center" w:pos="4153"/>
        <w:tab w:val="right" w:pos="8306"/>
      </w:tabs>
      <w:snapToGrid w:val="0"/>
      <w:jc w:val="center"/>
    </w:pPr>
    <w:rPr>
      <w:sz w:val="18"/>
      <w:szCs w:val="18"/>
    </w:rPr>
  </w:style>
  <w:style w:type="paragraph" w:styleId="11">
    <w:name w:val="toc 1"/>
    <w:basedOn w:val="1"/>
    <w:next w:val="1"/>
    <w:qFormat/>
    <w:uiPriority w:val="0"/>
    <w:pPr>
      <w:spacing w:before="120" w:after="120" w:line="60" w:lineRule="auto"/>
      <w:jc w:val="left"/>
    </w:pPr>
    <w:rPr>
      <w:rFonts w:ascii="Times New Roman" w:hAnsi="Times New Roman" w:cs="Times New Roman"/>
      <w:b/>
      <w:bCs/>
      <w:caps/>
      <w:sz w:val="20"/>
      <w:szCs w:val="20"/>
    </w:rPr>
  </w:style>
  <w:style w:type="paragraph" w:styleId="12">
    <w:name w:val="List"/>
    <w:basedOn w:val="2"/>
    <w:qFormat/>
    <w:uiPriority w:val="0"/>
    <w:rPr>
      <w:rFonts w:cs="Arial Unicode MS"/>
    </w:rPr>
  </w:style>
  <w:style w:type="paragraph" w:styleId="13">
    <w:name w:val="toc 2"/>
    <w:basedOn w:val="1"/>
    <w:next w:val="1"/>
    <w:qFormat/>
    <w:uiPriority w:val="0"/>
    <w:pPr>
      <w:ind w:left="210" w:right="0" w:firstLine="0"/>
      <w:jc w:val="left"/>
    </w:pPr>
    <w:rPr>
      <w:rFonts w:ascii="Times New Roman" w:hAnsi="Times New Roman" w:cs="Times New Roman"/>
      <w:smallCaps/>
      <w:sz w:val="20"/>
      <w:szCs w:val="20"/>
    </w:rPr>
  </w:style>
  <w:style w:type="character" w:styleId="16">
    <w:name w:val="page number"/>
    <w:qFormat/>
    <w:uiPriority w:val="0"/>
  </w:style>
  <w:style w:type="character" w:styleId="17">
    <w:name w:val="FollowedHyperlink"/>
    <w:qFormat/>
    <w:uiPriority w:val="0"/>
    <w:rPr>
      <w:color w:val="800080"/>
      <w:u w:val="single"/>
    </w:rPr>
  </w:style>
  <w:style w:type="character" w:styleId="18">
    <w:name w:val="Hyperlink"/>
    <w:qFormat/>
    <w:uiPriority w:val="0"/>
    <w:rPr>
      <w:color w:val="0000FF"/>
      <w:u w:val="single"/>
    </w:rPr>
  </w:style>
  <w:style w:type="character" w:customStyle="1" w:styleId="19">
    <w:name w:val="WW8Num1z0"/>
    <w:qFormat/>
    <w:uiPriority w:val="0"/>
    <w:rPr>
      <w:rFonts w:hint="eastAsia" w:ascii="Times New Roman" w:hAnsi="Times New Roman" w:eastAsia="宋体" w:cs="Times New Roman"/>
    </w:rPr>
  </w:style>
  <w:style w:type="character" w:customStyle="1" w:styleId="20">
    <w:name w:val="WW8Num1z1"/>
    <w:qFormat/>
    <w:uiPriority w:val="0"/>
    <w:rPr>
      <w:rFonts w:hint="eastAsia"/>
    </w:rPr>
  </w:style>
  <w:style w:type="character" w:customStyle="1" w:styleId="21">
    <w:name w:val="WW8Num2z0"/>
    <w:qFormat/>
    <w:uiPriority w:val="0"/>
    <w:rPr>
      <w:rFonts w:hint="eastAsia" w:ascii="Times New Roman" w:hAnsi="Times New Roman" w:eastAsia="宋体" w:cs="Times New Roman"/>
    </w:rPr>
  </w:style>
  <w:style w:type="character" w:customStyle="1" w:styleId="22">
    <w:name w:val="WW8Num2z1"/>
    <w:qFormat/>
    <w:uiPriority w:val="0"/>
    <w:rPr>
      <w:rFonts w:hint="eastAsia"/>
    </w:rPr>
  </w:style>
  <w:style w:type="character" w:customStyle="1" w:styleId="23">
    <w:name w:val="WW8Num4z0"/>
    <w:qFormat/>
    <w:uiPriority w:val="0"/>
    <w:rPr>
      <w:rFonts w:hint="eastAsia" w:ascii="Times New Roman" w:hAnsi="Times New Roman" w:eastAsia="宋体" w:cs="Times New Roman"/>
    </w:rPr>
  </w:style>
  <w:style w:type="character" w:customStyle="1" w:styleId="24">
    <w:name w:val="WW8Num4z1"/>
    <w:qFormat/>
    <w:uiPriority w:val="0"/>
    <w:rPr>
      <w:rFonts w:hint="eastAsia"/>
    </w:rPr>
  </w:style>
  <w:style w:type="character" w:customStyle="1" w:styleId="25">
    <w:name w:val="WW8Num5z0"/>
    <w:qFormat/>
    <w:uiPriority w:val="0"/>
    <w:rPr>
      <w:rFonts w:ascii="Times New Roman" w:hAnsi="Times New Roman" w:eastAsia="宋体" w:cs="Times New Roman"/>
      <w:spacing w:val="-12"/>
      <w:sz w:val="28"/>
      <w:szCs w:val="44"/>
    </w:rPr>
  </w:style>
  <w:style w:type="character" w:customStyle="1" w:styleId="26">
    <w:name w:val="WW8Num5z1"/>
    <w:qFormat/>
    <w:uiPriority w:val="0"/>
    <w:rPr>
      <w:rFonts w:ascii="Times New Roman" w:hAnsi="Times New Roman" w:eastAsia="宋体" w:cs="Times New Roman"/>
      <w:sz w:val="24"/>
      <w:szCs w:val="24"/>
    </w:rPr>
  </w:style>
  <w:style w:type="character" w:customStyle="1" w:styleId="27">
    <w:name w:val="WW8Num5z2"/>
    <w:qFormat/>
    <w:uiPriority w:val="0"/>
    <w:rPr>
      <w:rFonts w:ascii="黑体" w:hAnsi="黑体" w:eastAsia="黑体" w:cs="黑体"/>
      <w:sz w:val="24"/>
      <w:szCs w:val="24"/>
    </w:rPr>
  </w:style>
  <w:style w:type="character" w:customStyle="1" w:styleId="28">
    <w:name w:val="WW8Num5z3"/>
    <w:qFormat/>
    <w:uiPriority w:val="0"/>
    <w:rPr>
      <w:rFonts w:hint="eastAsia"/>
      <w:sz w:val="24"/>
      <w:szCs w:val="24"/>
    </w:rPr>
  </w:style>
  <w:style w:type="character" w:customStyle="1" w:styleId="29">
    <w:name w:val="WW8Num5z4"/>
    <w:qFormat/>
    <w:uiPriority w:val="0"/>
    <w:rPr>
      <w:rFonts w:hint="eastAsia"/>
    </w:rPr>
  </w:style>
  <w:style w:type="character" w:customStyle="1" w:styleId="30">
    <w:name w:val="WW8Num6z0"/>
    <w:qFormat/>
    <w:uiPriority w:val="0"/>
    <w:rPr>
      <w:rFonts w:hint="eastAsia"/>
    </w:rPr>
  </w:style>
  <w:style w:type="character" w:customStyle="1" w:styleId="31">
    <w:name w:val="默认段落字体1"/>
    <w:qFormat/>
    <w:uiPriority w:val="0"/>
  </w:style>
  <w:style w:type="character" w:customStyle="1" w:styleId="32">
    <w:name w:val="正文文本 字符"/>
    <w:qFormat/>
    <w:uiPriority w:val="0"/>
    <w:rPr>
      <w:kern w:val="2"/>
      <w:sz w:val="24"/>
      <w:szCs w:val="22"/>
    </w:rPr>
  </w:style>
  <w:style w:type="character" w:customStyle="1" w:styleId="33">
    <w:name w:val="标题 1 字符"/>
    <w:qFormat/>
    <w:uiPriority w:val="0"/>
    <w:rPr>
      <w:rFonts w:ascii="仿宋_GB2312" w:hAnsi="仿宋_GB2312" w:eastAsia="仿宋_GB2312" w:cs="Times New Roman"/>
      <w:b/>
      <w:bCs/>
      <w:kern w:val="2"/>
      <w:sz w:val="28"/>
      <w:szCs w:val="28"/>
    </w:rPr>
  </w:style>
  <w:style w:type="character" w:customStyle="1" w:styleId="34">
    <w:name w:val="标题 2 字符"/>
    <w:qFormat/>
    <w:uiPriority w:val="0"/>
    <w:rPr>
      <w:rFonts w:ascii="仿宋_GB2312" w:hAnsi="仿宋_GB2312" w:eastAsia="仿宋_GB2312" w:cs="Arial"/>
      <w:b/>
      <w:bCs/>
      <w:kern w:val="2"/>
      <w:sz w:val="28"/>
      <w:szCs w:val="28"/>
    </w:rPr>
  </w:style>
  <w:style w:type="character" w:customStyle="1" w:styleId="35">
    <w:name w:val="批注文字 字符"/>
    <w:qFormat/>
    <w:uiPriority w:val="0"/>
    <w:rPr>
      <w:kern w:val="2"/>
      <w:sz w:val="21"/>
      <w:szCs w:val="22"/>
    </w:rPr>
  </w:style>
  <w:style w:type="character" w:customStyle="1" w:styleId="36">
    <w:name w:val="批注框文本 字符"/>
    <w:qFormat/>
    <w:uiPriority w:val="0"/>
    <w:rPr>
      <w:kern w:val="2"/>
      <w:sz w:val="18"/>
      <w:szCs w:val="18"/>
    </w:rPr>
  </w:style>
  <w:style w:type="character" w:customStyle="1" w:styleId="37">
    <w:name w:val="页脚 字符"/>
    <w:qFormat/>
    <w:uiPriority w:val="0"/>
    <w:rPr>
      <w:kern w:val="2"/>
      <w:sz w:val="18"/>
      <w:szCs w:val="18"/>
    </w:rPr>
  </w:style>
  <w:style w:type="character" w:customStyle="1" w:styleId="38">
    <w:name w:val="页眉 字符"/>
    <w:qFormat/>
    <w:uiPriority w:val="0"/>
    <w:rPr>
      <w:kern w:val="2"/>
      <w:sz w:val="18"/>
      <w:szCs w:val="18"/>
    </w:rPr>
  </w:style>
  <w:style w:type="character" w:customStyle="1" w:styleId="39">
    <w:name w:val="普通(网站) Char"/>
    <w:qFormat/>
    <w:uiPriority w:val="0"/>
    <w:rPr>
      <w:rFonts w:ascii="Calibri" w:hAnsi="Calibri" w:cs="Calibri"/>
      <w:kern w:val="2"/>
      <w:sz w:val="21"/>
      <w:szCs w:val="21"/>
    </w:rPr>
  </w:style>
  <w:style w:type="character" w:customStyle="1" w:styleId="40">
    <w:name w:val="批注主题 字符"/>
    <w:qFormat/>
    <w:uiPriority w:val="0"/>
    <w:rPr>
      <w:b/>
      <w:bCs/>
      <w:kern w:val="2"/>
      <w:sz w:val="21"/>
      <w:szCs w:val="22"/>
    </w:rPr>
  </w:style>
  <w:style w:type="character" w:customStyle="1" w:styleId="41">
    <w:name w:val="批注引用1"/>
    <w:qFormat/>
    <w:uiPriority w:val="0"/>
    <w:rPr>
      <w:sz w:val="21"/>
      <w:szCs w:val="21"/>
    </w:rPr>
  </w:style>
  <w:style w:type="character" w:customStyle="1" w:styleId="42">
    <w:name w:val="段 Char Char"/>
    <w:qFormat/>
    <w:uiPriority w:val="0"/>
    <w:rPr>
      <w:rFonts w:ascii="宋体" w:hAnsi="宋体" w:cs="Times New Roman"/>
      <w:sz w:val="21"/>
      <w:lang w:bidi="ar-SA"/>
    </w:rPr>
  </w:style>
  <w:style w:type="character" w:customStyle="1" w:styleId="43">
    <w:name w:val="页眉 Char1"/>
    <w:qFormat/>
    <w:uiPriority w:val="0"/>
    <w:rPr>
      <w:kern w:val="2"/>
      <w:sz w:val="18"/>
      <w:szCs w:val="18"/>
    </w:rPr>
  </w:style>
  <w:style w:type="character" w:customStyle="1" w:styleId="44">
    <w:name w:val="页脚 Char1"/>
    <w:qFormat/>
    <w:uiPriority w:val="0"/>
    <w:rPr>
      <w:kern w:val="2"/>
      <w:sz w:val="18"/>
      <w:szCs w:val="18"/>
    </w:rPr>
  </w:style>
  <w:style w:type="character" w:customStyle="1" w:styleId="45">
    <w:name w:val="正文文字样式 Char Char"/>
    <w:qFormat/>
    <w:uiPriority w:val="0"/>
    <w:rPr>
      <w:kern w:val="2"/>
      <w:sz w:val="24"/>
      <w:szCs w:val="24"/>
    </w:rPr>
  </w:style>
  <w:style w:type="character" w:customStyle="1" w:styleId="46">
    <w:name w:val="列出段落 Char"/>
    <w:qFormat/>
    <w:uiPriority w:val="0"/>
    <w:rPr>
      <w:rFonts w:ascii="Calibri" w:hAnsi="Calibri" w:cs="Calibri"/>
      <w:kern w:val="2"/>
      <w:sz w:val="21"/>
      <w:szCs w:val="22"/>
    </w:rPr>
  </w:style>
  <w:style w:type="character" w:customStyle="1" w:styleId="47">
    <w:name w:val="批注文字 Char"/>
    <w:qFormat/>
    <w:uiPriority w:val="0"/>
    <w:rPr>
      <w:sz w:val="21"/>
    </w:rPr>
  </w:style>
  <w:style w:type="paragraph" w:customStyle="1" w:styleId="48">
    <w:name w:val="Index"/>
    <w:basedOn w:val="1"/>
    <w:qFormat/>
    <w:uiPriority w:val="0"/>
    <w:pPr>
      <w:suppressLineNumbers/>
    </w:pPr>
    <w:rPr>
      <w:rFonts w:cs="Arial Unicode MS"/>
    </w:rPr>
  </w:style>
  <w:style w:type="paragraph" w:customStyle="1" w:styleId="49">
    <w:name w:val="正文缩进1"/>
    <w:basedOn w:val="1"/>
    <w:qFormat/>
    <w:uiPriority w:val="0"/>
    <w:pPr>
      <w:spacing w:line="300" w:lineRule="auto"/>
      <w:ind w:left="0" w:right="0" w:firstLine="420"/>
    </w:pPr>
    <w:rPr>
      <w:sz w:val="24"/>
      <w:szCs w:val="20"/>
    </w:rPr>
  </w:style>
  <w:style w:type="paragraph" w:customStyle="1" w:styleId="50">
    <w:name w:val="题注1"/>
    <w:next w:val="1"/>
    <w:qFormat/>
    <w:uiPriority w:val="0"/>
    <w:pPr>
      <w:widowControl/>
      <w:suppressAutoHyphens/>
      <w:bidi w:val="0"/>
      <w:jc w:val="center"/>
      <w:textAlignment w:val="baseline"/>
    </w:pPr>
    <w:rPr>
      <w:rFonts w:ascii="Times New Roman" w:hAnsi="Times New Roman" w:eastAsia="仿宋" w:cs="Arial"/>
      <w:color w:val="auto"/>
      <w:sz w:val="24"/>
      <w:szCs w:val="20"/>
      <w:lang w:val="en-US" w:eastAsia="zh-CN" w:bidi="ar-SA"/>
    </w:rPr>
  </w:style>
  <w:style w:type="paragraph" w:customStyle="1" w:styleId="51">
    <w:name w:val="批注文字1"/>
    <w:basedOn w:val="1"/>
    <w:qFormat/>
    <w:uiPriority w:val="0"/>
    <w:pPr>
      <w:jc w:val="left"/>
    </w:pPr>
  </w:style>
  <w:style w:type="paragraph" w:customStyle="1" w:styleId="52">
    <w:name w:val="批注框文本1"/>
    <w:basedOn w:val="1"/>
    <w:qFormat/>
    <w:uiPriority w:val="0"/>
    <w:rPr>
      <w:sz w:val="18"/>
      <w:szCs w:val="18"/>
    </w:rPr>
  </w:style>
  <w:style w:type="paragraph" w:customStyle="1" w:styleId="53">
    <w:name w:val="Header and Footer"/>
    <w:basedOn w:val="1"/>
    <w:qFormat/>
    <w:uiPriority w:val="0"/>
    <w:pPr>
      <w:suppressLineNumbers/>
      <w:tabs>
        <w:tab w:val="center" w:pos="4819"/>
        <w:tab w:val="right" w:pos="9638"/>
      </w:tabs>
    </w:pPr>
  </w:style>
  <w:style w:type="paragraph" w:customStyle="1" w:styleId="54">
    <w:name w:val="普通(网站)1"/>
    <w:basedOn w:val="1"/>
    <w:qFormat/>
    <w:uiPriority w:val="0"/>
    <w:pPr>
      <w:widowControl/>
      <w:snapToGrid w:val="0"/>
      <w:spacing w:before="160" w:after="160" w:line="240" w:lineRule="atLeast"/>
      <w:ind w:left="1701" w:right="0" w:firstLine="0"/>
      <w:jc w:val="left"/>
    </w:pPr>
    <w:rPr>
      <w:rFonts w:ascii="Calibri" w:hAnsi="Calibri" w:cs="Calibri"/>
      <w:szCs w:val="21"/>
    </w:rPr>
  </w:style>
  <w:style w:type="paragraph" w:customStyle="1" w:styleId="55">
    <w:name w:val="批注主题1"/>
    <w:basedOn w:val="51"/>
    <w:next w:val="51"/>
    <w:qFormat/>
    <w:uiPriority w:val="0"/>
    <w:rPr>
      <w:b/>
      <w:bCs/>
    </w:rPr>
  </w:style>
  <w:style w:type="paragraph" w:customStyle="1" w:styleId="56">
    <w:name w:val="段"/>
    <w:qFormat/>
    <w:uiPriority w:val="0"/>
    <w:pPr>
      <w:widowControl/>
      <w:suppressAutoHyphens/>
      <w:bidi w:val="0"/>
      <w:ind w:left="0" w:leftChars="0" w:right="0" w:rightChars="0" w:firstLineChars="200"/>
      <w:jc w:val="both"/>
    </w:pPr>
    <w:rPr>
      <w:rFonts w:ascii="宋体" w:hAnsi="宋体" w:eastAsia="宋体" w:cs="Times New Roman"/>
      <w:color w:val="auto"/>
      <w:sz w:val="21"/>
      <w:szCs w:val="20"/>
      <w:lang w:val="en-US" w:eastAsia="zh-CN" w:bidi="ar-SA"/>
    </w:rPr>
  </w:style>
  <w:style w:type="paragraph" w:customStyle="1" w:styleId="57">
    <w:name w:val="正文文字样式"/>
    <w:basedOn w:val="1"/>
    <w:qFormat/>
    <w:uiPriority w:val="0"/>
    <w:pPr>
      <w:spacing w:line="480" w:lineRule="exact"/>
      <w:ind w:left="0" w:leftChars="0" w:right="0" w:rightChars="0" w:firstLineChars="200"/>
    </w:pPr>
    <w:rPr>
      <w:sz w:val="24"/>
      <w:szCs w:val="24"/>
    </w:rPr>
  </w:style>
  <w:style w:type="paragraph" w:customStyle="1" w:styleId="58">
    <w:name w:val="无间隔1"/>
    <w:qFormat/>
    <w:uiPriority w:val="0"/>
    <w:pPr>
      <w:widowControl w:val="0"/>
      <w:suppressAutoHyphens/>
      <w:bidi w:val="0"/>
      <w:jc w:val="both"/>
    </w:pPr>
    <w:rPr>
      <w:rFonts w:ascii="Times New Roman" w:hAnsi="Times New Roman" w:eastAsia="宋体" w:cs="Times New Roman"/>
      <w:color w:val="auto"/>
      <w:kern w:val="2"/>
      <w:sz w:val="21"/>
      <w:szCs w:val="22"/>
      <w:lang w:val="en-US" w:eastAsia="zh-CN" w:bidi="ar-SA"/>
    </w:rPr>
  </w:style>
  <w:style w:type="paragraph" w:customStyle="1" w:styleId="59">
    <w:name w:val="目录 21"/>
    <w:basedOn w:val="1"/>
    <w:next w:val="1"/>
    <w:qFormat/>
    <w:uiPriority w:val="0"/>
    <w:pPr>
      <w:spacing w:before="100" w:after="100"/>
      <w:ind w:leftChars="200" w:right="0" w:rightChars="0" w:firstLine="0" w:firstLineChars="0"/>
    </w:pPr>
  </w:style>
  <w:style w:type="paragraph" w:customStyle="1" w:styleId="60">
    <w:name w:val="列表段落"/>
    <w:basedOn w:val="1"/>
    <w:qFormat/>
    <w:uiPriority w:val="0"/>
    <w:pPr>
      <w:ind w:left="0" w:leftChars="0" w:right="0" w:rightChars="0" w:firstLineChars="200"/>
    </w:pPr>
    <w:rPr>
      <w:rFonts w:ascii="Calibri" w:hAnsi="Calibri" w:eastAsia="宋体" w:cs="Times New Roman"/>
    </w:rPr>
  </w:style>
  <w:style w:type="paragraph" w:customStyle="1" w:styleId="61">
    <w:name w:val="修订"/>
    <w:qFormat/>
    <w:uiPriority w:val="0"/>
    <w:pPr>
      <w:widowControl/>
      <w:suppressAutoHyphens/>
      <w:bidi w:val="0"/>
    </w:pPr>
    <w:rPr>
      <w:rFonts w:ascii="Times New Roman" w:hAnsi="Times New Roman" w:eastAsia="宋体" w:cs="Times New Roman"/>
      <w:color w:val="auto"/>
      <w:kern w:val="2"/>
      <w:sz w:val="21"/>
      <w:szCs w:val="22"/>
      <w:lang w:val="en-US" w:eastAsia="zh-CN" w:bidi="ar-SA"/>
    </w:rPr>
  </w:style>
  <w:style w:type="paragraph" w:customStyle="1" w:styleId="62">
    <w:name w:val="正文文本缩进1"/>
    <w:basedOn w:val="1"/>
    <w:qFormat/>
    <w:uiPriority w:val="0"/>
    <w:pPr>
      <w:spacing w:line="300" w:lineRule="auto"/>
      <w:ind w:left="0" w:right="0" w:firstLine="480"/>
    </w:pPr>
    <w:rPr>
      <w:rFonts w:ascii="宋体" w:hAnsi="宋体" w:cs="宋体"/>
      <w:kern w:val="0"/>
      <w:sz w:val="24"/>
    </w:rPr>
  </w:style>
  <w:style w:type="paragraph" w:customStyle="1" w:styleId="63">
    <w:name w:val="Default"/>
    <w:qFormat/>
    <w:uiPriority w:val="0"/>
    <w:pPr>
      <w:widowControl w:val="0"/>
      <w:suppressAutoHyphens/>
      <w:autoSpaceDE w:val="0"/>
      <w:bidi w:val="0"/>
    </w:pPr>
    <w:rPr>
      <w:rFonts w:ascii="宋体" w:hAnsi="宋体" w:eastAsia="宋体" w:cs="宋体"/>
      <w:color w:val="000000"/>
      <w:sz w:val="24"/>
      <w:szCs w:val="24"/>
      <w:lang w:val="en-US" w:eastAsia="zh-CN" w:bidi="ar-SA"/>
    </w:rPr>
  </w:style>
  <w:style w:type="paragraph" w:customStyle="1" w:styleId="64">
    <w:name w:val="Frame Contents"/>
    <w:basedOn w:val="1"/>
    <w:qFormat/>
    <w:uiPriority w:val="0"/>
  </w:style>
  <w:style w:type="paragraph" w:customStyle="1" w:styleId="65">
    <w:name w:val="Table Contents"/>
    <w:basedOn w:val="1"/>
    <w:qFormat/>
    <w:uiPriority w:val="0"/>
    <w:pPr>
      <w:widowControl w:val="0"/>
      <w:suppressLineNumbers/>
    </w:pPr>
  </w:style>
  <w:style w:type="paragraph" w:customStyle="1" w:styleId="66">
    <w:name w:val="Table Heading"/>
    <w:basedOn w:val="65"/>
    <w:qFormat/>
    <w:uiPriority w:val="0"/>
    <w:pPr>
      <w:suppressLineNumbers/>
      <w:jc w:val="center"/>
    </w:pPr>
    <w:rPr>
      <w:b/>
      <w:b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na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3931</Words>
  <Characters>4079</Characters>
  <TotalTime>7</TotalTime>
  <ScaleCrop>false</ScaleCrop>
  <LinksUpToDate>false</LinksUpToDate>
  <CharactersWithSpaces>4089</CharactersWithSpaces>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2025-05-23T12:07:00Z</dcterms:created>
  <dc:creator>李敏</dc:creator>
  <cp:lastModifiedBy>马超俊</cp:lastModifiedBy>
  <dcterms:modified xsi:type="dcterms:W3CDTF">2026-07-21T01:19:17Z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DDEDC4C8FDA54295A5D2D1E784B1F4AD_12</vt:lpwstr>
  </property>
  <property fmtid="{D5CDD505-2E9C-101B-9397-08002B2CF9AE}" pid="3" name="KSOProductBuildVer">
    <vt:lpwstr>2052-11.8.2.12309</vt:lpwstr>
  </property>
  <property fmtid="{D5CDD505-2E9C-101B-9397-08002B2CF9AE}" pid="4" name="KSOTemplateDocerSaveRecord">
    <vt:lpwstr>eyJoZGlkIjoiNjQ5NmQxMDljNWQyZmQ2MDA5NDQ2ODBjMTJlZTU3NzAiLCJ1c2VySWQiOiIxNzU0Mjc0NDk4In0=</vt:lpwstr>
  </property>
</Properties>
</file>