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60" w:lineRule="exact"/>
        <w:ind w:left="0" w:firstLine="0"/>
        <w:rPr>
          <w:rFonts w:hint="eastAsia" w:ascii="仿宋_GB2312" w:hAnsi="仿宋_GB2312" w:eastAsia="仿宋_GB2312" w:cs="仿宋_GB2312"/>
          <w:color w:val="000000"/>
        </w:rPr>
      </w:pPr>
      <w:r>
        <w:rPr>
          <w:rFonts w:hint="eastAsia" w:ascii="仿宋_GB2312" w:hAnsi="仿宋_GB2312" w:cs="仿宋_GB2312"/>
          <w:color w:val="000000"/>
        </w:rPr>
        <w:t>总则</w:t>
      </w:r>
    </w:p>
    <w:p>
      <w:pPr>
        <w:pStyle w:val="5"/>
        <w:numPr>
          <w:ilvl w:val="0"/>
          <w:numId w:val="2"/>
        </w:numPr>
        <w:spacing w:before="0" w:after="0" w:line="560" w:lineRule="exact"/>
        <w:ind w:left="426" w:right="0" w:hanging="420"/>
        <w:rPr>
          <w:rFonts w:hint="eastAsia" w:ascii="仿宋_GB2312" w:hAnsi="仿宋_GB2312" w:eastAsia="仿宋_GB2312" w:cs="仿宋_GB2312"/>
          <w:color w:val="000000"/>
        </w:rPr>
      </w:pPr>
      <w:r>
        <w:rPr>
          <w:rFonts w:hint="eastAsia" w:ascii="仿宋_GB2312" w:hAnsi="仿宋_GB2312" w:cs="仿宋_GB2312"/>
          <w:color w:val="000000"/>
        </w:rPr>
        <w:t>概述</w:t>
      </w:r>
    </w:p>
    <w:p>
      <w:pPr>
        <w:pStyle w:val="48"/>
        <w:numPr>
          <w:ilvl w:val="0"/>
          <w:numId w:val="4"/>
        </w:num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本文件适用于南方电网科学研究院有限责任公司（以下简称招标人）用于</w:t>
      </w:r>
      <w:r>
        <w:rPr>
          <w:rFonts w:hint="eastAsia" w:ascii="仿宋_GB2312" w:hAnsi="仿宋_GB2312" w:eastAsia="仿宋_GB2312" w:cs="仿宋_GB2312"/>
          <w:color w:val="000000"/>
          <w:sz w:val="28"/>
          <w:szCs w:val="28"/>
          <w:u w:val="single"/>
        </w:rPr>
        <w:t>负荷侧资源电参量非接触式智能传感技术研究项目采购</w:t>
      </w:r>
      <w:r>
        <w:rPr>
          <w:rFonts w:hint="eastAsia" w:ascii="仿宋_GB2312" w:hAnsi="仿宋_GB2312" w:eastAsia="仿宋_GB2312" w:cs="仿宋_GB2312"/>
          <w:color w:val="000000"/>
          <w:sz w:val="28"/>
          <w:szCs w:val="28"/>
        </w:rPr>
        <w:t>，本文件的最终解释权归南方电网科学研究院有限责任公司。</w:t>
      </w:r>
    </w:p>
    <w:p>
      <w:pPr>
        <w:pStyle w:val="48"/>
        <w:numPr>
          <w:ilvl w:val="0"/>
          <w:numId w:val="4"/>
        </w:num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投标人可以就招标人认为的遗漏项目提请招标人注意，并详细说明理由。招标人将就此进行澄清。</w:t>
      </w:r>
    </w:p>
    <w:p>
      <w:pPr>
        <w:pStyle w:val="48"/>
        <w:numPr>
          <w:ilvl w:val="0"/>
          <w:numId w:val="4"/>
        </w:num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投标人应保证所提供的所有资料真实、完整、准确无误，否则采购人将有权取消投标人的投标资格，由此产生的一切后果由投标人承担。</w:t>
      </w:r>
    </w:p>
    <w:p>
      <w:pPr>
        <w:pStyle w:val="48"/>
        <w:numPr>
          <w:ilvl w:val="0"/>
          <w:numId w:val="4"/>
        </w:num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应按照本技术规范书的要求提供详细、完整的技术方案。所提供的技术方案应完全满足或高于本技术规范书的要求，对于本技术规范书中的条款，投标人如不能满足要求，或有其它替代方案，或有其它修改建议，应在技术方案以及技术差异表中指出其必须进行修改的理由以及与原要求的差别。对于本技术规范书未规定的有关系统性能和功能，投标人应提出补充要求或建议，并陈述其理由。</w:t>
      </w:r>
    </w:p>
    <w:p>
      <w:pPr>
        <w:pStyle w:val="5"/>
        <w:numPr>
          <w:ilvl w:val="0"/>
          <w:numId w:val="2"/>
        </w:numPr>
        <w:spacing w:before="0" w:after="0" w:line="560" w:lineRule="exact"/>
        <w:ind w:left="426" w:right="0" w:hanging="420"/>
        <w:rPr>
          <w:rFonts w:hint="eastAsia" w:ascii="仿宋_GB2312" w:hAnsi="仿宋_GB2312" w:eastAsia="仿宋_GB2312" w:cs="仿宋_GB2312"/>
          <w:color w:val="000000"/>
        </w:rPr>
      </w:pPr>
      <w:r>
        <w:rPr>
          <w:rFonts w:hint="eastAsia" w:ascii="仿宋_GB2312" w:hAnsi="仿宋_GB2312" w:cs="仿宋_GB2312"/>
          <w:color w:val="000000"/>
        </w:rPr>
        <w:t>定义</w:t>
      </w:r>
    </w:p>
    <w:p>
      <w:pPr>
        <w:pStyle w:val="48"/>
        <w:numPr>
          <w:ilvl w:val="0"/>
          <w:numId w:val="5"/>
        </w:num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招标人：南方电网科学研究院有限责任公司。</w:t>
      </w:r>
    </w:p>
    <w:p>
      <w:pPr>
        <w:pStyle w:val="48"/>
        <w:numPr>
          <w:ilvl w:val="0"/>
          <w:numId w:val="5"/>
        </w:num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投标人：参加本次投标竞争，向采购人提交投标文件的供货商/服务商/承包商。</w:t>
      </w:r>
    </w:p>
    <w:p>
      <w:pPr>
        <w:pStyle w:val="48"/>
        <w:numPr>
          <w:ilvl w:val="0"/>
          <w:numId w:val="5"/>
        </w:num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中标人：最终被授予合同的投标人。</w:t>
      </w:r>
    </w:p>
    <w:p>
      <w:pPr>
        <w:pStyle w:val="5"/>
        <w:numPr>
          <w:ilvl w:val="0"/>
          <w:numId w:val="2"/>
        </w:numPr>
        <w:spacing w:before="0" w:after="0" w:line="560" w:lineRule="exact"/>
        <w:ind w:left="426" w:right="0" w:hanging="420"/>
        <w:rPr>
          <w:rFonts w:hint="eastAsia" w:ascii="仿宋_GB2312" w:hAnsi="仿宋_GB2312" w:eastAsia="仿宋_GB2312" w:cs="仿宋_GB2312"/>
          <w:color w:val="000000"/>
        </w:rPr>
      </w:pPr>
      <w:r>
        <w:rPr>
          <w:rFonts w:hint="eastAsia" w:ascii="仿宋_GB2312" w:hAnsi="仿宋_GB2312" w:cs="仿宋_GB2312"/>
          <w:color w:val="000000"/>
        </w:rPr>
        <w:t>标准和规范</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本技术规范中涉及的所有规范、标准或材料规格均应为最新版本，即以采购人发出本方案之日作为采用最新版本的截止日期。若发现本技术规范书与所列标准之间有不一致之处，投标人应向采购人指明，并由招标人确定采用哪一个规范。</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投标人如果采用自己的标准或规范，必须向招标人提供中文复印件并经招标方同意后方可采用，但不能低于GB、JB有关规定。</w:t>
      </w:r>
    </w:p>
    <w:p>
      <w:pPr>
        <w:pStyle w:val="5"/>
        <w:numPr>
          <w:ilvl w:val="0"/>
          <w:numId w:val="2"/>
        </w:numPr>
        <w:spacing w:before="0" w:after="0" w:line="560" w:lineRule="exact"/>
        <w:ind w:left="426" w:right="0" w:hanging="420"/>
        <w:rPr>
          <w:rFonts w:hint="eastAsia" w:ascii="仿宋_GB2312" w:hAnsi="仿宋_GB2312" w:eastAsia="仿宋_GB2312" w:cs="仿宋_GB2312"/>
          <w:color w:val="000000"/>
        </w:rPr>
      </w:pPr>
      <w:r>
        <w:rPr>
          <w:rFonts w:hint="eastAsia" w:ascii="仿宋_GB2312" w:hAnsi="仿宋_GB2312" w:cs="仿宋_GB2312"/>
          <w:color w:val="000000"/>
        </w:rPr>
        <w:t>对投标技术文件的要求</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投标技术文件必须包括但不限于以下内容：投标技术文件响应，技术差异表和技术方案。</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1.4.1投标文件的响应</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的投标技术文件响应中，要求对本招标文件所提出各项要求进行逐条逐项答复、说明和解释。首先对实现或满足程度明确作出“满足”、“部分满足”、“不满足”等应答，不得使用“明白”、“理解”等词语。凡采用“详见”、“参见”等方式说明的，应指明参见文档的章节及页码。凡采用“部分满足”应答的，应详细说明哪部分满足或不满足。</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1.4.2技术差异表</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技术差异表见附件一。</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1.4.3技术方案</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投标人所提供的技术方案应按照以下的内容格式及编排顺序进行编制，但不限于以下内容。</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1.4.3.1概述</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1.4.3.2研究内容和技术路线</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1.4.3.2.1研究内容：根据提出的研究任务，详细列出具体研究内容，说明各内容间的相互关系。</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1.4.3.2.2技术路线：提出进行研究所采用的技术路线及依据。</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1.4.3.3预期目标与成果形式</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提出项目研究将达成的目标，以及最终提供的成果形式，且内容应响应下文“2.3 研究成果/交付物的技术指标要求”。</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1.4.3.4项目的进度安排</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提交详细的项目进度计划，明确里程碑，且内容应响应下文“3.2研究进度计划的编制及分段考核”。</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1.4.3.5技术服务承诺</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投标人/供应商为本项目所提供的服务的内容、服务方式和服务承诺（含售后服务）。</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1.4.3.6项目管理方案</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项目组织。提供本项目组织详细资料，提供该项目人员构成及名单。</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1.4.3.7附录</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1.4.3.7.1风险与对策：若投标人认为实现本文件的相关内容存在技术类或其它类风险，请详细说明，并提供相应的对策。</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1.4.3.7.2投标人认为需要为本项目提供的其它任何的资料信息。</w:t>
      </w:r>
    </w:p>
    <w:p>
      <w:pPr>
        <w:pStyle w:val="4"/>
        <w:spacing w:before="0" w:after="0" w:line="560" w:lineRule="exact"/>
        <w:ind w:left="0" w:firstLine="0"/>
        <w:rPr>
          <w:rFonts w:hint="eastAsia" w:ascii="仿宋_GB2312" w:hAnsi="仿宋_GB2312" w:eastAsia="仿宋_GB2312" w:cs="仿宋_GB2312"/>
          <w:color w:val="000000"/>
        </w:rPr>
      </w:pPr>
      <w:r>
        <w:rPr>
          <w:rFonts w:hint="eastAsia" w:ascii="仿宋_GB2312" w:hAnsi="仿宋_GB2312" w:cs="仿宋_GB2312"/>
          <w:color w:val="000000"/>
        </w:rPr>
        <w:t>总体描述</w:t>
      </w:r>
    </w:p>
    <w:p>
      <w:pPr>
        <w:pStyle w:val="5"/>
        <w:numPr>
          <w:ilvl w:val="0"/>
          <w:numId w:val="0"/>
        </w:numPr>
        <w:spacing w:before="0" w:after="0" w:line="560" w:lineRule="exact"/>
        <w:ind w:left="0" w:firstLine="0"/>
        <w:rPr>
          <w:rFonts w:hint="eastAsia" w:ascii="仿宋_GB2312" w:hAnsi="仿宋_GB2312" w:eastAsia="仿宋_GB2312" w:cs="仿宋_GB2312"/>
          <w:color w:val="000000"/>
        </w:rPr>
      </w:pPr>
      <w:r>
        <w:rPr>
          <w:rFonts w:hint="eastAsia" w:eastAsia="仿宋_GB2312" w:cs="仿宋_GB2312"/>
          <w:color w:val="000000"/>
        </w:rPr>
        <w:t xml:space="preserve">2.1 </w:t>
      </w:r>
      <w:r>
        <w:rPr>
          <w:rFonts w:hint="eastAsia" w:ascii="仿宋_GB2312" w:hAnsi="仿宋_GB2312" w:cs="仿宋_GB2312"/>
          <w:color w:val="000000"/>
        </w:rPr>
        <w:t>项目背景</w:t>
      </w:r>
    </w:p>
    <w:p>
      <w:pPr>
        <w:spacing w:line="560" w:lineRule="exact"/>
        <w:ind w:left="0" w:leftChars="0" w:right="0" w:rightChars="0" w:firstLineChars="200"/>
        <w:rPr>
          <w:rFonts w:hint="eastAsia" w:ascii="仿宋_GB2312" w:hAnsi="仿宋_GB2312" w:eastAsia="仿宋_GB2312" w:cs="仿宋_GB2312"/>
          <w:b w:val="0"/>
          <w:bCs/>
          <w:i w:val="0"/>
          <w:iCs/>
          <w:color w:val="auto"/>
          <w:kern w:val="2"/>
          <w:sz w:val="28"/>
          <w:szCs w:val="28"/>
          <w:highlight w:val="none"/>
          <w:u w:val="none"/>
        </w:rPr>
      </w:pPr>
      <w:r>
        <w:rPr>
          <w:rFonts w:hint="eastAsia" w:ascii="仿宋_GB2312" w:hAnsi="仿宋_GB2312" w:eastAsia="仿宋_GB2312" w:cs="仿宋_GB2312"/>
          <w:b w:val="0"/>
          <w:bCs/>
          <w:i w:val="0"/>
          <w:iCs/>
          <w:color w:val="auto"/>
          <w:kern w:val="2"/>
          <w:sz w:val="28"/>
          <w:szCs w:val="28"/>
          <w:u w:val="none"/>
        </w:rPr>
        <w:t>随着新型电力系统建设稳步推进，低压配电系统运行环境日益复杂，柔性负荷管理对海量负荷电气信息的完备性、实时性和准确性提出更高要求。传统接触式电压、电流监测装置通常需要停电配合并接入测量回路，存在安装复杂、施工成本高、实施受限和潜在绝缘隐患等问题，难以满足监测设备泛在化、便捷化部署需求。亟需开展低压配电系统柔性负荷非接触式监测技术研究，在不停电、不截断导体前提下实现电压、电流等电参量的准确获取、可信处理和高效管理，为柔性负荷精细化管理和低压配电系统智能化演进提供数据基础。</w:t>
      </w:r>
    </w:p>
    <w:p>
      <w:pPr>
        <w:pStyle w:val="5"/>
        <w:numPr>
          <w:ilvl w:val="0"/>
          <w:numId w:val="0"/>
        </w:numPr>
        <w:spacing w:before="0" w:after="0" w:line="560" w:lineRule="exact"/>
        <w:ind w:left="0" w:firstLine="0"/>
        <w:rPr>
          <w:rFonts w:hint="eastAsia" w:ascii="仿宋_GB2312" w:hAnsi="仿宋_GB2312" w:eastAsia="仿宋_GB2312" w:cs="仿宋_GB2312"/>
          <w:color w:val="000000"/>
        </w:rPr>
      </w:pPr>
      <w:r>
        <w:rPr>
          <w:rFonts w:hint="eastAsia" w:eastAsia="仿宋_GB2312" w:cs="仿宋_GB2312"/>
          <w:color w:val="000000"/>
        </w:rPr>
        <w:t xml:space="preserve">2.2 </w:t>
      </w:r>
      <w:r>
        <w:rPr>
          <w:rFonts w:hint="eastAsia" w:ascii="仿宋_GB2312" w:hAnsi="仿宋_GB2312" w:cs="仿宋_GB2312"/>
          <w:color w:val="000000"/>
        </w:rPr>
        <w:t>项目采购范围</w:t>
      </w:r>
    </w:p>
    <w:p>
      <w:pPr>
        <w:spacing w:line="560" w:lineRule="exact"/>
        <w:ind w:left="0" w:leftChars="0" w:right="0" w:rightChars="0" w:firstLineChars="200"/>
        <w:rPr>
          <w:rFonts w:hint="eastAsia" w:ascii="仿宋_GB2312" w:hAnsi="仿宋_GB2312" w:eastAsia="仿宋_GB2312" w:cs="仿宋_GB2312"/>
          <w:b w:val="0"/>
          <w:bCs/>
          <w:i w:val="0"/>
          <w:iCs/>
          <w:color w:val="auto"/>
          <w:kern w:val="2"/>
          <w:sz w:val="28"/>
          <w:szCs w:val="28"/>
          <w:highlight w:val="none"/>
          <w:u w:val="none"/>
        </w:rPr>
      </w:pPr>
      <w:r>
        <w:rPr>
          <w:rFonts w:hint="eastAsia" w:ascii="仿宋_GB2312" w:hAnsi="仿宋_GB2312" w:eastAsia="仿宋_GB2312" w:cs="仿宋_GB2312"/>
          <w:b w:val="0"/>
          <w:bCs/>
          <w:i w:val="0"/>
          <w:iCs/>
          <w:color w:val="auto"/>
          <w:kern w:val="2"/>
          <w:sz w:val="28"/>
          <w:szCs w:val="28"/>
          <w:u w:val="none"/>
        </w:rPr>
        <w:t>任务1：非接触式电磁测量技术研究</w:t>
      </w:r>
    </w:p>
    <w:p>
      <w:pPr>
        <w:spacing w:line="560" w:lineRule="exact"/>
        <w:ind w:left="0" w:leftChars="0" w:right="0" w:rightChars="0" w:firstLineChars="200"/>
        <w:rPr>
          <w:rFonts w:hint="eastAsia" w:ascii="仿宋_GB2312" w:hAnsi="仿宋_GB2312" w:eastAsia="仿宋_GB2312" w:cs="仿宋_GB2312"/>
          <w:b w:val="0"/>
          <w:bCs/>
          <w:i w:val="0"/>
          <w:iCs/>
          <w:color w:val="auto"/>
          <w:kern w:val="2"/>
          <w:sz w:val="28"/>
          <w:szCs w:val="28"/>
          <w:highlight w:val="none"/>
          <w:u w:val="none"/>
        </w:rPr>
      </w:pPr>
      <w:r>
        <w:rPr>
          <w:rFonts w:hint="eastAsia" w:ascii="仿宋_GB2312" w:hAnsi="仿宋_GB2312" w:eastAsia="仿宋_GB2312" w:cs="仿宋_GB2312"/>
          <w:b w:val="0"/>
          <w:bCs/>
          <w:i w:val="0"/>
          <w:iCs/>
          <w:color w:val="auto"/>
          <w:kern w:val="2"/>
          <w:sz w:val="28"/>
          <w:szCs w:val="28"/>
          <w:u w:val="none"/>
        </w:rPr>
        <w:t>研究非接触式电压、电流传感原理，结合低压配电系统实际应用场景与工况特征，确立非接触式电压、电流测量基本方案；分析测量装置结构参数对测量精度与稳定性的影响，提出结构参数优化设计方法；研制非接触式电压、电流测量装置样机并开展性能测试，在不停电、不截断导体前提下实现便捷安装和即插即用，验证样机对负荷电气信息的稳定感知与有效获取能力。</w:t>
      </w:r>
    </w:p>
    <w:p>
      <w:pPr>
        <w:spacing w:line="560" w:lineRule="exact"/>
        <w:ind w:left="0" w:leftChars="0" w:right="0" w:rightChars="0" w:firstLineChars="200"/>
        <w:rPr>
          <w:rFonts w:hint="eastAsia" w:ascii="仿宋_GB2312" w:hAnsi="仿宋_GB2312" w:eastAsia="仿宋_GB2312" w:cs="仿宋_GB2312"/>
          <w:b w:val="0"/>
          <w:bCs/>
          <w:i w:val="0"/>
          <w:iCs/>
          <w:color w:val="auto"/>
          <w:kern w:val="2"/>
          <w:sz w:val="28"/>
          <w:szCs w:val="28"/>
          <w:highlight w:val="none"/>
          <w:u w:val="none"/>
        </w:rPr>
      </w:pPr>
      <w:r>
        <w:rPr>
          <w:rFonts w:hint="eastAsia" w:ascii="仿宋_GB2312" w:hAnsi="仿宋_GB2312" w:eastAsia="仿宋_GB2312" w:cs="仿宋_GB2312"/>
          <w:b w:val="0"/>
          <w:bCs/>
          <w:i w:val="0"/>
          <w:iCs/>
          <w:color w:val="auto"/>
          <w:kern w:val="2"/>
          <w:sz w:val="28"/>
          <w:szCs w:val="28"/>
          <w:u w:val="none"/>
        </w:rPr>
        <w:t>任务2：电信号分级调理与提取技术研究</w:t>
      </w:r>
    </w:p>
    <w:p>
      <w:pPr>
        <w:spacing w:line="560" w:lineRule="exact"/>
        <w:ind w:left="0" w:leftChars="0" w:right="0" w:rightChars="0" w:firstLineChars="200"/>
        <w:rPr>
          <w:rFonts w:hint="eastAsia" w:ascii="仿宋_GB2312" w:hAnsi="仿宋_GB2312" w:eastAsia="仿宋_GB2312" w:cs="仿宋_GB2312"/>
          <w:b w:val="0"/>
          <w:bCs/>
          <w:i w:val="0"/>
          <w:iCs/>
          <w:color w:val="auto"/>
          <w:kern w:val="2"/>
          <w:sz w:val="28"/>
          <w:szCs w:val="28"/>
          <w:highlight w:val="none"/>
          <w:u w:val="none"/>
        </w:rPr>
      </w:pPr>
      <w:r>
        <w:rPr>
          <w:rFonts w:hint="eastAsia" w:ascii="仿宋_GB2312" w:hAnsi="仿宋_GB2312" w:eastAsia="仿宋_GB2312" w:cs="仿宋_GB2312"/>
          <w:b w:val="0"/>
          <w:bCs/>
          <w:i w:val="0"/>
          <w:iCs/>
          <w:color w:val="auto"/>
          <w:kern w:val="2"/>
          <w:sz w:val="28"/>
          <w:szCs w:val="28"/>
          <w:u w:val="none"/>
        </w:rPr>
        <w:t>研究配电系统复杂负荷电信号的特征频带分布规律，明确信号能量在不同频率空间的演变逻辑，确立电信号处理基本方案；分析瞬态浪涌冲击、共模信号耦合、高频分量混叠等干扰源特性，研究电信号分级调理电路设计方案，实现对干扰信号的有效抑制；围绕暂态特征捕捉能力，开展多种频域分析方法对比研究与性能评估，形成精准可靠的负荷特征信号提取方法。</w:t>
      </w:r>
    </w:p>
    <w:p>
      <w:pPr>
        <w:spacing w:line="560" w:lineRule="exact"/>
        <w:ind w:left="0" w:leftChars="0" w:right="0" w:rightChars="0" w:firstLineChars="200"/>
        <w:rPr>
          <w:rFonts w:hint="eastAsia" w:ascii="仿宋_GB2312" w:hAnsi="仿宋_GB2312" w:eastAsia="仿宋_GB2312" w:cs="仿宋_GB2312"/>
          <w:b w:val="0"/>
          <w:bCs/>
          <w:i w:val="0"/>
          <w:iCs/>
          <w:color w:val="auto"/>
          <w:kern w:val="2"/>
          <w:sz w:val="28"/>
          <w:szCs w:val="28"/>
          <w:highlight w:val="none"/>
          <w:u w:val="none"/>
        </w:rPr>
      </w:pPr>
      <w:r>
        <w:rPr>
          <w:rFonts w:hint="eastAsia" w:ascii="仿宋_GB2312" w:hAnsi="仿宋_GB2312" w:eastAsia="仿宋_GB2312" w:cs="仿宋_GB2312"/>
          <w:b w:val="0"/>
          <w:bCs/>
          <w:i w:val="0"/>
          <w:iCs/>
          <w:color w:val="auto"/>
          <w:kern w:val="2"/>
          <w:sz w:val="28"/>
          <w:szCs w:val="28"/>
          <w:u w:val="none"/>
        </w:rPr>
        <w:t>任务3：监测数据压缩与存储技术研究</w:t>
      </w:r>
    </w:p>
    <w:p>
      <w:pPr>
        <w:spacing w:line="560" w:lineRule="exact"/>
        <w:ind w:left="0" w:leftChars="0" w:right="0" w:rightChars="0" w:firstLineChars="200"/>
        <w:rPr>
          <w:rFonts w:hint="eastAsia" w:ascii="仿宋_GB2312" w:hAnsi="仿宋_GB2312" w:eastAsia="仿宋_GB2312" w:cs="仿宋_GB2312"/>
          <w:b w:val="0"/>
          <w:i w:val="0"/>
          <w:color w:val="auto"/>
          <w:sz w:val="28"/>
          <w:szCs w:val="28"/>
        </w:rPr>
      </w:pPr>
      <w:r>
        <w:rPr>
          <w:rFonts w:hint="eastAsia" w:ascii="仿宋_GB2312" w:hAnsi="仿宋_GB2312" w:eastAsia="仿宋_GB2312" w:cs="仿宋_GB2312"/>
          <w:b w:val="0"/>
          <w:bCs/>
          <w:i w:val="0"/>
          <w:iCs/>
          <w:color w:val="auto"/>
          <w:kern w:val="2"/>
          <w:sz w:val="28"/>
          <w:szCs w:val="28"/>
          <w:u w:val="none"/>
        </w:rPr>
        <w:t>分析负荷监测数据的时频特征，设计高辨识能力判别算法，实现稳态信号与暂态信号的精准分类；针对不同类型信号片段适配相应压缩算法并优化参数配置，在压缩比与数据保真度之间取得平衡；设计与分模式压缩策略适配的统一数据格式，构建基于访问频率的分层存储方案和数据生命周期管理机制，实现海量负荷监测数据的高效压缩与轻量化存储。</w:t>
      </w:r>
    </w:p>
    <w:p>
      <w:pPr>
        <w:pStyle w:val="5"/>
        <w:numPr>
          <w:ilvl w:val="0"/>
          <w:numId w:val="0"/>
        </w:numPr>
        <w:spacing w:before="0" w:after="0" w:line="560" w:lineRule="exact"/>
        <w:ind w:left="0" w:firstLine="0"/>
        <w:rPr>
          <w:rFonts w:hint="eastAsia" w:ascii="仿宋_GB2312" w:hAnsi="仿宋_GB2312" w:eastAsia="仿宋_GB2312" w:cs="仿宋_GB2312"/>
        </w:rPr>
      </w:pPr>
      <w:r>
        <w:rPr>
          <w:rFonts w:hint="eastAsia" w:eastAsia="仿宋_GB2312" w:cs="仿宋_GB2312"/>
        </w:rPr>
        <w:t xml:space="preserve">2.3 </w:t>
      </w:r>
      <w:r>
        <w:rPr>
          <w:rFonts w:hint="eastAsia" w:ascii="仿宋_GB2312" w:hAnsi="仿宋_GB2312" w:cs="仿宋_GB2312"/>
        </w:rPr>
        <w:t>项目研究成果</w:t>
      </w:r>
      <w:r>
        <w:rPr>
          <w:rFonts w:hint="eastAsia" w:eastAsia="仿宋_GB2312" w:cs="仿宋_GB2312"/>
        </w:rPr>
        <w:t>/</w:t>
      </w:r>
      <w:r>
        <w:rPr>
          <w:rFonts w:hint="eastAsia" w:ascii="仿宋_GB2312" w:hAnsi="仿宋_GB2312" w:cs="仿宋_GB2312"/>
        </w:rPr>
        <w:t>交付物的技术指标要求</w:t>
      </w:r>
    </w:p>
    <w:p>
      <w:pPr>
        <w:pStyle w:val="6"/>
        <w:numPr>
          <w:ilvl w:val="0"/>
          <w:numId w:val="0"/>
        </w:numPr>
        <w:spacing w:before="0" w:after="0" w:line="560" w:lineRule="exact"/>
        <w:ind w:left="0" w:leftChars="0" w:right="0" w:rightChars="0" w:firstLineChars="200"/>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2.3.1交付成果</w:t>
      </w:r>
    </w:p>
    <w:p>
      <w:pPr>
        <w:spacing w:line="560" w:lineRule="exact"/>
        <w:ind w:left="0" w:leftChars="0" w:right="0" w:rightChars="0"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（1）研究报告</w:t>
      </w:r>
    </w:p>
    <w:p>
      <w:pPr>
        <w:spacing w:line="560" w:lineRule="exact"/>
        <w:ind w:left="0" w:leftChars="0" w:right="0" w:rightChars="0" w:firstLineChars="200"/>
        <w:rPr>
          <w:rFonts w:hint="eastAsia" w:ascii="仿宋_GB2312" w:hAnsi="仿宋_GB2312" w:eastAsia="仿宋_GB2312" w:cs="仿宋_GB2312"/>
          <w:b w:val="0"/>
          <w:bCs/>
          <w:i w:val="0"/>
          <w:iCs/>
          <w:color w:val="auto"/>
          <w:kern w:val="2"/>
          <w:sz w:val="28"/>
          <w:szCs w:val="28"/>
          <w:highlight w:val="none"/>
          <w:u w:val="none"/>
        </w:rPr>
      </w:pPr>
      <w:r>
        <w:rPr>
          <w:rFonts w:hint="eastAsia" w:ascii="仿宋_GB2312" w:hAnsi="仿宋_GB2312" w:eastAsia="仿宋_GB2312" w:cs="仿宋_GB2312"/>
          <w:b w:val="0"/>
          <w:i w:val="0"/>
          <w:color w:val="auto"/>
          <w:sz w:val="28"/>
          <w:szCs w:val="28"/>
        </w:rPr>
        <w:t>1）《非接触式电磁测量技术》研究报告1份，内容应包括：非接触式电压、电流传感原理、测量基本方案、结构参数优化设计方法、样机性能测试方法等；</w:t>
      </w:r>
    </w:p>
    <w:p>
      <w:pPr>
        <w:spacing w:line="560" w:lineRule="exact"/>
        <w:ind w:left="0" w:leftChars="0" w:right="0" w:rightChars="0" w:firstLineChars="200"/>
        <w:rPr>
          <w:rFonts w:hint="eastAsia" w:ascii="仿宋_GB2312" w:hAnsi="仿宋_GB2312" w:eastAsia="仿宋_GB2312" w:cs="仿宋_GB2312"/>
          <w:b w:val="0"/>
          <w:i w:val="0"/>
          <w:color w:val="auto"/>
          <w:sz w:val="28"/>
          <w:szCs w:val="28"/>
        </w:rPr>
      </w:pPr>
      <w:r>
        <w:rPr>
          <w:rFonts w:hint="eastAsia" w:ascii="仿宋_GB2312" w:hAnsi="仿宋_GB2312" w:eastAsia="仿宋_GB2312" w:cs="仿宋_GB2312"/>
          <w:b w:val="0"/>
          <w:i w:val="0"/>
          <w:color w:val="auto"/>
          <w:sz w:val="28"/>
          <w:szCs w:val="28"/>
        </w:rPr>
        <w:t>2）《电信号分级调理与提取技术》研究报告1份，内容应包括：复杂负荷电信号特征频带分布规律、分级调理电路设计方案、干扰抑制方法、负荷特征信号提取方法等；</w:t>
      </w:r>
    </w:p>
    <w:p>
      <w:pPr>
        <w:spacing w:line="560" w:lineRule="exact"/>
        <w:ind w:left="0" w:leftChars="0" w:right="0" w:rightChars="0" w:firstLineChars="200"/>
        <w:rPr>
          <w:rFonts w:ascii="仿宋_GB2312" w:hAnsi="仿宋_GB2312" w:eastAsia="仿宋_GB2312" w:cs="仿宋_GB2312"/>
          <w:b w:val="0"/>
          <w:i w:val="0"/>
          <w:color w:val="auto"/>
          <w:sz w:val="28"/>
          <w:szCs w:val="28"/>
        </w:rPr>
      </w:pPr>
      <w:r>
        <w:rPr>
          <w:rFonts w:hint="eastAsia" w:ascii="仿宋_GB2312" w:hAnsi="仿宋_GB2312" w:eastAsia="仿宋_GB2312" w:cs="仿宋_GB2312"/>
          <w:b w:val="0"/>
          <w:i w:val="0"/>
          <w:color w:val="auto"/>
          <w:sz w:val="28"/>
          <w:szCs w:val="28"/>
        </w:rPr>
        <w:t>3）《监测数据压缩与存储技术》研究报告1份，内容应包括：监测数据时频特征分析、稳态/暂态信号判别算法、分模式压缩策略、统一数据格式与分层存储方案等。</w:t>
      </w:r>
    </w:p>
    <w:p>
      <w:pPr>
        <w:spacing w:line="560" w:lineRule="exact"/>
        <w:ind w:left="0" w:leftChars="0" w:right="0" w:rightChars="0"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（2）专利/论文</w:t>
      </w:r>
    </w:p>
    <w:p>
      <w:pPr>
        <w:spacing w:line="560" w:lineRule="exact"/>
        <w:ind w:left="0" w:leftChars="0" w:right="0" w:rightChars="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28"/>
          <w:szCs w:val="28"/>
        </w:rPr>
        <w:t>1）提交发明专利底稿2项；</w:t>
      </w:r>
    </w:p>
    <w:p>
      <w:pPr>
        <w:spacing w:line="560" w:lineRule="exact"/>
        <w:ind w:left="0" w:leftChars="0" w:right="0" w:rightChars="0" w:firstLineChars="200"/>
        <w:rPr>
          <w:rFonts w:hint="eastAsia"/>
          <w:color w:val="auto"/>
        </w:rPr>
      </w:pPr>
      <w:r>
        <w:rPr>
          <w:rFonts w:hint="eastAsia" w:ascii="仿宋_GB2312" w:hAnsi="仿宋_GB2312" w:eastAsia="仿宋_GB2312" w:cs="仿宋_GB2312"/>
          <w:color w:val="auto"/>
          <w:sz w:val="28"/>
          <w:szCs w:val="28"/>
        </w:rPr>
        <w:t>2）提交期刊论文底稿1篇；</w:t>
      </w:r>
    </w:p>
    <w:p>
      <w:pPr>
        <w:spacing w:line="560" w:lineRule="exact"/>
        <w:ind w:left="0" w:leftChars="0" w:right="0" w:rightChars="0"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(3)</w:t>
      </w:r>
      <w:r>
        <w:rPr>
          <w:rFonts w:hint="eastAsia" w:ascii="仿宋_GB2312" w:hAnsi="仿宋_GB2312" w:eastAsia="仿宋_GB2312" w:cs="仿宋_GB2312"/>
          <w:b/>
          <w:sz w:val="28"/>
          <w:szCs w:val="28"/>
        </w:rPr>
        <w:t>其它</w:t>
      </w:r>
    </w:p>
    <w:p>
      <w:pPr>
        <w:spacing w:line="560" w:lineRule="exact"/>
        <w:ind w:left="0" w:leftChars="0" w:right="0" w:rightChars="0" w:firstLineChars="200"/>
        <w:rPr>
          <w:rFonts w:hint="eastAsia" w:ascii="仿宋_GB2312" w:hAnsi="仿宋_GB2312" w:eastAsia="仿宋_GB2312" w:cs="仿宋_GB2312"/>
          <w:b w:val="0"/>
          <w:i w:val="0"/>
          <w:color w:val="auto"/>
          <w:sz w:val="28"/>
          <w:szCs w:val="28"/>
          <w:highlight w:val="none"/>
        </w:rPr>
      </w:pPr>
      <w:r>
        <w:rPr>
          <w:rFonts w:hint="eastAsia" w:ascii="仿宋_GB2312" w:hAnsi="仿宋_GB2312" w:eastAsia="仿宋_GB2312" w:cs="仿宋_GB2312"/>
          <w:b w:val="0"/>
          <w:i w:val="0"/>
          <w:color w:val="auto"/>
          <w:sz w:val="28"/>
          <w:szCs w:val="28"/>
          <w:highlight w:val="none"/>
          <w:lang w:val="en-US" w:eastAsia="zh-CN"/>
        </w:rPr>
        <w:t>1）</w:t>
      </w:r>
      <w:r>
        <w:rPr>
          <w:rFonts w:hint="eastAsia" w:ascii="仿宋_GB2312" w:hAnsi="仿宋_GB2312" w:eastAsia="仿宋_GB2312" w:cs="仿宋_GB2312"/>
          <w:b w:val="0"/>
          <w:i w:val="0"/>
          <w:color w:val="auto"/>
          <w:sz w:val="28"/>
          <w:szCs w:val="28"/>
          <w:highlight w:val="none"/>
        </w:rPr>
        <w:t>提交非接触式电压、电流测量模组1份，电压、电流测量准确度优于±1%、采样速率不低于5 kS/s</w:t>
      </w:r>
      <w:r>
        <w:rPr>
          <w:rFonts w:hint="eastAsia" w:ascii="仿宋_GB2312" w:hAnsi="仿宋_GB2312" w:eastAsia="仿宋_GB2312" w:cs="仿宋_GB2312"/>
          <w:b w:val="0"/>
          <w:i w:val="0"/>
          <w:color w:val="auto"/>
          <w:sz w:val="28"/>
          <w:szCs w:val="28"/>
          <w:highlight w:val="none"/>
          <w:lang w:eastAsia="zh-CN"/>
        </w:rPr>
        <w:t>，</w:t>
      </w:r>
      <w:r>
        <w:rPr>
          <w:rFonts w:hint="eastAsia" w:ascii="仿宋_GB2312" w:hAnsi="仿宋_GB2312" w:eastAsia="仿宋_GB2312" w:cs="仿宋_GB2312"/>
          <w:b w:val="0"/>
          <w:i w:val="0"/>
          <w:color w:val="auto"/>
          <w:sz w:val="28"/>
          <w:szCs w:val="28"/>
          <w:highlight w:val="none"/>
          <w:lang w:val="en-US" w:eastAsia="zh-CN"/>
        </w:rPr>
        <w:t>并协助甲方进行</w:t>
      </w:r>
      <w:r>
        <w:rPr>
          <w:rFonts w:hint="eastAsia" w:ascii="仿宋_GB2312" w:hAnsi="仿宋_GB2312" w:eastAsia="仿宋_GB2312" w:cs="仿宋_GB2312"/>
          <w:b w:val="0"/>
          <w:i w:val="0"/>
          <w:color w:val="auto"/>
          <w:sz w:val="28"/>
          <w:szCs w:val="28"/>
          <w:highlight w:val="none"/>
        </w:rPr>
        <w:t>非接触式电压、电流测量</w:t>
      </w:r>
      <w:r>
        <w:rPr>
          <w:rFonts w:hint="eastAsia" w:ascii="仿宋_GB2312" w:hAnsi="仿宋_GB2312" w:eastAsia="仿宋_GB2312" w:cs="仿宋_GB2312"/>
          <w:b w:val="0"/>
          <w:i w:val="0"/>
          <w:color w:val="auto"/>
          <w:sz w:val="28"/>
          <w:szCs w:val="28"/>
          <w:highlight w:val="none"/>
          <w:lang w:val="en-US" w:eastAsia="zh-CN"/>
        </w:rPr>
        <w:t>样机开发</w:t>
      </w:r>
      <w:r>
        <w:rPr>
          <w:rFonts w:hint="eastAsia" w:ascii="仿宋_GB2312" w:hAnsi="仿宋_GB2312" w:eastAsia="仿宋_GB2312" w:cs="仿宋_GB2312"/>
          <w:b w:val="0"/>
          <w:i w:val="0"/>
          <w:color w:val="auto"/>
          <w:sz w:val="28"/>
          <w:szCs w:val="28"/>
          <w:highlight w:val="none"/>
        </w:rPr>
        <w:t>。</w:t>
      </w:r>
    </w:p>
    <w:p>
      <w:pPr>
        <w:spacing w:line="560" w:lineRule="exact"/>
        <w:ind w:left="0" w:leftChars="0" w:right="0" w:rightChars="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2.3.2指标要求</w:t>
      </w:r>
    </w:p>
    <w:p>
      <w:pPr>
        <w:spacing w:line="560" w:lineRule="exact"/>
        <w:ind w:left="0" w:leftChars="0" w:right="0" w:rightChars="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（1）100%量程下工频电压/电流测量准确度优于±1%；</w:t>
      </w:r>
    </w:p>
    <w:p>
      <w:pPr>
        <w:spacing w:line="560" w:lineRule="exact"/>
        <w:ind w:left="0" w:leftChars="0" w:right="0" w:rightChars="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（2）非接触式电压、电流测量模组采样速率不低于5 kS/s。</w:t>
      </w:r>
    </w:p>
    <w:p>
      <w:pPr>
        <w:pStyle w:val="4"/>
        <w:spacing w:before="0" w:after="0" w:line="560" w:lineRule="exact"/>
        <w:ind w:left="0" w:firstLine="0"/>
        <w:rPr>
          <w:rFonts w:hint="eastAsia" w:ascii="仿宋_GB2312" w:hAnsi="仿宋_GB2312" w:eastAsia="仿宋_GB2312" w:cs="仿宋_GB2312"/>
        </w:rPr>
      </w:pPr>
      <w:r>
        <w:rPr>
          <w:rFonts w:hint="eastAsia" w:ascii="仿宋_GB2312" w:hAnsi="仿宋_GB2312" w:cs="仿宋_GB2312"/>
        </w:rPr>
        <w:t>项目实施要求</w:t>
      </w:r>
    </w:p>
    <w:p>
      <w:pPr>
        <w:pStyle w:val="5"/>
        <w:numPr>
          <w:ilvl w:val="0"/>
          <w:numId w:val="0"/>
        </w:numPr>
        <w:spacing w:before="0" w:after="0" w:line="560" w:lineRule="exact"/>
        <w:ind w:left="0" w:leftChars="0" w:right="0" w:rightChars="0" w:firstLineChars="100"/>
        <w:rPr>
          <w:rFonts w:hint="eastAsia" w:ascii="仿宋_GB2312" w:hAnsi="仿宋_GB2312" w:eastAsia="仿宋_GB2312" w:cs="仿宋_GB2312"/>
        </w:rPr>
      </w:pPr>
      <w:r>
        <w:rPr>
          <w:rFonts w:hint="eastAsia" w:eastAsia="仿宋_GB2312" w:cs="仿宋_GB2312"/>
        </w:rPr>
        <w:t>3.1</w:t>
      </w:r>
      <w:r>
        <w:rPr>
          <w:rFonts w:hint="eastAsia" w:ascii="仿宋_GB2312" w:hAnsi="仿宋_GB2312" w:cs="仿宋_GB2312"/>
        </w:rPr>
        <w:t>中标人的一般责任</w:t>
      </w:r>
    </w:p>
    <w:p>
      <w:pPr>
        <w:pStyle w:val="48"/>
        <w:numPr>
          <w:ilvl w:val="0"/>
          <w:numId w:val="6"/>
        </w:numPr>
        <w:spacing w:line="560" w:lineRule="exact"/>
        <w:ind w:left="0" w:leftChars="0" w:right="0" w:rightChars="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中标人应根据招标人的要求及安排，根据需要派遣相关人员至地点</w:t>
      </w:r>
      <w:r>
        <w:rPr>
          <w:rFonts w:hint="eastAsia" w:ascii="仿宋_GB2312" w:hAnsi="仿宋_GB2312" w:eastAsia="仿宋_GB2312" w:cs="仿宋_GB2312"/>
          <w:color w:val="auto"/>
          <w:sz w:val="28"/>
          <w:szCs w:val="28"/>
          <w:u w:val="single"/>
          <w:lang w:val="en-US" w:eastAsia="zh-CN"/>
        </w:rPr>
        <w:t>广州</w:t>
      </w:r>
      <w:r>
        <w:rPr>
          <w:rFonts w:hint="eastAsia" w:ascii="仿宋_GB2312" w:hAnsi="仿宋_GB2312" w:eastAsia="仿宋_GB2312" w:cs="仿宋_GB2312"/>
          <w:color w:val="auto"/>
          <w:sz w:val="28"/>
          <w:szCs w:val="28"/>
        </w:rPr>
        <w:t>参与项目研究工作。本项目预计将在地点</w:t>
      </w:r>
      <w:r>
        <w:rPr>
          <w:rFonts w:hint="eastAsia" w:ascii="仿宋_GB2312" w:hAnsi="仿宋_GB2312" w:eastAsia="仿宋_GB2312" w:cs="仿宋_GB2312"/>
          <w:color w:val="auto"/>
          <w:sz w:val="28"/>
          <w:szCs w:val="28"/>
          <w:u w:val="single"/>
          <w:lang w:val="en-US" w:eastAsia="zh-CN"/>
        </w:rPr>
        <w:t>广州</w:t>
      </w:r>
      <w:r>
        <w:rPr>
          <w:rFonts w:hint="eastAsia" w:ascii="仿宋_GB2312" w:hAnsi="仿宋_GB2312" w:eastAsia="仿宋_GB2312" w:cs="仿宋_GB2312"/>
          <w:color w:val="auto"/>
          <w:sz w:val="28"/>
          <w:szCs w:val="28"/>
        </w:rPr>
        <w:t>至少进行</w:t>
      </w:r>
      <w:r>
        <w:rPr>
          <w:rFonts w:hint="eastAsia" w:ascii="仿宋_GB2312" w:hAnsi="仿宋_GB2312" w:eastAsia="仿宋_GB2312" w:cs="仿宋_GB2312"/>
          <w:color w:val="auto"/>
          <w:sz w:val="28"/>
          <w:szCs w:val="28"/>
          <w:u w:val="single"/>
        </w:rPr>
        <w:t>2</w:t>
      </w:r>
      <w:r>
        <w:rPr>
          <w:rFonts w:hint="eastAsia" w:ascii="仿宋_GB2312" w:hAnsi="仿宋_GB2312" w:eastAsia="仿宋_GB2312" w:cs="仿宋_GB2312"/>
          <w:color w:val="auto"/>
          <w:sz w:val="28"/>
          <w:szCs w:val="28"/>
        </w:rPr>
        <w:t>次集中工作，每次集中工作大概持续</w:t>
      </w:r>
      <w:r>
        <w:rPr>
          <w:rFonts w:hint="eastAsia" w:ascii="仿宋_GB2312" w:hAnsi="仿宋_GB2312" w:eastAsia="仿宋_GB2312" w:cs="仿宋_GB2312"/>
          <w:color w:val="auto"/>
          <w:sz w:val="28"/>
          <w:szCs w:val="28"/>
          <w:u w:val="single"/>
        </w:rPr>
        <w:t>5</w:t>
      </w:r>
      <w:r>
        <w:rPr>
          <w:rFonts w:hint="eastAsia" w:ascii="仿宋_GB2312" w:hAnsi="仿宋_GB2312" w:eastAsia="仿宋_GB2312" w:cs="仿宋_GB2312"/>
          <w:color w:val="auto"/>
          <w:sz w:val="28"/>
          <w:szCs w:val="28"/>
        </w:rPr>
        <w:t>天，要求中标人每次集中工作至少派遣</w:t>
      </w:r>
      <w:r>
        <w:rPr>
          <w:rFonts w:hint="eastAsia" w:ascii="仿宋_GB2312" w:hAnsi="仿宋_GB2312" w:eastAsia="仿宋_GB2312" w:cs="仿宋_GB2312"/>
          <w:color w:val="auto"/>
          <w:sz w:val="28"/>
          <w:szCs w:val="28"/>
          <w:u w:val="single"/>
        </w:rPr>
        <w:t>2</w:t>
      </w:r>
      <w:r>
        <w:rPr>
          <w:rFonts w:hint="eastAsia" w:ascii="仿宋_GB2312" w:hAnsi="仿宋_GB2312" w:eastAsia="仿宋_GB2312" w:cs="仿宋_GB2312"/>
          <w:color w:val="auto"/>
          <w:sz w:val="28"/>
          <w:szCs w:val="28"/>
        </w:rPr>
        <w:t>人全程参加。</w:t>
      </w:r>
    </w:p>
    <w:p>
      <w:pPr>
        <w:pStyle w:val="48"/>
        <w:numPr>
          <w:ilvl w:val="0"/>
          <w:numId w:val="6"/>
        </w:numPr>
        <w:spacing w:line="560" w:lineRule="exact"/>
        <w:ind w:left="0" w:leftChars="0" w:right="0" w:rightChars="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按照合同约定，完成招标工作范围内的全部工作。</w:t>
      </w:r>
    </w:p>
    <w:p>
      <w:pPr>
        <w:pStyle w:val="48"/>
        <w:numPr>
          <w:ilvl w:val="0"/>
          <w:numId w:val="6"/>
        </w:numPr>
        <w:spacing w:line="560" w:lineRule="exact"/>
        <w:ind w:left="0" w:leftChars="0" w:right="0" w:rightChars="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若需向地方有关部门交纳有关的费用，由中标人自行承担。</w:t>
      </w:r>
    </w:p>
    <w:p>
      <w:pPr>
        <w:pStyle w:val="48"/>
        <w:numPr>
          <w:ilvl w:val="0"/>
          <w:numId w:val="6"/>
        </w:numPr>
        <w:spacing w:line="560" w:lineRule="exact"/>
        <w:ind w:left="0" w:leftChars="0" w:right="0" w:rightChars="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本项目不得转让或分包。</w:t>
      </w:r>
    </w:p>
    <w:p>
      <w:pPr>
        <w:pStyle w:val="5"/>
        <w:numPr>
          <w:ilvl w:val="0"/>
          <w:numId w:val="0"/>
        </w:numPr>
        <w:spacing w:before="0" w:after="0" w:line="560" w:lineRule="exact"/>
        <w:ind w:left="284" w:right="0" w:firstLine="0"/>
        <w:rPr>
          <w:rFonts w:hint="eastAsia" w:ascii="仿宋_GB2312" w:hAnsi="仿宋_GB2312" w:eastAsia="仿宋_GB2312" w:cs="仿宋_GB2312"/>
        </w:rPr>
      </w:pPr>
      <w:r>
        <w:rPr>
          <w:rFonts w:hint="eastAsia" w:eastAsia="仿宋_GB2312" w:cs="仿宋_GB2312"/>
        </w:rPr>
        <w:t>3.2</w:t>
      </w:r>
      <w:r>
        <w:rPr>
          <w:rFonts w:hint="eastAsia" w:ascii="仿宋_GB2312" w:hAnsi="仿宋_GB2312" w:cs="仿宋_GB2312"/>
        </w:rPr>
        <w:t>研究进度计划的编制及分段考核</w:t>
      </w:r>
    </w:p>
    <w:tbl>
      <w:tblPr>
        <w:tblStyle w:val="13"/>
        <w:tblpPr w:leftFromText="180" w:rightFromText="180" w:vertAnchor="text" w:horzAnchor="margin" w:tblpXSpec="center" w:tblpY="173"/>
        <w:tblW w:w="8720" w:type="dxa"/>
        <w:tblInd w:w="108" w:type="dxa"/>
        <w:tblLayout w:type="fixed"/>
        <w:tblCellMar>
          <w:top w:w="0" w:type="dxa"/>
          <w:left w:w="108" w:type="dxa"/>
          <w:bottom w:w="0" w:type="dxa"/>
          <w:right w:w="108" w:type="dxa"/>
        </w:tblCellMar>
      </w:tblPr>
      <w:tblGrid>
        <w:gridCol w:w="674"/>
        <w:gridCol w:w="2003"/>
        <w:gridCol w:w="6043"/>
      </w:tblGrid>
      <w:tr>
        <w:tblPrEx>
          <w:tblCellMar>
            <w:top w:w="0" w:type="dxa"/>
            <w:left w:w="108" w:type="dxa"/>
            <w:bottom w:w="0" w:type="dxa"/>
            <w:right w:w="108" w:type="dxa"/>
          </w:tblCellMar>
        </w:tblPrEx>
        <w:trPr>
          <w:cantSplit/>
          <w:trHeight w:val="33" w:hRule="atLeast"/>
        </w:trPr>
        <w:tc>
          <w:tcPr>
            <w:tcW w:w="674"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hint="eastAsia" w:ascii="仿宋_GB2312" w:hAnsi="仿宋_GB2312" w:eastAsia="仿宋_GB2312" w:cs="仿宋_GB2312"/>
                <w:b/>
                <w:color w:val="000000"/>
                <w:szCs w:val="21"/>
              </w:rPr>
            </w:pPr>
            <w:bookmarkStart w:id="0" w:name="_Hlk129008116"/>
            <w:bookmarkEnd w:id="0"/>
            <w:r>
              <w:rPr>
                <w:rFonts w:hint="eastAsia" w:ascii="仿宋_GB2312" w:hAnsi="仿宋_GB2312" w:eastAsia="仿宋_GB2312" w:cs="仿宋_GB2312"/>
                <w:b/>
                <w:color w:val="000000"/>
                <w:szCs w:val="21"/>
              </w:rPr>
              <w:t>序号</w:t>
            </w:r>
          </w:p>
        </w:tc>
        <w:tc>
          <w:tcPr>
            <w:tcW w:w="2003"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hint="eastAsia" w:ascii="仿宋_GB2312" w:hAnsi="仿宋_GB2312" w:eastAsia="仿宋_GB2312" w:cs="仿宋_GB2312"/>
                <w:b/>
                <w:color w:val="000000"/>
                <w:szCs w:val="21"/>
              </w:rPr>
            </w:pPr>
            <w:r>
              <w:rPr>
                <w:rFonts w:hint="eastAsia" w:ascii="仿宋_GB2312" w:hAnsi="仿宋_GB2312" w:eastAsia="仿宋_GB2312" w:cs="仿宋_GB2312"/>
                <w:b/>
                <w:color w:val="000000"/>
                <w:szCs w:val="21"/>
              </w:rPr>
              <w:t>时间</w:t>
            </w:r>
          </w:p>
        </w:tc>
        <w:tc>
          <w:tcPr>
            <w:tcW w:w="6043" w:type="dxa"/>
            <w:tcBorders>
              <w:top w:val="single" w:color="000000" w:sz="8" w:space="0"/>
              <w:left w:val="single" w:color="000000" w:sz="8" w:space="0"/>
              <w:bottom w:val="single" w:color="000000" w:sz="8" w:space="0"/>
              <w:right w:val="single" w:color="000000" w:sz="8" w:space="0"/>
            </w:tcBorders>
            <w:vAlign w:val="center"/>
          </w:tcPr>
          <w:p>
            <w:pPr>
              <w:snapToGrid w:val="0"/>
              <w:ind w:right="249"/>
              <w:jc w:val="center"/>
              <w:rPr>
                <w:rFonts w:hint="eastAsia" w:ascii="仿宋_GB2312" w:hAnsi="仿宋_GB2312" w:eastAsia="仿宋_GB2312" w:cs="仿宋_GB2312"/>
                <w:b/>
                <w:color w:val="000000"/>
                <w:szCs w:val="21"/>
              </w:rPr>
            </w:pPr>
            <w:r>
              <w:rPr>
                <w:rFonts w:hint="eastAsia" w:ascii="仿宋_GB2312" w:hAnsi="仿宋_GB2312" w:eastAsia="仿宋_GB2312" w:cs="仿宋_GB2312"/>
                <w:b/>
                <w:color w:val="000000"/>
                <w:szCs w:val="21"/>
              </w:rPr>
              <w:t>主要内容及交付项</w:t>
            </w:r>
          </w:p>
        </w:tc>
      </w:tr>
      <w:tr>
        <w:tblPrEx>
          <w:tblCellMar>
            <w:top w:w="0" w:type="dxa"/>
            <w:left w:w="108" w:type="dxa"/>
            <w:bottom w:w="0" w:type="dxa"/>
            <w:right w:w="108" w:type="dxa"/>
          </w:tblCellMar>
        </w:tblPrEx>
        <w:trPr>
          <w:cantSplit/>
          <w:trHeight w:val="33" w:hRule="atLeast"/>
        </w:trPr>
        <w:tc>
          <w:tcPr>
            <w:tcW w:w="674"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1</w:t>
            </w:r>
          </w:p>
        </w:tc>
        <w:tc>
          <w:tcPr>
            <w:tcW w:w="2003"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lang w:val="en-US" w:eastAsia="zh-CN"/>
              </w:rPr>
              <w:t>合同生效之日</w:t>
            </w:r>
          </w:p>
        </w:tc>
        <w:tc>
          <w:tcPr>
            <w:tcW w:w="6043" w:type="dxa"/>
            <w:tcBorders>
              <w:top w:val="single" w:color="000000" w:sz="8" w:space="0"/>
              <w:left w:val="single" w:color="000000" w:sz="8" w:space="0"/>
              <w:bottom w:val="single" w:color="000000" w:sz="8" w:space="0"/>
              <w:right w:val="single" w:color="000000" w:sz="8" w:space="0"/>
            </w:tcBorders>
            <w:vAlign w:val="center"/>
          </w:tcPr>
          <w:p>
            <w:pPr>
              <w:snapToGrid w:val="0"/>
              <w:ind w:right="72"/>
              <w:jc w:val="center"/>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完成项目研究</w:t>
            </w:r>
            <w:bookmarkStart w:id="1" w:name="_GoBack"/>
            <w:bookmarkEnd w:id="1"/>
            <w:r>
              <w:rPr>
                <w:rFonts w:hint="eastAsia" w:ascii="仿宋_GB2312" w:hAnsi="仿宋_GB2312" w:eastAsia="仿宋_GB2312" w:cs="仿宋_GB2312"/>
                <w:color w:val="auto"/>
                <w:szCs w:val="21"/>
              </w:rPr>
              <w:t>技术路线及实施方案制定，交付项目研究开发计划书1份。</w:t>
            </w:r>
          </w:p>
        </w:tc>
      </w:tr>
      <w:tr>
        <w:tblPrEx>
          <w:tblCellMar>
            <w:top w:w="0" w:type="dxa"/>
            <w:left w:w="108" w:type="dxa"/>
            <w:bottom w:w="0" w:type="dxa"/>
            <w:right w:w="108" w:type="dxa"/>
          </w:tblCellMar>
        </w:tblPrEx>
        <w:trPr>
          <w:cantSplit/>
          <w:trHeight w:val="33" w:hRule="atLeast"/>
        </w:trPr>
        <w:tc>
          <w:tcPr>
            <w:tcW w:w="674"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w:t>
            </w:r>
          </w:p>
        </w:tc>
        <w:tc>
          <w:tcPr>
            <w:tcW w:w="2003"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hint="default" w:ascii="仿宋_GB2312" w:hAnsi="仿宋_GB2312" w:eastAsia="仿宋_GB2312" w:cs="仿宋_GB2312"/>
                <w:color w:val="auto"/>
                <w:szCs w:val="21"/>
                <w:lang w:val="en-US" w:eastAsia="zh-CN"/>
              </w:rPr>
            </w:pPr>
            <w:r>
              <w:rPr>
                <w:rFonts w:hint="eastAsia" w:ascii="仿宋_GB2312" w:hAnsi="仿宋_GB2312" w:eastAsia="仿宋_GB2312" w:cs="仿宋_GB2312"/>
                <w:color w:val="auto"/>
                <w:szCs w:val="21"/>
              </w:rPr>
              <w:t>202</w:t>
            </w:r>
            <w:r>
              <w:rPr>
                <w:rFonts w:hint="eastAsia" w:ascii="仿宋_GB2312" w:hAnsi="仿宋_GB2312" w:eastAsia="仿宋_GB2312" w:cs="仿宋_GB2312"/>
                <w:color w:val="auto"/>
                <w:szCs w:val="21"/>
                <w:lang w:val="en-US" w:eastAsia="zh-CN"/>
              </w:rPr>
              <w:t>7</w:t>
            </w:r>
            <w:r>
              <w:rPr>
                <w:rFonts w:hint="eastAsia" w:ascii="仿宋_GB2312" w:hAnsi="仿宋_GB2312" w:eastAsia="仿宋_GB2312" w:cs="仿宋_GB2312"/>
                <w:color w:val="auto"/>
                <w:szCs w:val="21"/>
              </w:rPr>
              <w:t>年1月</w:t>
            </w:r>
            <w:r>
              <w:rPr>
                <w:rFonts w:hint="eastAsia" w:ascii="仿宋_GB2312" w:hAnsi="仿宋_GB2312" w:eastAsia="仿宋_GB2312" w:cs="仿宋_GB2312"/>
                <w:color w:val="auto"/>
                <w:szCs w:val="21"/>
                <w:lang w:val="en-US" w:eastAsia="zh-CN"/>
              </w:rPr>
              <w:t>31日</w:t>
            </w:r>
          </w:p>
        </w:tc>
        <w:tc>
          <w:tcPr>
            <w:tcW w:w="6043" w:type="dxa"/>
            <w:tcBorders>
              <w:top w:val="single" w:color="000000" w:sz="8" w:space="0"/>
              <w:left w:val="single" w:color="000000" w:sz="8" w:space="0"/>
              <w:bottom w:val="single" w:color="000000" w:sz="8" w:space="0"/>
              <w:right w:val="single" w:color="000000" w:sz="8" w:space="0"/>
            </w:tcBorders>
            <w:vAlign w:val="center"/>
          </w:tcPr>
          <w:p>
            <w:pPr>
              <w:jc w:val="center"/>
              <w:rPr>
                <w:rFonts w:hint="eastAsia" w:ascii="仿宋_GB2312" w:hAnsi="仿宋_GB2312" w:eastAsia="仿宋_GB2312" w:cs="仿宋_GB2312"/>
                <w:color w:val="auto"/>
              </w:rPr>
            </w:pPr>
            <w:r>
              <w:rPr>
                <w:rFonts w:hint="eastAsia" w:ascii="仿宋_GB2312" w:hAnsi="仿宋_GB2312" w:eastAsia="仿宋_GB2312" w:cs="仿宋_GB2312"/>
                <w:color w:val="auto"/>
                <w:szCs w:val="21"/>
              </w:rPr>
              <w:t>完成非接触式电磁测量技术、电信号分级调理与提取技术阶段研究，交付发明专利底稿2项、论文底稿1篇。</w:t>
            </w:r>
          </w:p>
        </w:tc>
      </w:tr>
      <w:tr>
        <w:tblPrEx>
          <w:tblCellMar>
            <w:top w:w="0" w:type="dxa"/>
            <w:left w:w="108" w:type="dxa"/>
            <w:bottom w:w="0" w:type="dxa"/>
            <w:right w:w="108" w:type="dxa"/>
          </w:tblCellMar>
        </w:tblPrEx>
        <w:trPr>
          <w:cantSplit/>
          <w:trHeight w:val="33" w:hRule="atLeast"/>
        </w:trPr>
        <w:tc>
          <w:tcPr>
            <w:tcW w:w="674"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w:t>
            </w:r>
          </w:p>
        </w:tc>
        <w:tc>
          <w:tcPr>
            <w:tcW w:w="2003"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hint="eastAsia" w:ascii="仿宋_GB2312" w:hAnsi="仿宋_GB2312" w:eastAsia="仿宋_GB2312" w:cs="仿宋_GB2312"/>
                <w:color w:val="auto"/>
                <w:szCs w:val="21"/>
                <w:lang w:val="en-US" w:eastAsia="zh-CN"/>
              </w:rPr>
            </w:pPr>
            <w:r>
              <w:rPr>
                <w:rFonts w:hint="eastAsia" w:ascii="仿宋_GB2312" w:hAnsi="仿宋_GB2312" w:eastAsia="仿宋_GB2312" w:cs="仿宋_GB2312"/>
                <w:color w:val="auto"/>
                <w:szCs w:val="21"/>
              </w:rPr>
              <w:t>2027年5月</w:t>
            </w:r>
            <w:r>
              <w:rPr>
                <w:rFonts w:hint="eastAsia" w:ascii="仿宋_GB2312" w:hAnsi="仿宋_GB2312" w:eastAsia="仿宋_GB2312" w:cs="仿宋_GB2312"/>
                <w:color w:val="auto"/>
                <w:szCs w:val="21"/>
                <w:lang w:val="en-US" w:eastAsia="zh-CN"/>
              </w:rPr>
              <w:t>31日</w:t>
            </w:r>
          </w:p>
        </w:tc>
        <w:tc>
          <w:tcPr>
            <w:tcW w:w="6043" w:type="dxa"/>
            <w:tcBorders>
              <w:top w:val="single" w:color="000000" w:sz="8" w:space="0"/>
              <w:left w:val="single" w:color="000000" w:sz="8" w:space="0"/>
              <w:bottom w:val="single" w:color="000000" w:sz="8" w:space="0"/>
              <w:right w:val="single" w:color="000000" w:sz="8" w:space="0"/>
            </w:tcBorders>
            <w:vAlign w:val="center"/>
          </w:tcPr>
          <w:p>
            <w:pPr>
              <w:jc w:val="center"/>
              <w:rPr>
                <w:rFonts w:hint="eastAsia" w:ascii="仿宋_GB2312" w:hAnsi="仿宋_GB2312" w:eastAsia="仿宋_GB2312" w:cs="仿宋_GB2312"/>
                <w:color w:val="auto"/>
              </w:rPr>
            </w:pPr>
            <w:r>
              <w:rPr>
                <w:rFonts w:hint="eastAsia" w:ascii="仿宋_GB2312" w:hAnsi="仿宋_GB2312" w:eastAsia="仿宋_GB2312" w:cs="仿宋_GB2312"/>
                <w:color w:val="auto"/>
                <w:szCs w:val="21"/>
              </w:rPr>
              <w:t>完成监测数据压缩与存储技术研究，交付《非接触式电磁测量技术》《电信号分级调理与提取技术》《监测数据压缩与存储技术》研究报告各1份、非接触式电压、电流测量模组1份，并提交全部交付物。</w:t>
            </w:r>
          </w:p>
        </w:tc>
      </w:tr>
    </w:tbl>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中标人必须按招标人确认的进度计划组织研究，接受招标人对研究进度的检查和监督。项目实际进度与经确认的进度计划不符合时，中标人应按招标人的要求提出改进措施，经招标人确认后执行。因中标人的原因导致项目实际进度与进度计划不符，中标人需实施改进措施且不得追加合同价款。</w:t>
      </w:r>
    </w:p>
    <w:p>
      <w:pPr>
        <w:pStyle w:val="5"/>
        <w:numPr>
          <w:ilvl w:val="0"/>
          <w:numId w:val="0"/>
        </w:numPr>
        <w:spacing w:before="0" w:after="0" w:line="560" w:lineRule="exact"/>
        <w:ind w:left="284" w:right="0" w:firstLine="0"/>
        <w:rPr>
          <w:rFonts w:hint="eastAsia" w:ascii="仿宋_GB2312" w:hAnsi="仿宋_GB2312" w:eastAsia="仿宋_GB2312" w:cs="仿宋_GB2312"/>
        </w:rPr>
      </w:pPr>
      <w:r>
        <w:rPr>
          <w:rFonts w:hint="eastAsia" w:eastAsia="仿宋_GB2312" w:cs="仿宋_GB2312"/>
        </w:rPr>
        <w:t>3.3</w:t>
      </w:r>
      <w:r>
        <w:rPr>
          <w:rFonts w:hint="eastAsia" w:ascii="仿宋_GB2312" w:hAnsi="仿宋_GB2312" w:cs="仿宋_GB2312"/>
        </w:rPr>
        <w:t>项目研究结束</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1)中标人必须按照本规范书约定的结束日期或经招标人同意顺延的计划完成项目。</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2)因中标人原因不能按照本规范书约定的完成日期或招标人同意顺延的工期完成的，中标人承担违约责任。</w:t>
      </w:r>
    </w:p>
    <w:p>
      <w:pPr>
        <w:pStyle w:val="5"/>
        <w:numPr>
          <w:ilvl w:val="0"/>
          <w:numId w:val="0"/>
        </w:numPr>
        <w:spacing w:before="0" w:after="0" w:line="560" w:lineRule="exact"/>
        <w:ind w:left="284" w:right="0" w:firstLine="0"/>
        <w:rPr>
          <w:rFonts w:hint="eastAsia" w:ascii="仿宋_GB2312" w:hAnsi="仿宋_GB2312" w:eastAsia="仿宋_GB2312" w:cs="仿宋_GB2312"/>
        </w:rPr>
      </w:pPr>
      <w:r>
        <w:rPr>
          <w:rFonts w:hint="eastAsia" w:eastAsia="仿宋_GB2312" w:cs="仿宋_GB2312"/>
        </w:rPr>
        <w:t>3.4</w:t>
      </w:r>
      <w:r>
        <w:rPr>
          <w:rFonts w:hint="eastAsia" w:ascii="仿宋_GB2312" w:hAnsi="仿宋_GB2312" w:cs="仿宋_GB2312"/>
        </w:rPr>
        <w:t>项目验收的形式与要求</w:t>
      </w:r>
    </w:p>
    <w:p>
      <w:pPr>
        <w:spacing w:line="560" w:lineRule="exact"/>
        <w:ind w:left="0" w:leftChars="0" w:right="0" w:rightChars="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本项目的具体验收方式及时间安排如下：</w:t>
      </w:r>
    </w:p>
    <w:p>
      <w:pPr>
        <w:spacing w:line="560" w:lineRule="exact"/>
        <w:ind w:left="0" w:leftChars="0" w:right="0" w:rightChars="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1）项目需于</w:t>
      </w:r>
      <w:r>
        <w:rPr>
          <w:rFonts w:hint="eastAsia" w:ascii="仿宋_GB2312" w:hAnsi="仿宋_GB2312" w:eastAsia="仿宋_GB2312" w:cs="仿宋_GB2312"/>
          <w:sz w:val="28"/>
          <w:szCs w:val="28"/>
          <w:highlight w:val="none"/>
        </w:rPr>
        <w:t>2027年5月31日前完成“2.3 研究成果/交付物的技术指标要求”交付的全部内容，并提交验收报告，通过甲方组织的验收。</w:t>
      </w:r>
    </w:p>
    <w:p>
      <w:pPr>
        <w:spacing w:line="560" w:lineRule="exact"/>
        <w:ind w:left="0" w:leftChars="0" w:right="0" w:rightChars="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2）项目交付地址：</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广州</w:t>
      </w:r>
      <w:r>
        <w:rPr>
          <w:rFonts w:hint="eastAsia" w:ascii="仿宋_GB2312" w:hAnsi="仿宋_GB2312" w:eastAsia="仿宋_GB2312" w:cs="仿宋_GB2312"/>
          <w:sz w:val="28"/>
          <w:szCs w:val="28"/>
          <w:u w:val="single"/>
        </w:rPr>
        <w:t xml:space="preserve">  </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3）满足验收条件时，中标人应首先进行认真的自检，并在验收前七日以书面形式通知招标人组织验收，通知包括验收的内容、验收时间和地点。中标人准备验收材料。</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4）由于非中标人原因项目验收达不到验收标准及约定要求，招标人应要求有关单位修改，中标人按修改意见处理。</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5）由于中标人原因项目验收达不到验收标准及约定要求，中标人应按采购人的要求进行补救或返工，并承担重新验收和返工的费用。</w:t>
      </w:r>
    </w:p>
    <w:p>
      <w:pPr>
        <w:pStyle w:val="5"/>
        <w:numPr>
          <w:ilvl w:val="0"/>
          <w:numId w:val="0"/>
        </w:numPr>
        <w:spacing w:before="0" w:after="0" w:line="560" w:lineRule="exact"/>
        <w:ind w:left="284" w:right="0" w:firstLine="0"/>
        <w:rPr>
          <w:rFonts w:hint="eastAsia" w:ascii="仿宋_GB2312" w:hAnsi="仿宋_GB2312" w:eastAsia="仿宋_GB2312" w:cs="仿宋_GB2312"/>
        </w:rPr>
      </w:pPr>
      <w:r>
        <w:rPr>
          <w:rFonts w:hint="eastAsia" w:eastAsia="仿宋_GB2312" w:cs="仿宋_GB2312"/>
        </w:rPr>
        <w:t>3.5</w:t>
      </w:r>
      <w:r>
        <w:rPr>
          <w:rFonts w:hint="eastAsia" w:ascii="仿宋_GB2312" w:hAnsi="仿宋_GB2312" w:cs="仿宋_GB2312"/>
        </w:rPr>
        <w:t>项目质量安全保障</w:t>
      </w:r>
    </w:p>
    <w:p>
      <w:pPr>
        <w:spacing w:line="560" w:lineRule="exact"/>
        <w:ind w:left="0" w:leftChars="0" w:right="0" w:rightChars="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1）中标人应严格遵守本规范书关于项目的若干技术质量规定，制定严格的质量安全措施。中标人负责在整个项目过程中保证项目的质量和试验数据的可靠性。</w:t>
      </w:r>
    </w:p>
    <w:p>
      <w:pPr>
        <w:spacing w:line="560" w:lineRule="exact"/>
        <w:ind w:left="0" w:leftChars="0" w:right="0" w:rightChars="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2）由于中标人质量安全措施不力造成研究质量安全事故的责任，以及由此发生的费用和损失，由中标人承担。</w:t>
      </w:r>
    </w:p>
    <w:p>
      <w:pPr>
        <w:pStyle w:val="4"/>
        <w:spacing w:before="0" w:after="0" w:line="560" w:lineRule="exact"/>
        <w:ind w:left="0" w:firstLine="0"/>
        <w:rPr>
          <w:rFonts w:hint="eastAsia" w:ascii="仿宋_GB2312" w:hAnsi="仿宋_GB2312" w:eastAsia="仿宋_GB2312" w:cs="仿宋_GB2312"/>
        </w:rPr>
      </w:pPr>
      <w:r>
        <w:rPr>
          <w:rFonts w:hint="eastAsia" w:ascii="仿宋_GB2312" w:hAnsi="仿宋_GB2312" w:cs="仿宋_GB2312"/>
        </w:rPr>
        <w:t>其它相关要求</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本技术规范书的最终解释权归招标人。</w:t>
      </w:r>
      <w:r>
        <w:br w:type="page"/>
      </w:r>
    </w:p>
    <w:p>
      <w:pPr>
        <w:pStyle w:val="4"/>
        <w:numPr>
          <w:ilvl w:val="0"/>
          <w:numId w:val="0"/>
        </w:numPr>
        <w:spacing w:before="0" w:after="240" w:line="560" w:lineRule="exact"/>
        <w:ind w:left="420" w:right="0" w:hanging="420"/>
        <w:rPr>
          <w:rFonts w:hint="eastAsia" w:ascii="仿宋_GB2312" w:hAnsi="仿宋_GB2312" w:eastAsia="仿宋_GB2312" w:cs="仿宋_GB2312"/>
        </w:rPr>
      </w:pPr>
      <w:r>
        <w:rPr>
          <w:rFonts w:hint="eastAsia" w:ascii="仿宋_GB2312" w:hAnsi="仿宋_GB2312" w:cs="仿宋_GB2312"/>
        </w:rPr>
        <w:t>附件一：技术差异表</w:t>
      </w:r>
    </w:p>
    <w:tbl>
      <w:tblPr>
        <w:tblStyle w:val="13"/>
        <w:tblW w:w="5000" w:type="pct"/>
        <w:tblInd w:w="0" w:type="dxa"/>
        <w:tblLayout w:type="fixed"/>
        <w:tblCellMar>
          <w:top w:w="0" w:type="dxa"/>
          <w:left w:w="108" w:type="dxa"/>
          <w:bottom w:w="0" w:type="dxa"/>
          <w:right w:w="108" w:type="dxa"/>
        </w:tblCellMar>
      </w:tblPr>
      <w:tblGrid>
        <w:gridCol w:w="1574"/>
        <w:gridCol w:w="2129"/>
        <w:gridCol w:w="1696"/>
        <w:gridCol w:w="2073"/>
        <w:gridCol w:w="1248"/>
      </w:tblGrid>
      <w:tr>
        <w:tblPrEx>
          <w:tblCellMar>
            <w:top w:w="0" w:type="dxa"/>
            <w:left w:w="108" w:type="dxa"/>
            <w:bottom w:w="0" w:type="dxa"/>
            <w:right w:w="108" w:type="dxa"/>
          </w:tblCellMar>
        </w:tblPrEx>
        <w:trPr>
          <w:trHeight w:val="438" w:hRule="exact"/>
        </w:trPr>
        <w:tc>
          <w:tcPr>
            <w:tcW w:w="15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rPr>
            </w:pPr>
            <w:r>
              <w:rPr>
                <w:rFonts w:hint="eastAsia" w:ascii="仿宋_GB2312" w:hAnsi="仿宋_GB2312" w:eastAsia="仿宋_GB2312" w:cs="仿宋_GB2312"/>
                <w:b/>
              </w:rPr>
              <w:t>规范书条目</w:t>
            </w:r>
          </w:p>
        </w:tc>
        <w:tc>
          <w:tcPr>
            <w:tcW w:w="20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rPr>
            </w:pPr>
            <w:r>
              <w:rPr>
                <w:rFonts w:hint="eastAsia" w:ascii="仿宋_GB2312" w:hAnsi="仿宋_GB2312" w:eastAsia="仿宋_GB2312" w:cs="仿宋_GB2312"/>
                <w:b/>
              </w:rPr>
              <w:t>技术规范书要求</w:t>
            </w:r>
          </w:p>
        </w:tc>
        <w:tc>
          <w:tcPr>
            <w:tcW w:w="1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rPr>
            </w:pPr>
            <w:r>
              <w:rPr>
                <w:rFonts w:hint="eastAsia" w:ascii="仿宋_GB2312" w:hAnsi="仿宋_GB2312" w:eastAsia="仿宋_GB2312" w:cs="仿宋_GB2312"/>
                <w:b/>
              </w:rPr>
              <w:t>技术偏差</w:t>
            </w:r>
          </w:p>
        </w:tc>
        <w:tc>
          <w:tcPr>
            <w:tcW w:w="202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rPr>
            </w:pPr>
            <w:r>
              <w:rPr>
                <w:rFonts w:hint="eastAsia" w:ascii="仿宋_GB2312" w:hAnsi="仿宋_GB2312" w:eastAsia="仿宋_GB2312" w:cs="仿宋_GB2312"/>
                <w:b/>
              </w:rPr>
              <w:t>详细说明</w:t>
            </w:r>
          </w:p>
        </w:tc>
        <w:tc>
          <w:tcPr>
            <w:tcW w:w="12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rPr>
            </w:pPr>
            <w:r>
              <w:rPr>
                <w:rFonts w:hint="eastAsia" w:ascii="仿宋_GB2312" w:hAnsi="仿宋_GB2312" w:eastAsia="仿宋_GB2312" w:cs="仿宋_GB2312"/>
                <w:b/>
              </w:rPr>
              <w:t>备 注</w:t>
            </w:r>
          </w:p>
        </w:tc>
      </w:tr>
      <w:tr>
        <w:tblPrEx>
          <w:tblCellMar>
            <w:top w:w="0" w:type="dxa"/>
            <w:left w:w="108" w:type="dxa"/>
            <w:bottom w:w="0" w:type="dxa"/>
            <w:right w:w="108" w:type="dxa"/>
          </w:tblCellMar>
        </w:tblPrEx>
        <w:trPr>
          <w:trHeight w:val="510" w:hRule="exact"/>
        </w:trPr>
        <w:tc>
          <w:tcPr>
            <w:tcW w:w="1535"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2076"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1654"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2022"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1217"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r>
      <w:tr>
        <w:tblPrEx>
          <w:tblCellMar>
            <w:top w:w="0" w:type="dxa"/>
            <w:left w:w="108" w:type="dxa"/>
            <w:bottom w:w="0" w:type="dxa"/>
            <w:right w:w="108" w:type="dxa"/>
          </w:tblCellMar>
        </w:tblPrEx>
        <w:trPr>
          <w:trHeight w:val="510" w:hRule="exact"/>
        </w:trPr>
        <w:tc>
          <w:tcPr>
            <w:tcW w:w="1535"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2076"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1654"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2022"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1217"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r>
      <w:tr>
        <w:tblPrEx>
          <w:tblCellMar>
            <w:top w:w="0" w:type="dxa"/>
            <w:left w:w="108" w:type="dxa"/>
            <w:bottom w:w="0" w:type="dxa"/>
            <w:right w:w="108" w:type="dxa"/>
          </w:tblCellMar>
        </w:tblPrEx>
        <w:trPr>
          <w:trHeight w:val="510" w:hRule="exact"/>
        </w:trPr>
        <w:tc>
          <w:tcPr>
            <w:tcW w:w="1535"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2076"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1654"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2022"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1217"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r>
      <w:tr>
        <w:tblPrEx>
          <w:tblCellMar>
            <w:top w:w="0" w:type="dxa"/>
            <w:left w:w="108" w:type="dxa"/>
            <w:bottom w:w="0" w:type="dxa"/>
            <w:right w:w="108" w:type="dxa"/>
          </w:tblCellMar>
        </w:tblPrEx>
        <w:trPr>
          <w:trHeight w:val="510" w:hRule="exact"/>
        </w:trPr>
        <w:tc>
          <w:tcPr>
            <w:tcW w:w="1535"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2076"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1654"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2022"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c>
          <w:tcPr>
            <w:tcW w:w="1217" w:type="dxa"/>
            <w:tcBorders>
              <w:top w:val="single" w:color="000000" w:sz="4" w:space="0"/>
              <w:left w:val="single" w:color="000000" w:sz="4" w:space="0"/>
              <w:bottom w:val="single" w:color="000000" w:sz="4" w:space="0"/>
              <w:right w:val="single" w:color="000000" w:sz="4" w:space="0"/>
            </w:tcBorders>
          </w:tcPr>
          <w:p>
            <w:pPr>
              <w:pStyle w:val="49"/>
              <w:snapToGrid w:val="0"/>
              <w:ind w:left="960" w:right="0"/>
              <w:rPr>
                <w:rFonts w:hint="eastAsia" w:ascii="仿宋_GB2312" w:hAnsi="仿宋_GB2312" w:eastAsia="仿宋_GB2312" w:cs="仿宋_GB2312"/>
                <w:b/>
                <w:sz w:val="30"/>
              </w:rPr>
            </w:pPr>
          </w:p>
        </w:tc>
      </w:tr>
    </w:tbl>
    <w:p>
      <w:pPr>
        <w:snapToGrid w:val="0"/>
        <w:spacing w:line="560" w:lineRule="exact"/>
        <w:rPr>
          <w:rFonts w:hint="eastAsia" w:ascii="仿宋_GB2312" w:hAnsi="仿宋_GB2312" w:eastAsia="仿宋_GB2312" w:cs="仿宋_GB2312"/>
          <w:kern w:val="0"/>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418" w:right="1701" w:bottom="1418" w:left="1701" w:header="851" w:footer="992" w:gutter="0"/>
      <w:pgNumType w:fmt="decimal"/>
      <w:cols w:space="720"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 w:name="Liberation Serif">
    <w:altName w:val="Segoe Print"/>
    <w:panose1 w:val="00000000000000000000"/>
    <w:charset w:val="01"/>
    <w:family w:val="roman"/>
    <w:pitch w:val="default"/>
    <w:sig w:usb0="00000000" w:usb1="00000000" w:usb2="00000000" w:usb3="00000000" w:csb0="00000000" w:csb1="00000000"/>
  </w:font>
  <w:font w:name="华文宋体">
    <w:altName w:val="宋体"/>
    <w:panose1 w:val="02010600040101010101"/>
    <w:charset w:val="86"/>
    <w:family w:val="auto"/>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eastAsia"/>
      </w:rPr>
    </w:pPr>
    <w:r>
      <mc:AlternateContent>
        <mc:Choice Requires="wps">
          <w:drawing>
            <wp:anchor distT="0" distB="0" distL="114935" distR="114935" simplePos="0" relativeHeight="251659264" behindDoc="1" locked="0" layoutInCell="0" allowOverlap="1">
              <wp:simplePos x="0" y="0"/>
              <wp:positionH relativeFrom="margin">
                <wp:align>center</wp:align>
              </wp:positionH>
              <wp:positionV relativeFrom="paragraph">
                <wp:posOffset>635</wp:posOffset>
              </wp:positionV>
              <wp:extent cx="351155" cy="195580"/>
              <wp:effectExtent l="0" t="0" r="0" b="0"/>
              <wp:wrapNone/>
              <wp:docPr id="2" name="Frame2"/>
              <wp:cNvGraphicFramePr/>
              <a:graphic xmlns:a="http://schemas.openxmlformats.org/drawingml/2006/main">
                <a:graphicData uri="http://schemas.microsoft.com/office/word/2010/wordprocessingShape">
                  <wps:wsp>
                    <wps:cNvSpPr txBox="1"/>
                    <wps:spPr>
                      <a:xfrm>
                        <a:off x="0" y="0"/>
                        <a:ext cx="351155" cy="195580"/>
                      </a:xfrm>
                      <a:prstGeom prst="rect">
                        <a:avLst/>
                      </a:prstGeom>
                      <a:solidFill>
                        <a:srgbClr val="FFFFFF">
                          <a:alpha val="0"/>
                        </a:srgbClr>
                      </a:solidFill>
                    </wps:spPr>
                    <wps:txbx>
                      <w:txbxContent>
                        <w:p>
                          <w:pPr>
                            <w:pStyle w:val="8"/>
                            <w:jc w:val="center"/>
                          </w:pPr>
                          <w:r>
                            <w:rPr>
                              <w:rStyle w:val="15"/>
                              <w:rFonts w:hint="eastAsia"/>
                            </w:rPr>
                            <w:t xml:space="preserve">－ </w:t>
                          </w:r>
                          <w:r>
                            <w:fldChar w:fldCharType="begin"/>
                          </w:r>
                          <w:r>
                            <w:instrText xml:space="preserve"> PAGE </w:instrText>
                          </w:r>
                          <w:r>
                            <w:fldChar w:fldCharType="separate"/>
                          </w:r>
                          <w:r>
                            <w:t>8</w:t>
                          </w:r>
                          <w:r>
                            <w:fldChar w:fldCharType="end"/>
                          </w:r>
                          <w:r>
                            <w:rPr>
                              <w:rStyle w:val="15"/>
                              <w:rFonts w:hint="eastAsia"/>
                            </w:rPr>
                            <w:t xml:space="preserve"> －</w:t>
                          </w:r>
                        </w:p>
                      </w:txbxContent>
                    </wps:txbx>
                    <wps:bodyPr lIns="635" tIns="635" rIns="635" bIns="635" anchor="t">
                      <a:spAutoFit/>
                    </wps:bodyPr>
                  </wps:wsp>
                </a:graphicData>
              </a:graphic>
            </wp:anchor>
          </w:drawing>
        </mc:Choice>
        <mc:Fallback>
          <w:pict>
            <v:shape id="Frame2" o:spid="_x0000_s1026" o:spt="202" type="#_x0000_t202" style="position:absolute;left:0pt;margin-top:0.05pt;height:15.4pt;width:27.65pt;mso-position-horizontal:center;mso-position-horizontal-relative:margin;z-index:-251657216;mso-width-relative:page;mso-height-relative:page;" fillcolor="#FFFFFF" filled="t" stroked="f" coordsize="21600,21600" o:allowincell="f" o:gfxdata="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DGKTqnTAAAAAwEAAA8AAAAAAAAAAQAgAAAAIgAAAGRycy9kb3du&#10;cmV2LnhtbFBLAQIUABQAAAAIAIdO4kCeHxiVywEAALsDAAAOAAAAAAAAAAEAIAAAACIBAABkcnMv&#10;ZTJvRG9jLnhtbFBLBQYAAAAABgAGAFkBAABfBQAAAAA=&#10;">
              <v:fill on="t" opacity="0f" focussize="0,0"/>
              <v:stroke on="f"/>
              <v:imagedata o:title=""/>
              <o:lock v:ext="edit" aspectratio="f"/>
              <v:textbox inset="0.05pt,0.05pt,0.05pt,0.05pt" style="mso-fit-shape-to-text:t;">
                <w:txbxContent>
                  <w:p>
                    <w:pPr>
                      <w:pStyle w:val="8"/>
                      <w:jc w:val="center"/>
                    </w:pPr>
                    <w:r>
                      <w:rPr>
                        <w:rStyle w:val="15"/>
                        <w:rFonts w:hint="eastAsia"/>
                      </w:rPr>
                      <w:t xml:space="preserve">－ </w:t>
                    </w:r>
                    <w:r>
                      <w:fldChar w:fldCharType="begin"/>
                    </w:r>
                    <w:r>
                      <w:instrText xml:space="preserve"> PAGE </w:instrText>
                    </w:r>
                    <w:r>
                      <w:fldChar w:fldCharType="separate"/>
                    </w:r>
                    <w:r>
                      <w:t>8</w:t>
                    </w:r>
                    <w:r>
                      <w:fldChar w:fldCharType="end"/>
                    </w:r>
                    <w:r>
                      <w:rPr>
                        <w:rStyle w:val="15"/>
                        <w:rFonts w:hint="eastAsia"/>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rPr>
        <w:rFonts w:hint="eastAsia" w:ascii="宋体" w:hAnsi="宋体" w:cs="宋体"/>
      </w:rPr>
    </w:pPr>
    <w:r>
      <w:drawing>
        <wp:anchor distT="0" distB="0" distL="114935" distR="114935" simplePos="0" relativeHeight="251659264" behindDoc="0" locked="0" layoutInCell="0" allowOverlap="1">
          <wp:simplePos x="0" y="0"/>
          <wp:positionH relativeFrom="column">
            <wp:posOffset>-1905</wp:posOffset>
          </wp:positionH>
          <wp:positionV relativeFrom="paragraph">
            <wp:posOffset>-22225</wp:posOffset>
          </wp:positionV>
          <wp:extent cx="914400" cy="179070"/>
          <wp:effectExtent l="0" t="0" r="0" b="0"/>
          <wp:wrapSquare wrapText="r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
                  <a:srcRect l="5835" t="14169" r="5835" b="27393"/>
                  <a:stretch>
                    <a:fillRect/>
                  </a:stretch>
                </pic:blipFill>
                <pic:spPr>
                  <a:xfrm>
                    <a:off x="0" y="0"/>
                    <a:ext cx="914400" cy="179070"/>
                  </a:xfrm>
                  <a:prstGeom prst="rect">
                    <a:avLst/>
                  </a:prstGeom>
                  <a:noFill/>
                </pic:spPr>
              </pic:pic>
            </a:graphicData>
          </a:graphic>
        </wp:anchor>
      </w:drawing>
    </w:r>
    <w:r>
      <w:rPr>
        <w:rFonts w:hint="eastAsia" w:ascii="宋体" w:hAnsi="宋体" w:cs="宋体"/>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BEB0F1"/>
    <w:multiLevelType w:val="multilevel"/>
    <w:tmpl w:val="9EBEB0F1"/>
    <w:lvl w:ilvl="0" w:tentative="0">
      <w:start w:val="1"/>
      <w:numFmt w:val="decimal"/>
      <w:pStyle w:val="5"/>
      <w:lvlText w:val="1.%1"/>
      <w:lvlJc w:val="left"/>
      <w:pPr>
        <w:tabs>
          <w:tab w:val="left" w:pos="0"/>
        </w:tabs>
        <w:ind w:left="704" w:hanging="420"/>
      </w:pPr>
      <w:rPr>
        <w:rFonts w:hint="eastAsia"/>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42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
    <w:nsid w:val="ABEEB326"/>
    <w:multiLevelType w:val="multilevel"/>
    <w:tmpl w:val="ABEEB326"/>
    <w:lvl w:ilvl="0" w:tentative="0">
      <w:start w:val="1"/>
      <w:numFmt w:val="decimal"/>
      <w:suff w:val="nothing"/>
      <w:lvlText w:val="%1）"/>
      <w:lvlJc w:val="left"/>
      <w:pPr>
        <w:tabs>
          <w:tab w:val="left" w:pos="0"/>
        </w:tabs>
        <w:ind w:left="900" w:hanging="420"/>
      </w:pPr>
      <w:rPr>
        <w:rFonts w:hint="eastAsia" w:ascii="Times New Roman" w:hAnsi="Times New Roman" w:eastAsia="宋体" w:cs="Times New Roman"/>
      </w:rPr>
    </w:lvl>
    <w:lvl w:ilvl="1" w:tentative="0">
      <w:start w:val="1"/>
      <w:numFmt w:val="lowerLetter"/>
      <w:lvlText w:val="%2)"/>
      <w:lvlJc w:val="left"/>
      <w:pPr>
        <w:tabs>
          <w:tab w:val="left" w:pos="0"/>
        </w:tabs>
        <w:ind w:left="1320" w:hanging="420"/>
      </w:pPr>
      <w:rPr>
        <w:rFonts w:hint="eastAsia"/>
      </w:rPr>
    </w:lvl>
    <w:lvl w:ilvl="2" w:tentative="0">
      <w:start w:val="1"/>
      <w:numFmt w:val="lowerRoman"/>
      <w:lvlText w:val="%3."/>
      <w:lvlJc w:val="right"/>
      <w:pPr>
        <w:tabs>
          <w:tab w:val="left" w:pos="0"/>
        </w:tabs>
        <w:ind w:left="1740" w:hanging="420"/>
      </w:pPr>
      <w:rPr>
        <w:rFonts w:hint="eastAsia"/>
      </w:rPr>
    </w:lvl>
    <w:lvl w:ilvl="3" w:tentative="0">
      <w:start w:val="1"/>
      <w:numFmt w:val="decimal"/>
      <w:lvlText w:val="%4."/>
      <w:lvlJc w:val="left"/>
      <w:pPr>
        <w:tabs>
          <w:tab w:val="left" w:pos="0"/>
        </w:tabs>
        <w:ind w:left="2160" w:hanging="420"/>
      </w:pPr>
      <w:rPr>
        <w:rFonts w:hint="eastAsia"/>
      </w:rPr>
    </w:lvl>
    <w:lvl w:ilvl="4" w:tentative="0">
      <w:start w:val="1"/>
      <w:numFmt w:val="lowerLetter"/>
      <w:lvlText w:val="%5)"/>
      <w:lvlJc w:val="left"/>
      <w:pPr>
        <w:tabs>
          <w:tab w:val="left" w:pos="0"/>
        </w:tabs>
        <w:ind w:left="2580" w:hanging="420"/>
      </w:pPr>
      <w:rPr>
        <w:rFonts w:hint="eastAsia"/>
      </w:rPr>
    </w:lvl>
    <w:lvl w:ilvl="5" w:tentative="0">
      <w:start w:val="1"/>
      <w:numFmt w:val="lowerRoman"/>
      <w:lvlText w:val="%6."/>
      <w:lvlJc w:val="right"/>
      <w:pPr>
        <w:tabs>
          <w:tab w:val="left" w:pos="0"/>
        </w:tabs>
        <w:ind w:left="3000" w:hanging="420"/>
      </w:pPr>
      <w:rPr>
        <w:rFonts w:hint="eastAsia"/>
      </w:rPr>
    </w:lvl>
    <w:lvl w:ilvl="6" w:tentative="0">
      <w:start w:val="1"/>
      <w:numFmt w:val="decimal"/>
      <w:lvlText w:val="%7."/>
      <w:lvlJc w:val="left"/>
      <w:pPr>
        <w:tabs>
          <w:tab w:val="left" w:pos="0"/>
        </w:tabs>
        <w:ind w:left="3420" w:hanging="420"/>
      </w:pPr>
      <w:rPr>
        <w:rFonts w:hint="eastAsia"/>
      </w:rPr>
    </w:lvl>
    <w:lvl w:ilvl="7" w:tentative="0">
      <w:start w:val="1"/>
      <w:numFmt w:val="lowerLetter"/>
      <w:lvlText w:val="%8)"/>
      <w:lvlJc w:val="left"/>
      <w:pPr>
        <w:tabs>
          <w:tab w:val="left" w:pos="0"/>
        </w:tabs>
        <w:ind w:left="3840" w:hanging="420"/>
      </w:pPr>
      <w:rPr>
        <w:rFonts w:hint="eastAsia"/>
      </w:rPr>
    </w:lvl>
    <w:lvl w:ilvl="8" w:tentative="0">
      <w:start w:val="1"/>
      <w:numFmt w:val="lowerRoman"/>
      <w:lvlText w:val="%9."/>
      <w:lvlJc w:val="right"/>
      <w:pPr>
        <w:tabs>
          <w:tab w:val="left" w:pos="0"/>
        </w:tabs>
        <w:ind w:left="4260" w:hanging="420"/>
      </w:pPr>
      <w:rPr>
        <w:rFonts w:hint="eastAsia"/>
      </w:rPr>
    </w:lvl>
  </w:abstractNum>
  <w:abstractNum w:abstractNumId="2">
    <w:nsid w:val="DDF9CAB5"/>
    <w:multiLevelType w:val="multilevel"/>
    <w:tmpl w:val="DDF9CAB5"/>
    <w:lvl w:ilvl="0" w:tentative="0">
      <w:start w:val="1"/>
      <w:numFmt w:val="decimal"/>
      <w:pStyle w:val="4"/>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3">
    <w:nsid w:val="EB7F4DA9"/>
    <w:multiLevelType w:val="multilevel"/>
    <w:tmpl w:val="EB7F4DA9"/>
    <w:lvl w:ilvl="0" w:tentative="0">
      <w:start w:val="1"/>
      <w:numFmt w:val="decimal"/>
      <w:suff w:val="nothing"/>
      <w:lvlText w:val="%1）"/>
      <w:lvlJc w:val="left"/>
      <w:pPr>
        <w:tabs>
          <w:tab w:val="left" w:pos="0"/>
        </w:tabs>
        <w:ind w:left="900" w:hanging="420"/>
      </w:pPr>
      <w:rPr>
        <w:rFonts w:hint="eastAsia" w:ascii="Times New Roman" w:hAnsi="Times New Roman" w:eastAsia="宋体" w:cs="Times New Roman"/>
      </w:rPr>
    </w:lvl>
    <w:lvl w:ilvl="1" w:tentative="0">
      <w:start w:val="1"/>
      <w:numFmt w:val="lowerLetter"/>
      <w:lvlText w:val="%2)"/>
      <w:lvlJc w:val="left"/>
      <w:pPr>
        <w:tabs>
          <w:tab w:val="left" w:pos="0"/>
        </w:tabs>
        <w:ind w:left="1320" w:hanging="420"/>
      </w:pPr>
      <w:rPr>
        <w:rFonts w:hint="eastAsia"/>
      </w:rPr>
    </w:lvl>
    <w:lvl w:ilvl="2" w:tentative="0">
      <w:start w:val="1"/>
      <w:numFmt w:val="lowerRoman"/>
      <w:lvlText w:val="%3."/>
      <w:lvlJc w:val="right"/>
      <w:pPr>
        <w:tabs>
          <w:tab w:val="left" w:pos="0"/>
        </w:tabs>
        <w:ind w:left="1740" w:hanging="420"/>
      </w:pPr>
      <w:rPr>
        <w:rFonts w:hint="eastAsia"/>
      </w:rPr>
    </w:lvl>
    <w:lvl w:ilvl="3" w:tentative="0">
      <w:start w:val="1"/>
      <w:numFmt w:val="decimal"/>
      <w:lvlText w:val="%4."/>
      <w:lvlJc w:val="left"/>
      <w:pPr>
        <w:tabs>
          <w:tab w:val="left" w:pos="0"/>
        </w:tabs>
        <w:ind w:left="2160" w:hanging="420"/>
      </w:pPr>
      <w:rPr>
        <w:rFonts w:hint="eastAsia"/>
      </w:rPr>
    </w:lvl>
    <w:lvl w:ilvl="4" w:tentative="0">
      <w:start w:val="1"/>
      <w:numFmt w:val="lowerLetter"/>
      <w:lvlText w:val="%5)"/>
      <w:lvlJc w:val="left"/>
      <w:pPr>
        <w:tabs>
          <w:tab w:val="left" w:pos="0"/>
        </w:tabs>
        <w:ind w:left="2580" w:hanging="420"/>
      </w:pPr>
      <w:rPr>
        <w:rFonts w:hint="eastAsia"/>
      </w:rPr>
    </w:lvl>
    <w:lvl w:ilvl="5" w:tentative="0">
      <w:start w:val="1"/>
      <w:numFmt w:val="lowerRoman"/>
      <w:lvlText w:val="%6."/>
      <w:lvlJc w:val="right"/>
      <w:pPr>
        <w:tabs>
          <w:tab w:val="left" w:pos="0"/>
        </w:tabs>
        <w:ind w:left="3000" w:hanging="420"/>
      </w:pPr>
      <w:rPr>
        <w:rFonts w:hint="eastAsia"/>
      </w:rPr>
    </w:lvl>
    <w:lvl w:ilvl="6" w:tentative="0">
      <w:start w:val="1"/>
      <w:numFmt w:val="decimal"/>
      <w:lvlText w:val="%7."/>
      <w:lvlJc w:val="left"/>
      <w:pPr>
        <w:tabs>
          <w:tab w:val="left" w:pos="0"/>
        </w:tabs>
        <w:ind w:left="3420" w:hanging="420"/>
      </w:pPr>
      <w:rPr>
        <w:rFonts w:hint="eastAsia"/>
      </w:rPr>
    </w:lvl>
    <w:lvl w:ilvl="7" w:tentative="0">
      <w:start w:val="1"/>
      <w:numFmt w:val="lowerLetter"/>
      <w:lvlText w:val="%8)"/>
      <w:lvlJc w:val="left"/>
      <w:pPr>
        <w:tabs>
          <w:tab w:val="left" w:pos="0"/>
        </w:tabs>
        <w:ind w:left="3840" w:hanging="420"/>
      </w:pPr>
      <w:rPr>
        <w:rFonts w:hint="eastAsia"/>
      </w:rPr>
    </w:lvl>
    <w:lvl w:ilvl="8" w:tentative="0">
      <w:start w:val="1"/>
      <w:numFmt w:val="lowerRoman"/>
      <w:lvlText w:val="%9."/>
      <w:lvlJc w:val="right"/>
      <w:pPr>
        <w:tabs>
          <w:tab w:val="left" w:pos="0"/>
        </w:tabs>
        <w:ind w:left="4260" w:hanging="420"/>
      </w:pPr>
      <w:rPr>
        <w:rFonts w:hint="eastAsia"/>
      </w:rPr>
    </w:lvl>
  </w:abstractNum>
  <w:abstractNum w:abstractNumId="4">
    <w:nsid w:val="EF973C94"/>
    <w:multiLevelType w:val="multilevel"/>
    <w:tmpl w:val="EF973C94"/>
    <w:lvl w:ilvl="0" w:tentative="0">
      <w:start w:val="1"/>
      <w:numFmt w:val="decimal"/>
      <w:suff w:val="nothing"/>
      <w:lvlText w:val="%1）"/>
      <w:lvlJc w:val="left"/>
      <w:pPr>
        <w:tabs>
          <w:tab w:val="left" w:pos="0"/>
        </w:tabs>
        <w:ind w:left="900" w:hanging="420"/>
      </w:pPr>
      <w:rPr>
        <w:rFonts w:hint="eastAsia" w:ascii="Times New Roman" w:hAnsi="Times New Roman" w:eastAsia="宋体" w:cs="Times New Roman"/>
      </w:rPr>
    </w:lvl>
    <w:lvl w:ilvl="1" w:tentative="0">
      <w:start w:val="1"/>
      <w:numFmt w:val="lowerLetter"/>
      <w:lvlText w:val="%2)"/>
      <w:lvlJc w:val="left"/>
      <w:pPr>
        <w:tabs>
          <w:tab w:val="left" w:pos="0"/>
        </w:tabs>
        <w:ind w:left="1320" w:hanging="420"/>
      </w:pPr>
      <w:rPr>
        <w:rFonts w:hint="eastAsia"/>
      </w:rPr>
    </w:lvl>
    <w:lvl w:ilvl="2" w:tentative="0">
      <w:start w:val="1"/>
      <w:numFmt w:val="lowerRoman"/>
      <w:lvlText w:val="%3."/>
      <w:lvlJc w:val="right"/>
      <w:pPr>
        <w:tabs>
          <w:tab w:val="left" w:pos="0"/>
        </w:tabs>
        <w:ind w:left="1740" w:hanging="420"/>
      </w:pPr>
      <w:rPr>
        <w:rFonts w:hint="eastAsia"/>
      </w:rPr>
    </w:lvl>
    <w:lvl w:ilvl="3" w:tentative="0">
      <w:start w:val="1"/>
      <w:numFmt w:val="decimal"/>
      <w:lvlText w:val="%4."/>
      <w:lvlJc w:val="left"/>
      <w:pPr>
        <w:tabs>
          <w:tab w:val="left" w:pos="0"/>
        </w:tabs>
        <w:ind w:left="2160" w:hanging="420"/>
      </w:pPr>
      <w:rPr>
        <w:rFonts w:hint="eastAsia"/>
      </w:rPr>
    </w:lvl>
    <w:lvl w:ilvl="4" w:tentative="0">
      <w:start w:val="1"/>
      <w:numFmt w:val="lowerLetter"/>
      <w:lvlText w:val="%5)"/>
      <w:lvlJc w:val="left"/>
      <w:pPr>
        <w:tabs>
          <w:tab w:val="left" w:pos="0"/>
        </w:tabs>
        <w:ind w:left="2580" w:hanging="420"/>
      </w:pPr>
      <w:rPr>
        <w:rFonts w:hint="eastAsia"/>
      </w:rPr>
    </w:lvl>
    <w:lvl w:ilvl="5" w:tentative="0">
      <w:start w:val="1"/>
      <w:numFmt w:val="lowerRoman"/>
      <w:lvlText w:val="%6."/>
      <w:lvlJc w:val="right"/>
      <w:pPr>
        <w:tabs>
          <w:tab w:val="left" w:pos="0"/>
        </w:tabs>
        <w:ind w:left="3000" w:hanging="420"/>
      </w:pPr>
      <w:rPr>
        <w:rFonts w:hint="eastAsia"/>
      </w:rPr>
    </w:lvl>
    <w:lvl w:ilvl="6" w:tentative="0">
      <w:start w:val="1"/>
      <w:numFmt w:val="decimal"/>
      <w:lvlText w:val="%7."/>
      <w:lvlJc w:val="left"/>
      <w:pPr>
        <w:tabs>
          <w:tab w:val="left" w:pos="0"/>
        </w:tabs>
        <w:ind w:left="3420" w:hanging="420"/>
      </w:pPr>
      <w:rPr>
        <w:rFonts w:hint="eastAsia"/>
      </w:rPr>
    </w:lvl>
    <w:lvl w:ilvl="7" w:tentative="0">
      <w:start w:val="1"/>
      <w:numFmt w:val="lowerLetter"/>
      <w:lvlText w:val="%8)"/>
      <w:lvlJc w:val="left"/>
      <w:pPr>
        <w:tabs>
          <w:tab w:val="left" w:pos="0"/>
        </w:tabs>
        <w:ind w:left="3840" w:hanging="420"/>
      </w:pPr>
      <w:rPr>
        <w:rFonts w:hint="eastAsia"/>
      </w:rPr>
    </w:lvl>
    <w:lvl w:ilvl="8" w:tentative="0">
      <w:start w:val="1"/>
      <w:numFmt w:val="lowerRoman"/>
      <w:lvlText w:val="%9."/>
      <w:lvlJc w:val="right"/>
      <w:pPr>
        <w:tabs>
          <w:tab w:val="left" w:pos="0"/>
        </w:tabs>
        <w:ind w:left="4260" w:hanging="420"/>
      </w:pPr>
      <w:rPr>
        <w:rFonts w:hint="eastAsia"/>
      </w:rPr>
    </w:lvl>
  </w:abstractNum>
  <w:abstractNum w:abstractNumId="5">
    <w:nsid w:val="EFAEEC5C"/>
    <w:multiLevelType w:val="multilevel"/>
    <w:tmpl w:val="EFAEEC5C"/>
    <w:lvl w:ilvl="0" w:tentative="0">
      <w:start w:val="1"/>
      <w:numFmt w:val="decimal"/>
      <w:pStyle w:val="6"/>
      <w:lvlText w:val="%1."/>
      <w:lvlJc w:val="left"/>
      <w:pPr>
        <w:tabs>
          <w:tab w:val="left" w:pos="0"/>
        </w:tabs>
        <w:ind w:left="425" w:hanging="425"/>
      </w:pPr>
      <w:rPr>
        <w:rFonts w:ascii="Times New Roman" w:hAnsi="Times New Roman" w:eastAsia="宋体" w:cs="Times New Roman"/>
        <w:b w:val="0"/>
        <w:i w:val="0"/>
        <w:spacing w:val="-12"/>
        <w:sz w:val="28"/>
        <w:szCs w:val="44"/>
      </w:rPr>
    </w:lvl>
    <w:lvl w:ilvl="1" w:tentative="0">
      <w:start w:val="1"/>
      <w:numFmt w:val="decimal"/>
      <w:lvlText w:val="%1.%2."/>
      <w:lvlJc w:val="left"/>
      <w:pPr>
        <w:tabs>
          <w:tab w:val="left" w:pos="0"/>
        </w:tabs>
        <w:ind w:left="567" w:hanging="567"/>
      </w:pPr>
      <w:rPr>
        <w:rFonts w:ascii="Times New Roman" w:hAnsi="Times New Roman" w:eastAsia="宋体" w:cs="Times New Roman"/>
        <w:shadow w:val="0"/>
        <w:sz w:val="24"/>
        <w:szCs w:val="24"/>
      </w:rPr>
    </w:lvl>
    <w:lvl w:ilvl="2" w:tentative="0">
      <w:start w:val="1"/>
      <w:numFmt w:val="decimal"/>
      <w:lvlText w:val="%1.%2.%3."/>
      <w:lvlJc w:val="left"/>
      <w:pPr>
        <w:tabs>
          <w:tab w:val="left" w:pos="0"/>
        </w:tabs>
        <w:ind w:left="709" w:hanging="709"/>
      </w:pPr>
      <w:rPr>
        <w:rFonts w:ascii="黑体" w:hAnsi="黑体" w:eastAsia="黑体" w:cs="黑体"/>
        <w:b w:val="0"/>
        <w:sz w:val="24"/>
        <w:szCs w:val="24"/>
      </w:rPr>
    </w:lvl>
    <w:lvl w:ilvl="3" w:tentative="0">
      <w:start w:val="1"/>
      <w:numFmt w:val="decimal"/>
      <w:lvlText w:val="%1.%2.%3.%4."/>
      <w:lvlJc w:val="left"/>
      <w:pPr>
        <w:tabs>
          <w:tab w:val="left" w:pos="0"/>
        </w:tabs>
        <w:ind w:left="851" w:hanging="851"/>
      </w:pPr>
      <w:rPr>
        <w:rFonts w:hint="eastAsia"/>
        <w:shadow w:val="0"/>
        <w:sz w:val="24"/>
        <w:szCs w:val="24"/>
      </w:rPr>
    </w:lvl>
    <w:lvl w:ilvl="4" w:tentative="0">
      <w:start w:val="1"/>
      <w:numFmt w:val="decimal"/>
      <w:lvlText w:val="%1.%2.%3.%4.%5."/>
      <w:lvlJc w:val="left"/>
      <w:pPr>
        <w:tabs>
          <w:tab w:val="left" w:pos="0"/>
        </w:tabs>
        <w:ind w:left="992" w:hanging="992"/>
      </w:pPr>
      <w:rPr>
        <w:rFonts w:hint="eastAsia"/>
      </w:rPr>
    </w:lvl>
    <w:lvl w:ilvl="5" w:tentative="0">
      <w:start w:val="1"/>
      <w:numFmt w:val="decimal"/>
      <w:lvlText w:val="%1.%2.%3.%4.%5.%6."/>
      <w:lvlJc w:val="left"/>
      <w:pPr>
        <w:tabs>
          <w:tab w:val="left" w:pos="0"/>
        </w:tabs>
        <w:ind w:left="1134" w:hanging="1134"/>
      </w:pPr>
      <w:rPr>
        <w:rFonts w:hint="eastAsia"/>
      </w:rPr>
    </w:lvl>
    <w:lvl w:ilvl="6" w:tentative="0">
      <w:start w:val="1"/>
      <w:numFmt w:val="decimal"/>
      <w:lvlText w:val="%1.%2.%3.%4.%5.%6.%7."/>
      <w:lvlJc w:val="left"/>
      <w:pPr>
        <w:tabs>
          <w:tab w:val="left" w:pos="0"/>
        </w:tabs>
        <w:ind w:left="1276" w:hanging="1276"/>
      </w:pPr>
      <w:rPr>
        <w:rFonts w:hint="eastAsia"/>
      </w:rPr>
    </w:lvl>
    <w:lvl w:ilvl="7" w:tentative="0">
      <w:start w:val="1"/>
      <w:numFmt w:val="decimal"/>
      <w:lvlText w:val="%1.%2.%3.%4.%5.%6.%7.%8."/>
      <w:lvlJc w:val="left"/>
      <w:pPr>
        <w:tabs>
          <w:tab w:val="left" w:pos="0"/>
        </w:tabs>
        <w:ind w:left="1418" w:hanging="1418"/>
      </w:pPr>
      <w:rPr>
        <w:rFonts w:hint="eastAsia"/>
      </w:rPr>
    </w:lvl>
    <w:lvl w:ilvl="8" w:tentative="0">
      <w:start w:val="1"/>
      <w:numFmt w:val="decimal"/>
      <w:lvlText w:val="%1.%2.%3.%4.%5.%6.%7.%8.%9."/>
      <w:lvlJc w:val="left"/>
      <w:pPr>
        <w:tabs>
          <w:tab w:val="left" w:pos="0"/>
        </w:tabs>
        <w:ind w:left="1559" w:hanging="1559"/>
      </w:pPr>
      <w:rPr>
        <w:rFonts w:hint="eastAsia"/>
      </w:rPr>
    </w:lvl>
  </w:abstractNum>
  <w:num w:numId="1">
    <w:abstractNumId w:val="2"/>
  </w:num>
  <w:num w:numId="2">
    <w:abstractNumId w:val="0"/>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420"/>
  <w:autoHyphenation/>
  <w:hyphenationZone w:val="0"/>
  <w:compat>
    <w:doNotExpandShiftReturn/>
    <w:adjustLineHeightInTable/>
    <w:useFELayout/>
    <w:compatSetting w:name="compatibilityMode" w:uri="http://schemas.microsoft.com/office/word" w:val="11"/>
  </w:compat>
  <w:docVars>
    <w:docVar w:name="commondata" w:val="eyJoZGlkIjoiNjZlNDgwMmM5YTcxMmI2MTM4OTEzOWEwNDllYjczZTEifQ=="/>
  </w:docVars>
  <w:rsids>
    <w:rsidRoot w:val="00000000"/>
    <w:rsid w:val="189349DC"/>
    <w:rsid w:val="22911CCD"/>
    <w:rsid w:val="2601702B"/>
    <w:rsid w:val="282A0355"/>
    <w:rsid w:val="2AFF803D"/>
    <w:rsid w:val="3FBA35FF"/>
    <w:rsid w:val="43315572"/>
    <w:rsid w:val="5FFCF5EF"/>
    <w:rsid w:val="70C57087"/>
    <w:rsid w:val="7DDDD2B0"/>
    <w:rsid w:val="7DF740E4"/>
    <w:rsid w:val="7EFA80F4"/>
    <w:rsid w:val="DF55C86E"/>
    <w:rsid w:val="EDD694AF"/>
    <w:rsid w:val="F3EFBE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Liberation Serif" w:hAnsi="Liberation Serif" w:eastAsia="华文宋体" w:cs="Arial Unicode M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Times New Roman" w:hAnsi="Times New Roman" w:eastAsia="宋体" w:cs="Times New Roman"/>
      <w:color w:val="auto"/>
      <w:kern w:val="2"/>
      <w:sz w:val="21"/>
      <w:szCs w:val="22"/>
      <w:lang w:val="en-US" w:eastAsia="zh-CN" w:bidi="ar-SA"/>
    </w:rPr>
  </w:style>
  <w:style w:type="paragraph" w:styleId="4">
    <w:name w:val="heading 1"/>
    <w:basedOn w:val="1"/>
    <w:next w:val="1"/>
    <w:qFormat/>
    <w:uiPriority w:val="0"/>
    <w:pPr>
      <w:keepNext/>
      <w:keepLines/>
      <w:widowControl/>
      <w:numPr>
        <w:ilvl w:val="0"/>
        <w:numId w:val="1"/>
      </w:numPr>
      <w:spacing w:before="240" w:after="240" w:line="480" w:lineRule="exact"/>
      <w:outlineLvl w:val="0"/>
    </w:pPr>
    <w:rPr>
      <w:rFonts w:ascii="仿宋_GB2312" w:hAnsi="仿宋_GB2312" w:eastAsia="仿宋_GB2312" w:cs="Times New Roman"/>
      <w:b/>
      <w:bCs/>
      <w:kern w:val="2"/>
      <w:sz w:val="28"/>
      <w:szCs w:val="28"/>
    </w:rPr>
  </w:style>
  <w:style w:type="paragraph" w:styleId="5">
    <w:name w:val="heading 2"/>
    <w:basedOn w:val="1"/>
    <w:next w:val="1"/>
    <w:qFormat/>
    <w:uiPriority w:val="0"/>
    <w:pPr>
      <w:keepNext/>
      <w:keepLines/>
      <w:numPr>
        <w:ilvl w:val="0"/>
        <w:numId w:val="2"/>
      </w:numPr>
      <w:spacing w:before="240" w:after="240" w:line="480" w:lineRule="exact"/>
      <w:jc w:val="left"/>
      <w:outlineLvl w:val="1"/>
    </w:pPr>
    <w:rPr>
      <w:rFonts w:ascii="仿宋_GB2312" w:hAnsi="仿宋_GB2312" w:eastAsia="仿宋_GB2312" w:cs="Arial"/>
      <w:b/>
      <w:bCs/>
      <w:sz w:val="28"/>
      <w:szCs w:val="28"/>
    </w:rPr>
  </w:style>
  <w:style w:type="paragraph" w:styleId="6">
    <w:name w:val="heading 3"/>
    <w:basedOn w:val="1"/>
    <w:next w:val="1"/>
    <w:qFormat/>
    <w:uiPriority w:val="0"/>
    <w:pPr>
      <w:keepNext/>
      <w:keepLines/>
      <w:numPr>
        <w:ilvl w:val="0"/>
        <w:numId w:val="3"/>
      </w:numPr>
      <w:tabs>
        <w:tab w:val="left" w:pos="709"/>
      </w:tabs>
      <w:spacing w:before="260" w:after="260" w:line="415" w:lineRule="auto"/>
      <w:outlineLvl w:val="2"/>
    </w:pPr>
    <w:rPr>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before="240" w:after="120"/>
      <w:ind w:left="0" w:leftChars="0" w:right="0" w:rightChars="0" w:firstLineChars="200"/>
    </w:pPr>
    <w:rPr>
      <w:sz w:val="24"/>
    </w:rPr>
  </w:style>
  <w:style w:type="paragraph" w:customStyle="1" w:styleId="3">
    <w:name w:val="Heading"/>
    <w:basedOn w:val="1"/>
    <w:next w:val="1"/>
    <w:qFormat/>
    <w:uiPriority w:val="0"/>
    <w:pPr>
      <w:spacing w:before="240" w:after="60"/>
      <w:jc w:val="center"/>
      <w:outlineLvl w:val="0"/>
    </w:pPr>
    <w:rPr>
      <w:rFonts w:ascii="Cambria" w:hAnsi="Cambria" w:cs="Cambria"/>
      <w:b/>
      <w:bCs/>
      <w:sz w:val="32"/>
      <w:szCs w:val="32"/>
    </w:rPr>
  </w:style>
  <w:style w:type="paragraph" w:styleId="7">
    <w:name w:val="caption"/>
    <w:basedOn w:val="1"/>
    <w:next w:val="1"/>
    <w:qFormat/>
    <w:uiPriority w:val="0"/>
    <w:pPr>
      <w:suppressLineNumbers/>
      <w:spacing w:before="120" w:after="120"/>
    </w:pPr>
    <w:rPr>
      <w:rFonts w:cs="Arial Unicode MS"/>
      <w:i/>
      <w:iCs/>
      <w:sz w:val="24"/>
      <w:szCs w:val="24"/>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0">
    <w:name w:val="toc 1"/>
    <w:basedOn w:val="1"/>
    <w:next w:val="1"/>
    <w:qFormat/>
    <w:uiPriority w:val="0"/>
    <w:pPr>
      <w:spacing w:before="120" w:after="120" w:line="60" w:lineRule="auto"/>
      <w:jc w:val="left"/>
    </w:pPr>
    <w:rPr>
      <w:rFonts w:ascii="Times New Roman" w:hAnsi="Times New Roman" w:cs="Times New Roman"/>
      <w:b/>
      <w:bCs/>
      <w:caps/>
      <w:sz w:val="20"/>
      <w:szCs w:val="20"/>
    </w:rPr>
  </w:style>
  <w:style w:type="paragraph" w:styleId="11">
    <w:name w:val="List"/>
    <w:basedOn w:val="2"/>
    <w:qFormat/>
    <w:uiPriority w:val="0"/>
    <w:rPr>
      <w:rFonts w:cs="Arial Unicode MS"/>
    </w:rPr>
  </w:style>
  <w:style w:type="paragraph" w:styleId="12">
    <w:name w:val="toc 2"/>
    <w:basedOn w:val="1"/>
    <w:next w:val="1"/>
    <w:qFormat/>
    <w:uiPriority w:val="0"/>
    <w:pPr>
      <w:ind w:left="210" w:right="0" w:firstLine="0"/>
      <w:jc w:val="left"/>
    </w:pPr>
    <w:rPr>
      <w:rFonts w:ascii="Times New Roman" w:hAnsi="Times New Roman" w:cs="Times New Roman"/>
      <w:smallCaps/>
      <w:sz w:val="20"/>
      <w:szCs w:val="20"/>
    </w:rPr>
  </w:style>
  <w:style w:type="character" w:styleId="15">
    <w:name w:val="page number"/>
    <w:qFormat/>
    <w:uiPriority w:val="0"/>
  </w:style>
  <w:style w:type="character" w:styleId="16">
    <w:name w:val="FollowedHyperlink"/>
    <w:qFormat/>
    <w:uiPriority w:val="0"/>
    <w:rPr>
      <w:color w:val="800080"/>
      <w:u w:val="single"/>
    </w:rPr>
  </w:style>
  <w:style w:type="character" w:styleId="17">
    <w:name w:val="Hyperlink"/>
    <w:qFormat/>
    <w:uiPriority w:val="0"/>
    <w:rPr>
      <w:color w:val="0000FF"/>
      <w:u w:val="single"/>
    </w:rPr>
  </w:style>
  <w:style w:type="character" w:customStyle="1" w:styleId="18">
    <w:name w:val="WW8Num1z0"/>
    <w:qFormat/>
    <w:uiPriority w:val="0"/>
    <w:rPr>
      <w:rFonts w:hint="eastAsia" w:ascii="Times New Roman" w:hAnsi="Times New Roman" w:eastAsia="宋体" w:cs="Times New Roman"/>
    </w:rPr>
  </w:style>
  <w:style w:type="character" w:customStyle="1" w:styleId="19">
    <w:name w:val="WW8Num1z1"/>
    <w:qFormat/>
    <w:uiPriority w:val="0"/>
    <w:rPr>
      <w:rFonts w:hint="eastAsia"/>
    </w:rPr>
  </w:style>
  <w:style w:type="character" w:customStyle="1" w:styleId="20">
    <w:name w:val="WW8Num2z0"/>
    <w:qFormat/>
    <w:uiPriority w:val="0"/>
    <w:rPr>
      <w:rFonts w:hint="eastAsia" w:ascii="Times New Roman" w:hAnsi="Times New Roman" w:eastAsia="宋体" w:cs="Times New Roman"/>
    </w:rPr>
  </w:style>
  <w:style w:type="character" w:customStyle="1" w:styleId="21">
    <w:name w:val="WW8Num2z1"/>
    <w:qFormat/>
    <w:uiPriority w:val="0"/>
    <w:rPr>
      <w:rFonts w:hint="eastAsia"/>
    </w:rPr>
  </w:style>
  <w:style w:type="character" w:customStyle="1" w:styleId="22">
    <w:name w:val="WW8Num4z0"/>
    <w:qFormat/>
    <w:uiPriority w:val="0"/>
    <w:rPr>
      <w:rFonts w:hint="eastAsia" w:ascii="Times New Roman" w:hAnsi="Times New Roman" w:eastAsia="宋体" w:cs="Times New Roman"/>
    </w:rPr>
  </w:style>
  <w:style w:type="character" w:customStyle="1" w:styleId="23">
    <w:name w:val="WW8Num4z1"/>
    <w:qFormat/>
    <w:uiPriority w:val="0"/>
    <w:rPr>
      <w:rFonts w:hint="eastAsia"/>
    </w:rPr>
  </w:style>
  <w:style w:type="character" w:customStyle="1" w:styleId="24">
    <w:name w:val="WW8Num5z0"/>
    <w:qFormat/>
    <w:uiPriority w:val="0"/>
    <w:rPr>
      <w:rFonts w:ascii="Times New Roman" w:hAnsi="Times New Roman" w:eastAsia="宋体" w:cs="Times New Roman"/>
      <w:spacing w:val="-12"/>
      <w:sz w:val="28"/>
      <w:szCs w:val="44"/>
    </w:rPr>
  </w:style>
  <w:style w:type="character" w:customStyle="1" w:styleId="25">
    <w:name w:val="WW8Num5z1"/>
    <w:qFormat/>
    <w:uiPriority w:val="0"/>
    <w:rPr>
      <w:rFonts w:ascii="Times New Roman" w:hAnsi="Times New Roman" w:eastAsia="宋体" w:cs="Times New Roman"/>
      <w:sz w:val="24"/>
      <w:szCs w:val="24"/>
    </w:rPr>
  </w:style>
  <w:style w:type="character" w:customStyle="1" w:styleId="26">
    <w:name w:val="WW8Num5z2"/>
    <w:qFormat/>
    <w:uiPriority w:val="0"/>
    <w:rPr>
      <w:rFonts w:ascii="黑体" w:hAnsi="黑体" w:eastAsia="黑体" w:cs="黑体"/>
      <w:sz w:val="24"/>
      <w:szCs w:val="24"/>
    </w:rPr>
  </w:style>
  <w:style w:type="character" w:customStyle="1" w:styleId="27">
    <w:name w:val="WW8Num5z3"/>
    <w:qFormat/>
    <w:uiPriority w:val="0"/>
    <w:rPr>
      <w:rFonts w:hint="eastAsia"/>
      <w:sz w:val="24"/>
      <w:szCs w:val="24"/>
    </w:rPr>
  </w:style>
  <w:style w:type="character" w:customStyle="1" w:styleId="28">
    <w:name w:val="WW8Num5z4"/>
    <w:qFormat/>
    <w:uiPriority w:val="0"/>
    <w:rPr>
      <w:rFonts w:hint="eastAsia"/>
    </w:rPr>
  </w:style>
  <w:style w:type="character" w:customStyle="1" w:styleId="29">
    <w:name w:val="WW8Num6z0"/>
    <w:qFormat/>
    <w:uiPriority w:val="0"/>
    <w:rPr>
      <w:rFonts w:hint="eastAsia"/>
    </w:rPr>
  </w:style>
  <w:style w:type="character" w:customStyle="1" w:styleId="30">
    <w:name w:val="默认段落字体1"/>
    <w:qFormat/>
    <w:uiPriority w:val="0"/>
  </w:style>
  <w:style w:type="character" w:customStyle="1" w:styleId="31">
    <w:name w:val="正文文本 字符"/>
    <w:qFormat/>
    <w:uiPriority w:val="0"/>
    <w:rPr>
      <w:kern w:val="2"/>
      <w:sz w:val="24"/>
      <w:szCs w:val="22"/>
    </w:rPr>
  </w:style>
  <w:style w:type="character" w:customStyle="1" w:styleId="32">
    <w:name w:val="标题 1 字符"/>
    <w:qFormat/>
    <w:uiPriority w:val="0"/>
    <w:rPr>
      <w:rFonts w:ascii="仿宋_GB2312" w:hAnsi="仿宋_GB2312" w:eastAsia="仿宋_GB2312" w:cs="Times New Roman"/>
      <w:b/>
      <w:bCs/>
      <w:kern w:val="2"/>
      <w:sz w:val="28"/>
      <w:szCs w:val="28"/>
    </w:rPr>
  </w:style>
  <w:style w:type="character" w:customStyle="1" w:styleId="33">
    <w:name w:val="标题 2 字符"/>
    <w:qFormat/>
    <w:uiPriority w:val="0"/>
    <w:rPr>
      <w:rFonts w:ascii="仿宋_GB2312" w:hAnsi="仿宋_GB2312" w:eastAsia="仿宋_GB2312" w:cs="Arial"/>
      <w:b/>
      <w:bCs/>
      <w:kern w:val="2"/>
      <w:sz w:val="28"/>
      <w:szCs w:val="28"/>
    </w:rPr>
  </w:style>
  <w:style w:type="character" w:customStyle="1" w:styleId="34">
    <w:name w:val="批注文字 字符"/>
    <w:qFormat/>
    <w:uiPriority w:val="0"/>
    <w:rPr>
      <w:kern w:val="2"/>
      <w:sz w:val="21"/>
      <w:szCs w:val="22"/>
    </w:rPr>
  </w:style>
  <w:style w:type="character" w:customStyle="1" w:styleId="35">
    <w:name w:val="批注框文本 字符"/>
    <w:qFormat/>
    <w:uiPriority w:val="0"/>
    <w:rPr>
      <w:kern w:val="2"/>
      <w:sz w:val="18"/>
      <w:szCs w:val="18"/>
    </w:rPr>
  </w:style>
  <w:style w:type="character" w:customStyle="1" w:styleId="36">
    <w:name w:val="页脚 字符"/>
    <w:qFormat/>
    <w:uiPriority w:val="0"/>
    <w:rPr>
      <w:kern w:val="2"/>
      <w:sz w:val="18"/>
      <w:szCs w:val="18"/>
    </w:rPr>
  </w:style>
  <w:style w:type="character" w:customStyle="1" w:styleId="37">
    <w:name w:val="页眉 字符"/>
    <w:qFormat/>
    <w:uiPriority w:val="0"/>
    <w:rPr>
      <w:kern w:val="2"/>
      <w:sz w:val="18"/>
      <w:szCs w:val="18"/>
    </w:rPr>
  </w:style>
  <w:style w:type="character" w:customStyle="1" w:styleId="38">
    <w:name w:val="普通(网站) Char"/>
    <w:qFormat/>
    <w:uiPriority w:val="0"/>
    <w:rPr>
      <w:rFonts w:ascii="Calibri" w:hAnsi="Calibri" w:cs="Calibri"/>
      <w:kern w:val="2"/>
      <w:sz w:val="21"/>
      <w:szCs w:val="21"/>
    </w:rPr>
  </w:style>
  <w:style w:type="character" w:customStyle="1" w:styleId="39">
    <w:name w:val="批注主题 字符"/>
    <w:qFormat/>
    <w:uiPriority w:val="0"/>
    <w:rPr>
      <w:b/>
      <w:bCs/>
      <w:kern w:val="2"/>
      <w:sz w:val="21"/>
      <w:szCs w:val="22"/>
    </w:rPr>
  </w:style>
  <w:style w:type="character" w:customStyle="1" w:styleId="40">
    <w:name w:val="批注引用1"/>
    <w:qFormat/>
    <w:uiPriority w:val="0"/>
    <w:rPr>
      <w:sz w:val="21"/>
      <w:szCs w:val="21"/>
    </w:rPr>
  </w:style>
  <w:style w:type="character" w:customStyle="1" w:styleId="41">
    <w:name w:val="段 Char Char"/>
    <w:qFormat/>
    <w:uiPriority w:val="0"/>
    <w:rPr>
      <w:rFonts w:ascii="宋体" w:hAnsi="宋体" w:cs="Times New Roman"/>
      <w:sz w:val="21"/>
      <w:lang w:bidi="ar-SA"/>
    </w:rPr>
  </w:style>
  <w:style w:type="character" w:customStyle="1" w:styleId="42">
    <w:name w:val="页眉 Char1"/>
    <w:qFormat/>
    <w:uiPriority w:val="0"/>
    <w:rPr>
      <w:kern w:val="2"/>
      <w:sz w:val="18"/>
      <w:szCs w:val="18"/>
    </w:rPr>
  </w:style>
  <w:style w:type="character" w:customStyle="1" w:styleId="43">
    <w:name w:val="页脚 Char1"/>
    <w:qFormat/>
    <w:uiPriority w:val="0"/>
    <w:rPr>
      <w:kern w:val="2"/>
      <w:sz w:val="18"/>
      <w:szCs w:val="18"/>
    </w:rPr>
  </w:style>
  <w:style w:type="character" w:customStyle="1" w:styleId="44">
    <w:name w:val="正文文字样式 Char Char"/>
    <w:qFormat/>
    <w:uiPriority w:val="0"/>
    <w:rPr>
      <w:kern w:val="2"/>
      <w:sz w:val="24"/>
      <w:szCs w:val="24"/>
    </w:rPr>
  </w:style>
  <w:style w:type="character" w:customStyle="1" w:styleId="45">
    <w:name w:val="列出段落 Char"/>
    <w:qFormat/>
    <w:uiPriority w:val="0"/>
    <w:rPr>
      <w:rFonts w:ascii="Calibri" w:hAnsi="Calibri" w:cs="Calibri"/>
      <w:kern w:val="2"/>
      <w:sz w:val="21"/>
      <w:szCs w:val="22"/>
    </w:rPr>
  </w:style>
  <w:style w:type="character" w:customStyle="1" w:styleId="46">
    <w:name w:val="批注文字 Char"/>
    <w:qFormat/>
    <w:uiPriority w:val="0"/>
    <w:rPr>
      <w:sz w:val="21"/>
    </w:rPr>
  </w:style>
  <w:style w:type="paragraph" w:customStyle="1" w:styleId="47">
    <w:name w:val="Index"/>
    <w:basedOn w:val="1"/>
    <w:qFormat/>
    <w:uiPriority w:val="0"/>
    <w:pPr>
      <w:suppressLineNumbers/>
    </w:pPr>
    <w:rPr>
      <w:rFonts w:cs="Arial Unicode MS"/>
    </w:rPr>
  </w:style>
  <w:style w:type="paragraph" w:customStyle="1" w:styleId="48">
    <w:name w:val="正文缩进1"/>
    <w:basedOn w:val="1"/>
    <w:qFormat/>
    <w:uiPriority w:val="0"/>
    <w:pPr>
      <w:spacing w:line="300" w:lineRule="auto"/>
      <w:ind w:left="0" w:right="0" w:firstLine="420"/>
    </w:pPr>
    <w:rPr>
      <w:sz w:val="24"/>
      <w:szCs w:val="20"/>
    </w:rPr>
  </w:style>
  <w:style w:type="paragraph" w:customStyle="1" w:styleId="49">
    <w:name w:val="题注1"/>
    <w:next w:val="1"/>
    <w:qFormat/>
    <w:uiPriority w:val="0"/>
    <w:pPr>
      <w:widowControl/>
      <w:suppressAutoHyphens/>
      <w:bidi w:val="0"/>
      <w:jc w:val="center"/>
      <w:textAlignment w:val="baseline"/>
    </w:pPr>
    <w:rPr>
      <w:rFonts w:ascii="Times New Roman" w:hAnsi="Times New Roman" w:eastAsia="仿宋" w:cs="Arial"/>
      <w:color w:val="auto"/>
      <w:sz w:val="24"/>
      <w:szCs w:val="20"/>
      <w:lang w:val="en-US" w:eastAsia="zh-CN" w:bidi="ar-SA"/>
    </w:rPr>
  </w:style>
  <w:style w:type="paragraph" w:customStyle="1" w:styleId="50">
    <w:name w:val="批注文字1"/>
    <w:basedOn w:val="1"/>
    <w:qFormat/>
    <w:uiPriority w:val="0"/>
    <w:pPr>
      <w:jc w:val="left"/>
    </w:pPr>
  </w:style>
  <w:style w:type="paragraph" w:customStyle="1" w:styleId="51">
    <w:name w:val="批注框文本1"/>
    <w:basedOn w:val="1"/>
    <w:qFormat/>
    <w:uiPriority w:val="0"/>
    <w:rPr>
      <w:sz w:val="18"/>
      <w:szCs w:val="18"/>
    </w:rPr>
  </w:style>
  <w:style w:type="paragraph" w:customStyle="1" w:styleId="52">
    <w:name w:val="Header and Footer"/>
    <w:basedOn w:val="1"/>
    <w:qFormat/>
    <w:uiPriority w:val="0"/>
    <w:pPr>
      <w:suppressLineNumbers/>
      <w:tabs>
        <w:tab w:val="center" w:pos="4819"/>
        <w:tab w:val="right" w:pos="9638"/>
      </w:tabs>
    </w:pPr>
  </w:style>
  <w:style w:type="paragraph" w:customStyle="1" w:styleId="53">
    <w:name w:val="普通(网站)1"/>
    <w:basedOn w:val="1"/>
    <w:qFormat/>
    <w:uiPriority w:val="0"/>
    <w:pPr>
      <w:widowControl/>
      <w:snapToGrid w:val="0"/>
      <w:spacing w:before="160" w:after="160" w:line="240" w:lineRule="atLeast"/>
      <w:ind w:left="1701" w:right="0" w:firstLine="0"/>
      <w:jc w:val="left"/>
    </w:pPr>
    <w:rPr>
      <w:rFonts w:ascii="Calibri" w:hAnsi="Calibri" w:cs="Calibri"/>
      <w:szCs w:val="21"/>
    </w:rPr>
  </w:style>
  <w:style w:type="paragraph" w:customStyle="1" w:styleId="54">
    <w:name w:val="批注主题1"/>
    <w:basedOn w:val="50"/>
    <w:next w:val="50"/>
    <w:qFormat/>
    <w:uiPriority w:val="0"/>
    <w:rPr>
      <w:b/>
      <w:bCs/>
    </w:rPr>
  </w:style>
  <w:style w:type="paragraph" w:customStyle="1" w:styleId="55">
    <w:name w:val="段"/>
    <w:qFormat/>
    <w:uiPriority w:val="0"/>
    <w:pPr>
      <w:widowControl/>
      <w:suppressAutoHyphens/>
      <w:bidi w:val="0"/>
      <w:ind w:left="0" w:leftChars="0" w:right="0" w:rightChars="0" w:firstLineChars="200"/>
      <w:jc w:val="both"/>
    </w:pPr>
    <w:rPr>
      <w:rFonts w:ascii="宋体" w:hAnsi="宋体" w:eastAsia="宋体" w:cs="Times New Roman"/>
      <w:color w:val="auto"/>
      <w:sz w:val="21"/>
      <w:szCs w:val="20"/>
      <w:lang w:val="en-US" w:eastAsia="zh-CN" w:bidi="ar-SA"/>
    </w:rPr>
  </w:style>
  <w:style w:type="paragraph" w:customStyle="1" w:styleId="56">
    <w:name w:val="正文文字样式"/>
    <w:basedOn w:val="1"/>
    <w:qFormat/>
    <w:uiPriority w:val="0"/>
    <w:pPr>
      <w:spacing w:line="480" w:lineRule="exact"/>
      <w:ind w:left="0" w:leftChars="0" w:right="0" w:rightChars="0" w:firstLineChars="200"/>
    </w:pPr>
    <w:rPr>
      <w:sz w:val="24"/>
      <w:szCs w:val="24"/>
    </w:rPr>
  </w:style>
  <w:style w:type="paragraph" w:customStyle="1" w:styleId="57">
    <w:name w:val="无间隔1"/>
    <w:qFormat/>
    <w:uiPriority w:val="0"/>
    <w:pPr>
      <w:widowControl w:val="0"/>
      <w:suppressAutoHyphens/>
      <w:bidi w:val="0"/>
      <w:jc w:val="both"/>
    </w:pPr>
    <w:rPr>
      <w:rFonts w:ascii="Times New Roman" w:hAnsi="Times New Roman" w:eastAsia="宋体" w:cs="Times New Roman"/>
      <w:color w:val="auto"/>
      <w:kern w:val="2"/>
      <w:sz w:val="21"/>
      <w:szCs w:val="22"/>
      <w:lang w:val="en-US" w:eastAsia="zh-CN" w:bidi="ar-SA"/>
    </w:rPr>
  </w:style>
  <w:style w:type="paragraph" w:customStyle="1" w:styleId="58">
    <w:name w:val="目录 21"/>
    <w:basedOn w:val="1"/>
    <w:next w:val="1"/>
    <w:qFormat/>
    <w:uiPriority w:val="0"/>
    <w:pPr>
      <w:spacing w:before="100" w:after="100"/>
      <w:ind w:leftChars="200" w:right="0" w:rightChars="0" w:firstLine="0" w:firstLineChars="0"/>
    </w:pPr>
  </w:style>
  <w:style w:type="paragraph" w:customStyle="1" w:styleId="59">
    <w:name w:val="列表段落"/>
    <w:basedOn w:val="1"/>
    <w:qFormat/>
    <w:uiPriority w:val="0"/>
    <w:pPr>
      <w:ind w:left="0" w:leftChars="0" w:right="0" w:rightChars="0" w:firstLineChars="200"/>
    </w:pPr>
    <w:rPr>
      <w:rFonts w:ascii="Calibri" w:hAnsi="Calibri" w:eastAsia="宋体" w:cs="Times New Roman"/>
    </w:rPr>
  </w:style>
  <w:style w:type="paragraph" w:customStyle="1" w:styleId="60">
    <w:name w:val="修订"/>
    <w:qFormat/>
    <w:uiPriority w:val="0"/>
    <w:pPr>
      <w:widowControl/>
      <w:suppressAutoHyphens/>
      <w:bidi w:val="0"/>
    </w:pPr>
    <w:rPr>
      <w:rFonts w:ascii="Times New Roman" w:hAnsi="Times New Roman" w:eastAsia="宋体" w:cs="Times New Roman"/>
      <w:color w:val="auto"/>
      <w:kern w:val="2"/>
      <w:sz w:val="21"/>
      <w:szCs w:val="22"/>
      <w:lang w:val="en-US" w:eastAsia="zh-CN" w:bidi="ar-SA"/>
    </w:rPr>
  </w:style>
  <w:style w:type="paragraph" w:customStyle="1" w:styleId="61">
    <w:name w:val="正文文本缩进1"/>
    <w:basedOn w:val="1"/>
    <w:qFormat/>
    <w:uiPriority w:val="0"/>
    <w:pPr>
      <w:spacing w:line="300" w:lineRule="auto"/>
      <w:ind w:left="0" w:right="0" w:firstLine="480"/>
    </w:pPr>
    <w:rPr>
      <w:rFonts w:ascii="宋体" w:hAnsi="宋体" w:cs="宋体"/>
      <w:kern w:val="0"/>
      <w:sz w:val="24"/>
    </w:rPr>
  </w:style>
  <w:style w:type="paragraph" w:customStyle="1" w:styleId="62">
    <w:name w:val="Default"/>
    <w:qFormat/>
    <w:uiPriority w:val="0"/>
    <w:pPr>
      <w:widowControl w:val="0"/>
      <w:suppressAutoHyphens/>
      <w:autoSpaceDE w:val="0"/>
      <w:bidi w:val="0"/>
    </w:pPr>
    <w:rPr>
      <w:rFonts w:ascii="宋体" w:hAnsi="宋体" w:eastAsia="宋体" w:cs="宋体"/>
      <w:color w:val="000000"/>
      <w:sz w:val="24"/>
      <w:szCs w:val="24"/>
      <w:lang w:val="en-US" w:eastAsia="zh-CN" w:bidi="ar-SA"/>
    </w:rPr>
  </w:style>
  <w:style w:type="paragraph" w:customStyle="1" w:styleId="63">
    <w:name w:val="Frame Contents"/>
    <w:basedOn w:val="1"/>
    <w:qFormat/>
    <w:uiPriority w:val="0"/>
  </w:style>
  <w:style w:type="paragraph" w:customStyle="1" w:styleId="64">
    <w:name w:val="Table Contents"/>
    <w:basedOn w:val="1"/>
    <w:qFormat/>
    <w:uiPriority w:val="0"/>
    <w:pPr>
      <w:widowControl w:val="0"/>
      <w:suppressLineNumbers/>
    </w:pPr>
  </w:style>
  <w:style w:type="paragraph" w:customStyle="1" w:styleId="65">
    <w:name w:val="Table Heading"/>
    <w:basedOn w:val="64"/>
    <w:qFormat/>
    <w:uiPriority w:val="0"/>
    <w:pPr>
      <w:suppressLineNumbers/>
      <w:jc w:val="center"/>
    </w:pPr>
    <w:rPr>
      <w:b/>
      <w:b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na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2025-05-23T04:07:00Z</dcterms:created>
  <dc:creator>李敏</dc:creator>
  <cp:lastModifiedBy>马超俊</cp:lastModifiedBy>
  <dcterms:modified xsi:type="dcterms:W3CDTF">2026-07-21T01:20:23Z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DDEDC4C8FDA54295A5D2D1E784B1F4AD_12</vt:lpwstr>
  </property>
  <property fmtid="{D5CDD505-2E9C-101B-9397-08002B2CF9AE}" pid="3" name="KSOProductBuildVer">
    <vt:lpwstr>2052-11.8.2.12309</vt:lpwstr>
  </property>
</Properties>
</file>