
<file path=[Content_Types].xml><?xml version="1.0" encoding="utf-8"?>
<Types xmlns="http://schemas.openxmlformats.org/package/2006/content-types">
  <Default Extension="xml" ContentType="application/xml"/>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ind w:firstLine="86" w:firstLineChars="36"/>
        <w:jc w:val="center"/>
        <w:rPr>
          <w:rFonts w:asciiTheme="minorEastAsia" w:hAnsiTheme="minorEastAsia" w:eastAsiaTheme="minorEastAsia"/>
          <w:b/>
          <w:spacing w:val="30"/>
          <w:sz w:val="48"/>
        </w:rPr>
      </w:pPr>
      <w:bookmarkStart w:id="0" w:name="hp_TitlePage"/>
      <w:r>
        <w:rPr>
          <w:rFonts w:asciiTheme="minorEastAsia" w:hAnsiTheme="minorEastAsia" w:eastAsiaTheme="minorEastAsia"/>
        </w:rPr>
        <w:drawing>
          <wp:anchor distT="0" distB="0" distL="114300" distR="114300" simplePos="0" relativeHeight="251660288" behindDoc="1" locked="0" layoutInCell="1" allowOverlap="1">
            <wp:simplePos x="0" y="0"/>
            <wp:positionH relativeFrom="column">
              <wp:posOffset>-1021080</wp:posOffset>
            </wp:positionH>
            <wp:positionV relativeFrom="paragraph">
              <wp:posOffset>-914400</wp:posOffset>
            </wp:positionV>
            <wp:extent cx="7646670" cy="6086475"/>
            <wp:effectExtent l="0" t="0" r="11430"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6"/>
                    <a:stretch>
                      <a:fillRect/>
                    </a:stretch>
                  </pic:blipFill>
                  <pic:spPr>
                    <a:xfrm>
                      <a:off x="0" y="0"/>
                      <a:ext cx="7646670" cy="6086475"/>
                    </a:xfrm>
                    <a:prstGeom prst="rect">
                      <a:avLst/>
                    </a:prstGeom>
                    <a:noFill/>
                    <a:ln w="9525">
                      <a:noFill/>
                    </a:ln>
                  </pic:spPr>
                </pic:pic>
              </a:graphicData>
            </a:graphic>
          </wp:anchor>
        </w:drawing>
      </w:r>
    </w:p>
    <w:p>
      <w:pPr>
        <w:spacing w:before="156" w:beforeLines="50" w:after="156" w:afterLines="50"/>
        <w:ind w:firstLine="195" w:firstLineChars="36"/>
        <w:jc w:val="center"/>
        <w:rPr>
          <w:rFonts w:asciiTheme="minorEastAsia" w:hAnsiTheme="minorEastAsia" w:eastAsiaTheme="minorEastAsia"/>
          <w:b/>
          <w:spacing w:val="30"/>
          <w:sz w:val="48"/>
        </w:rPr>
      </w:pPr>
    </w:p>
    <w:p>
      <w:pPr>
        <w:spacing w:before="156" w:beforeLines="50" w:after="156" w:afterLines="50"/>
        <w:ind w:firstLine="195" w:firstLineChars="36"/>
        <w:jc w:val="center"/>
        <w:rPr>
          <w:rFonts w:asciiTheme="minorEastAsia" w:hAnsiTheme="minorEastAsia" w:eastAsiaTheme="minorEastAsia"/>
          <w:b/>
          <w:spacing w:val="30"/>
          <w:sz w:val="48"/>
        </w:rPr>
      </w:pPr>
    </w:p>
    <w:p>
      <w:pPr>
        <w:spacing w:before="156" w:beforeLines="50" w:after="156" w:afterLines="50"/>
        <w:jc w:val="both"/>
        <w:rPr>
          <w:rFonts w:hint="eastAsia" w:asciiTheme="minorEastAsia" w:hAnsiTheme="minorEastAsia" w:eastAsiaTheme="minorEastAsia"/>
          <w:b/>
          <w:sz w:val="44"/>
          <w:szCs w:val="32"/>
          <w:lang w:val="en-US" w:eastAsia="zh-CN"/>
        </w:rPr>
      </w:pPr>
      <w:r>
        <w:rPr>
          <w:rFonts w:asciiTheme="minorEastAsia" w:hAnsiTheme="minorEastAsia" w:eastAsiaTheme="minorEastAsia"/>
          <w:b/>
          <w:sz w:val="44"/>
          <w:szCs w:val="32"/>
        </w:rPr>
        <mc:AlternateContent>
          <mc:Choice Requires="wpg">
            <w:drawing>
              <wp:anchor distT="0" distB="0" distL="114300" distR="114300" simplePos="0" relativeHeight="251661312" behindDoc="0" locked="0" layoutInCell="1" allowOverlap="1">
                <wp:simplePos x="0" y="0"/>
                <wp:positionH relativeFrom="column">
                  <wp:posOffset>-539750</wp:posOffset>
                </wp:positionH>
                <wp:positionV relativeFrom="paragraph">
                  <wp:posOffset>57785</wp:posOffset>
                </wp:positionV>
                <wp:extent cx="6518275" cy="1929130"/>
                <wp:effectExtent l="0" t="4445" r="15875" b="9525"/>
                <wp:wrapNone/>
                <wp:docPr id="10" name="组合 2"/>
                <wp:cNvGraphicFramePr/>
                <a:graphic xmlns:a="http://schemas.openxmlformats.org/drawingml/2006/main">
                  <a:graphicData uri="http://schemas.microsoft.com/office/word/2010/wordprocessingGroup">
                    <wpg:wgp>
                      <wpg:cNvGrpSpPr/>
                      <wpg:grpSpPr>
                        <a:xfrm>
                          <a:off x="0" y="0"/>
                          <a:ext cx="6518275" cy="1929130"/>
                          <a:chOff x="-5" y="6276"/>
                          <a:chExt cx="10265" cy="1404"/>
                        </a:xfrm>
                      </wpg:grpSpPr>
                      <wps:wsp>
                        <wps:cNvPr id="7" name="直接连接符 7"/>
                        <wps:cNvCnPr/>
                        <wps:spPr>
                          <a:xfrm>
                            <a:off x="-5" y="6276"/>
                            <a:ext cx="10260" cy="0"/>
                          </a:xfrm>
                          <a:prstGeom prst="line">
                            <a:avLst/>
                          </a:prstGeom>
                          <a:ln w="9525" cap="flat" cmpd="sng">
                            <a:solidFill>
                              <a:srgbClr val="000000"/>
                            </a:solidFill>
                            <a:prstDash val="solid"/>
                            <a:headEnd type="none" w="med" len="med"/>
                            <a:tailEnd type="none" w="med" len="med"/>
                          </a:ln>
                        </wps:spPr>
                        <wps:bodyPr/>
                      </wps:wsp>
                      <wps:wsp>
                        <wps:cNvPr id="8" name="直接连接符 8"/>
                        <wps:cNvCnPr/>
                        <wps:spPr>
                          <a:xfrm>
                            <a:off x="10260" y="6276"/>
                            <a:ext cx="0" cy="1404"/>
                          </a:xfrm>
                          <a:prstGeom prst="line">
                            <a:avLst/>
                          </a:prstGeom>
                          <a:ln w="9525" cap="flat" cmpd="sng">
                            <a:solidFill>
                              <a:srgbClr val="000000"/>
                            </a:solidFill>
                            <a:prstDash val="solid"/>
                            <a:headEnd type="none" w="med" len="med"/>
                            <a:tailEnd type="none" w="med" len="med"/>
                          </a:ln>
                        </wps:spPr>
                        <wps:bodyPr/>
                      </wps:wsp>
                      <wps:wsp>
                        <wps:cNvPr id="9" name="直接连接符 9"/>
                        <wps:cNvCnPr/>
                        <wps:spPr>
                          <a:xfrm flipH="1">
                            <a:off x="4680" y="7680"/>
                            <a:ext cx="5580" cy="0"/>
                          </a:xfrm>
                          <a:prstGeom prst="line">
                            <a:avLst/>
                          </a:prstGeom>
                          <a:ln w="9525" cap="flat" cmpd="sng">
                            <a:solidFill>
                              <a:srgbClr val="000000"/>
                            </a:solidFill>
                            <a:prstDash val="solid"/>
                            <a:headEnd type="none" w="med" len="med"/>
                            <a:tailEnd type="none" w="med" len="med"/>
                          </a:ln>
                        </wps:spPr>
                        <wps:bodyPr/>
                      </wps:wsp>
                    </wpg:wgp>
                  </a:graphicData>
                </a:graphic>
              </wp:anchor>
            </w:drawing>
          </mc:Choice>
          <mc:Fallback>
            <w:pict>
              <v:group id="组合 2" o:spid="_x0000_s1026" o:spt="203" style="position:absolute;left:0pt;margin-left:-42.5pt;margin-top:4.55pt;height:151.9pt;width:513.25pt;z-index:251661312;mso-width-relative:page;mso-height-relative:page;" coordorigin="-5,6276" coordsize="10265,1404" o:gfxdata="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P3+ztnaAAAACQEAAA8AAAAAAAAAAQAg&#10;AAAAIgAAAGRycy9kb3ducmV2LnhtbFBLAQIUABQAAAAIAIdO4kCVK5XRtwIAABAJAAAOAAAAAAAA&#10;AAEAIAAAACkBAABkcnMvZTJvRG9jLnhtbFBLBQYAAAAABgAGAFkBAABSBgAAAAA=&#10;">
                <o:lock v:ext="edit" aspectratio="f"/>
                <v:line id="_x0000_s1026" o:spid="_x0000_s1026" o:spt="20" style="position:absolute;left:-5;top:6276;height:0;width:10260;" filled="f" stroked="t" coordsize="21600,21600" o:gfxdata="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ulsmu8AAAA&#10;2g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_x0000_s1026" o:spid="_x0000_s1026" o:spt="20" style="position:absolute;left:10260;top:6276;height:1404;width:0;" filled="f" stroked="t" coordsize="21600,21600" o:gfxdata="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jomGbgAAADaAAAA&#10;DwAAAAAAAAABACAAAAAiAAAAZHJzL2Rvd25yZXYueG1sUEsBAhQAFAAAAAgAh07iQDMvBZ47AAAA&#10;OQAAABAAAAAAAAAAAQAgAAAABwEAAGRycy9zaGFwZXhtbC54bWxQSwUGAAAAAAYABgBbAQAAsQMA&#10;AAAA&#10;">
                  <v:fill on="f" focussize="0,0"/>
                  <v:stroke color="#000000" joinstyle="round"/>
                  <v:imagedata o:title=""/>
                  <o:lock v:ext="edit" aspectratio="f"/>
                </v:line>
                <v:line id="_x0000_s1026" o:spid="_x0000_s1026" o:spt="20" style="position:absolute;left:4680;top:7680;flip:x;height:0;width:5580;" filled="f" stroked="t" coordsize="21600,21600" o:gfxdata="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7TptO8AAAA&#10;2gAAAA8AAAAAAAAAAQAgAAAAIgAAAGRycy9kb3ducmV2LnhtbFBLAQIUABQAAAAIAIdO4kAzLwWe&#10;OwAAADkAAAAQAAAAAAAAAAEAIAAAAAsBAABkcnMvc2hhcGV4bWwueG1sUEsFBgAAAAAGAAYAWwEA&#10;ALUDAAAAAA==&#10;">
                  <v:fill on="f" focussize="0,0"/>
                  <v:stroke color="#000000" joinstyle="round"/>
                  <v:imagedata o:title=""/>
                  <o:lock v:ext="edit" aspectratio="f"/>
                </v:line>
              </v:group>
            </w:pict>
          </mc:Fallback>
        </mc:AlternateContent>
      </w:r>
      <w:r>
        <w:rPr>
          <w:rFonts w:hint="eastAsia" w:asciiTheme="minorEastAsia" w:hAnsiTheme="minorEastAsia" w:eastAsiaTheme="minorEastAsia"/>
          <w:b/>
          <w:sz w:val="48"/>
          <w:szCs w:val="36"/>
        </w:rPr>
        <w:t>2026年南方电网数字电网集团信息通信科技有限公司网络安全基础软硬件采购第一批</w:t>
      </w:r>
      <w:r>
        <w:rPr>
          <w:rFonts w:hint="eastAsia" w:asciiTheme="minorEastAsia" w:hAnsiTheme="minorEastAsia" w:eastAsiaTheme="minorEastAsia"/>
          <w:b/>
          <w:sz w:val="48"/>
          <w:szCs w:val="36"/>
          <w:lang w:val="en-US" w:eastAsia="zh-CN"/>
        </w:rPr>
        <w:t>投标</w:t>
      </w:r>
      <w:r>
        <w:rPr>
          <w:rFonts w:hint="eastAsia" w:asciiTheme="minorEastAsia" w:hAnsiTheme="minorEastAsia" w:eastAsiaTheme="minorEastAsia"/>
          <w:b/>
          <w:sz w:val="48"/>
          <w:szCs w:val="36"/>
        </w:rPr>
        <w:t>寻源项目</w:t>
      </w:r>
    </w:p>
    <w:p>
      <w:pPr>
        <w:spacing w:before="156" w:beforeLines="50" w:after="156" w:afterLines="50"/>
        <w:jc w:val="right"/>
        <w:rPr>
          <w:rFonts w:hint="default" w:asciiTheme="minorEastAsia" w:hAnsiTheme="minorEastAsia" w:eastAsiaTheme="minorEastAsia"/>
          <w:b/>
          <w:sz w:val="44"/>
          <w:szCs w:val="32"/>
          <w:lang w:val="en-US" w:eastAsia="zh-CN"/>
        </w:rPr>
      </w:pPr>
      <w:r>
        <w:rPr>
          <w:rFonts w:hint="eastAsia" w:asciiTheme="minorEastAsia" w:hAnsiTheme="minorEastAsia" w:eastAsiaTheme="minorEastAsia" w:cstheme="minorBidi"/>
          <w:b/>
          <w:bCs w:val="0"/>
          <w:spacing w:val="0"/>
          <w:sz w:val="52"/>
          <w:szCs w:val="52"/>
        </w:rPr>
        <w:t>技术规范书</w:t>
      </w:r>
    </w:p>
    <w:p>
      <w:pPr>
        <w:spacing w:before="156" w:beforeLines="50" w:after="156" w:afterLines="50"/>
        <w:jc w:val="right"/>
        <w:rPr>
          <w:rFonts w:asciiTheme="minorEastAsia" w:hAnsiTheme="minorEastAsia" w:eastAsiaTheme="minorEastAsia"/>
        </w:rPr>
      </w:pPr>
    </w:p>
    <w:p>
      <w:pPr>
        <w:spacing w:before="156" w:beforeLines="50" w:after="156" w:afterLines="50"/>
        <w:jc w:val="center"/>
        <w:rPr>
          <w:rFonts w:asciiTheme="minorEastAsia" w:hAnsiTheme="minorEastAsia" w:eastAsiaTheme="minorEastAsia"/>
        </w:rPr>
      </w:pPr>
    </w:p>
    <w:p>
      <w:pPr>
        <w:spacing w:before="156" w:beforeLines="50" w:after="156" w:afterLines="50"/>
        <w:jc w:val="center"/>
        <w:rPr>
          <w:rFonts w:asciiTheme="minorEastAsia" w:hAnsiTheme="minorEastAsia" w:eastAsiaTheme="minorEastAsia"/>
        </w:rPr>
      </w:pPr>
    </w:p>
    <w:p>
      <w:pPr>
        <w:spacing w:before="156" w:beforeLines="50" w:after="156" w:afterLines="50"/>
        <w:jc w:val="center"/>
        <w:rPr>
          <w:rFonts w:cs="黑体" w:asciiTheme="minorEastAsia" w:hAnsiTheme="minorEastAsia" w:eastAsiaTheme="minorEastAsia"/>
          <w:sz w:val="32"/>
          <w:szCs w:val="32"/>
        </w:rPr>
      </w:pPr>
    </w:p>
    <w:p>
      <w:pPr>
        <w:spacing w:before="156" w:beforeLines="50" w:after="156" w:afterLines="50"/>
        <w:jc w:val="center"/>
        <w:rPr>
          <w:rFonts w:cs="黑体" w:asciiTheme="minorEastAsia" w:hAnsiTheme="minorEastAsia" w:eastAsiaTheme="minorEastAsia"/>
          <w:sz w:val="32"/>
          <w:szCs w:val="32"/>
        </w:rPr>
      </w:pPr>
    </w:p>
    <w:p>
      <w:pPr>
        <w:spacing w:before="156" w:beforeLines="50" w:after="156" w:afterLines="50"/>
        <w:jc w:val="both"/>
        <w:rPr>
          <w:rFonts w:cs="黑体" w:asciiTheme="minorEastAsia" w:hAnsiTheme="minorEastAsia" w:eastAsiaTheme="minorEastAsia"/>
          <w:sz w:val="32"/>
          <w:szCs w:val="32"/>
        </w:rPr>
      </w:pPr>
    </w:p>
    <w:tbl>
      <w:tblPr>
        <w:tblStyle w:val="23"/>
        <w:tblW w:w="8908" w:type="dxa"/>
        <w:tblInd w:w="0" w:type="dxa"/>
        <w:tblLayout w:type="fixed"/>
        <w:tblCellMar>
          <w:top w:w="0" w:type="dxa"/>
          <w:left w:w="28" w:type="dxa"/>
          <w:bottom w:w="0" w:type="dxa"/>
          <w:right w:w="28" w:type="dxa"/>
        </w:tblCellMar>
      </w:tblPr>
      <w:tblGrid>
        <w:gridCol w:w="8908"/>
      </w:tblGrid>
      <w:tr>
        <w:tblPrEx>
          <w:tblCellMar>
            <w:top w:w="0" w:type="dxa"/>
            <w:left w:w="28" w:type="dxa"/>
            <w:bottom w:w="0" w:type="dxa"/>
            <w:right w:w="28" w:type="dxa"/>
          </w:tblCellMar>
        </w:tblPrEx>
        <w:trPr>
          <w:cantSplit/>
          <w:trHeight w:val="540" w:hRule="atLeast"/>
        </w:trPr>
        <w:tc>
          <w:tcPr>
            <w:tcW w:w="8908" w:type="dxa"/>
            <w:vAlign w:val="center"/>
          </w:tcPr>
          <w:p>
            <w:pPr>
              <w:spacing w:before="156" w:beforeLines="50" w:after="156" w:afterLines="50"/>
              <w:jc w:val="center"/>
              <w:rPr>
                <w:rFonts w:cs="黑体" w:asciiTheme="minorEastAsia" w:hAnsiTheme="minorEastAsia" w:eastAsiaTheme="minorEastAsia"/>
                <w:sz w:val="32"/>
                <w:szCs w:val="32"/>
              </w:rPr>
            </w:pPr>
            <w:r>
              <w:rPr>
                <w:rFonts w:hint="eastAsia" w:cs="黑体" w:asciiTheme="minorEastAsia" w:hAnsiTheme="minorEastAsia" w:eastAsiaTheme="minorEastAsia"/>
                <w:sz w:val="32"/>
                <w:szCs w:val="32"/>
              </w:rPr>
              <w:t>南方电网数字电网集团信息通信科技有限公司</w:t>
            </w:r>
          </w:p>
        </w:tc>
      </w:tr>
      <w:tr>
        <w:tblPrEx>
          <w:tblCellMar>
            <w:top w:w="0" w:type="dxa"/>
            <w:left w:w="28" w:type="dxa"/>
            <w:bottom w:w="0" w:type="dxa"/>
            <w:right w:w="28" w:type="dxa"/>
          </w:tblCellMar>
        </w:tblPrEx>
        <w:trPr>
          <w:cantSplit/>
          <w:trHeight w:val="1213" w:hRule="atLeast"/>
        </w:trPr>
        <w:tc>
          <w:tcPr>
            <w:tcW w:w="8908" w:type="dxa"/>
            <w:vAlign w:val="center"/>
          </w:tcPr>
          <w:p>
            <w:pPr>
              <w:spacing w:before="156" w:beforeLines="50" w:after="156" w:afterLines="50"/>
              <w:jc w:val="center"/>
              <w:rPr>
                <w:rFonts w:cs="黑体" w:asciiTheme="minorEastAsia" w:hAnsiTheme="minorEastAsia" w:eastAsiaTheme="minorEastAsia"/>
                <w:spacing w:val="20"/>
                <w:sz w:val="32"/>
                <w:szCs w:val="32"/>
              </w:rPr>
            </w:pPr>
            <w:r>
              <w:rPr>
                <w:rFonts w:hint="eastAsia" w:cs="黑体" w:asciiTheme="minorEastAsia" w:hAnsiTheme="minorEastAsia" w:eastAsiaTheme="minorEastAsia"/>
                <w:spacing w:val="20"/>
                <w:sz w:val="32"/>
                <w:szCs w:val="32"/>
              </w:rPr>
              <w:t>202</w:t>
            </w:r>
            <w:r>
              <w:rPr>
                <w:rFonts w:hint="eastAsia" w:cs="黑体" w:asciiTheme="minorEastAsia" w:hAnsiTheme="minorEastAsia" w:eastAsiaTheme="minorEastAsia"/>
                <w:spacing w:val="20"/>
                <w:sz w:val="32"/>
                <w:szCs w:val="32"/>
                <w:lang w:val="en-US" w:eastAsia="zh-CN"/>
              </w:rPr>
              <w:t>6</w:t>
            </w:r>
            <w:r>
              <w:rPr>
                <w:rFonts w:hint="eastAsia" w:cs="黑体" w:asciiTheme="minorEastAsia" w:hAnsiTheme="minorEastAsia" w:eastAsiaTheme="minorEastAsia"/>
                <w:spacing w:val="20"/>
                <w:sz w:val="32"/>
                <w:szCs w:val="32"/>
              </w:rPr>
              <w:t>年</w:t>
            </w:r>
            <w:r>
              <w:rPr>
                <w:rFonts w:hint="eastAsia" w:cs="黑体" w:asciiTheme="minorEastAsia" w:hAnsiTheme="minorEastAsia" w:eastAsiaTheme="minorEastAsia"/>
                <w:spacing w:val="20"/>
                <w:sz w:val="32"/>
                <w:szCs w:val="32"/>
                <w:lang w:val="en-US" w:eastAsia="zh-CN"/>
              </w:rPr>
              <w:t>7</w:t>
            </w:r>
            <w:r>
              <w:rPr>
                <w:rFonts w:hint="eastAsia" w:cs="黑体" w:asciiTheme="minorEastAsia" w:hAnsiTheme="minorEastAsia" w:eastAsiaTheme="minorEastAsia"/>
                <w:spacing w:val="20"/>
                <w:sz w:val="32"/>
                <w:szCs w:val="32"/>
              </w:rPr>
              <w:t>月</w:t>
            </w:r>
          </w:p>
        </w:tc>
      </w:tr>
    </w:tbl>
    <w:p>
      <w:pPr>
        <w:spacing w:before="156" w:beforeLines="50" w:after="156" w:afterLines="50"/>
        <w:rPr>
          <w:rFonts w:asciiTheme="minorEastAsia" w:hAnsiTheme="minorEastAsia" w:eastAsiaTheme="minorEastAsia"/>
          <w:highlight w:val="none"/>
        </w:rPr>
      </w:pPr>
    </w:p>
    <w:p>
      <w:pPr>
        <w:spacing w:before="156" w:beforeLines="50" w:after="156" w:afterLines="50"/>
        <w:jc w:val="both"/>
        <w:rPr>
          <w:rFonts w:cs="黑体" w:asciiTheme="minorEastAsia" w:hAnsiTheme="minorEastAsia" w:eastAsiaTheme="minorEastAsia"/>
          <w:sz w:val="32"/>
          <w:szCs w:val="32"/>
          <w:highlight w:val="none"/>
        </w:rPr>
      </w:pPr>
    </w:p>
    <w:p>
      <w:pPr>
        <w:spacing w:before="156" w:beforeLines="50" w:after="156" w:afterLines="50"/>
        <w:ind w:firstLine="480"/>
        <w:rPr>
          <w:rFonts w:asciiTheme="minorEastAsia" w:hAnsiTheme="minorEastAsia" w:eastAsiaTheme="minorEastAsia"/>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18" w:right="1134" w:bottom="1418" w:left="1588" w:header="851" w:footer="992" w:gutter="0"/>
          <w:pgBorders>
            <w:top w:val="none" w:sz="0" w:space="0"/>
            <w:left w:val="none" w:sz="0" w:space="0"/>
            <w:bottom w:val="none" w:sz="0" w:space="0"/>
            <w:right w:val="none" w:sz="0" w:space="0"/>
          </w:pgBorders>
          <w:cols w:space="425" w:num="1"/>
          <w:docGrid w:type="lines" w:linePitch="312" w:charSpace="0"/>
        </w:sectPr>
      </w:pPr>
    </w:p>
    <w:bookmarkEnd w:id="0"/>
    <w:p>
      <w:pPr>
        <w:spacing w:before="156" w:beforeLines="50" w:after="156" w:afterLines="50"/>
        <w:jc w:val="center"/>
        <w:rPr>
          <w:rFonts w:asciiTheme="minorEastAsia" w:hAnsiTheme="minorEastAsia" w:eastAsiaTheme="minorEastAsia"/>
          <w:b/>
          <w:sz w:val="32"/>
          <w:szCs w:val="32"/>
          <w:highlight w:val="none"/>
        </w:rPr>
      </w:pPr>
      <w:r>
        <w:rPr>
          <w:rFonts w:asciiTheme="minorEastAsia" w:hAnsiTheme="minorEastAsia" w:eastAsiaTheme="minorEastAsia"/>
          <w:b/>
          <w:sz w:val="32"/>
          <w:szCs w:val="32"/>
          <w:highlight w:val="none"/>
        </w:rPr>
        <w:t>目录</w:t>
      </w:r>
    </w:p>
    <w:p>
      <w:pPr>
        <w:pStyle w:val="20"/>
        <w:tabs>
          <w:tab w:val="right" w:leader="dot" w:pos="8306"/>
        </w:tabs>
      </w:pP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TOC \o "1-3" \h \z \u </w:instrText>
      </w:r>
      <w:r>
        <w:rPr>
          <w:rFonts w:asciiTheme="minorEastAsia" w:hAnsiTheme="minorEastAsia" w:eastAsiaTheme="minorEastAsia"/>
          <w:highlight w:val="none"/>
        </w:rPr>
        <w:fldChar w:fldCharType="separate"/>
      </w: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HYPERLINK \l _Toc6876 </w:instrText>
      </w:r>
      <w:r>
        <w:rPr>
          <w:rFonts w:asciiTheme="minorEastAsia" w:hAnsiTheme="minorEastAsia" w:eastAsiaTheme="minorEastAsia"/>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1.1. </w:t>
      </w:r>
      <w:r>
        <w:rPr>
          <w:rFonts w:hint="eastAsia"/>
          <w:highlight w:val="none"/>
        </w:rPr>
        <w:t>项目背景</w:t>
      </w:r>
      <w:r>
        <w:tab/>
      </w:r>
      <w:r>
        <w:fldChar w:fldCharType="begin"/>
      </w:r>
      <w:r>
        <w:instrText xml:space="preserve"> PAGEREF _Toc6876 \h </w:instrText>
      </w:r>
      <w:r>
        <w:fldChar w:fldCharType="separate"/>
      </w:r>
      <w:r>
        <w:t>1</w:t>
      </w:r>
      <w:r>
        <w:fldChar w:fldCharType="end"/>
      </w:r>
      <w:r>
        <w:rPr>
          <w:rFonts w:asciiTheme="minorEastAsia" w:hAnsiTheme="minorEastAsia" w:eastAsiaTheme="minorEastAsia"/>
          <w:highlight w:val="none"/>
        </w:rPr>
        <w:fldChar w:fldCharType="end"/>
      </w:r>
    </w:p>
    <w:p>
      <w:pPr>
        <w:pStyle w:val="20"/>
        <w:tabs>
          <w:tab w:val="right" w:leader="dot" w:pos="8306"/>
        </w:tabs>
      </w:pP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HYPERLINK \l _Toc16 </w:instrText>
      </w:r>
      <w:r>
        <w:rPr>
          <w:rFonts w:asciiTheme="minorEastAsia" w:hAnsiTheme="minorEastAsia" w:eastAsiaTheme="minorEastAsia"/>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1.2. </w:t>
      </w:r>
      <w:r>
        <w:rPr>
          <w:rFonts w:hint="eastAsia"/>
          <w:highlight w:val="none"/>
        </w:rPr>
        <w:t>项目现状</w:t>
      </w:r>
      <w:r>
        <w:tab/>
      </w:r>
      <w:r>
        <w:fldChar w:fldCharType="begin"/>
      </w:r>
      <w:r>
        <w:instrText xml:space="preserve"> PAGEREF _Toc16 \h </w:instrText>
      </w:r>
      <w:r>
        <w:fldChar w:fldCharType="separate"/>
      </w:r>
      <w:r>
        <w:t>1</w:t>
      </w:r>
      <w:r>
        <w:fldChar w:fldCharType="end"/>
      </w:r>
      <w:r>
        <w:rPr>
          <w:rFonts w:asciiTheme="minorEastAsia" w:hAnsiTheme="minorEastAsia" w:eastAsiaTheme="minorEastAsia"/>
          <w:highlight w:val="none"/>
        </w:rPr>
        <w:fldChar w:fldCharType="end"/>
      </w:r>
    </w:p>
    <w:p>
      <w:pPr>
        <w:pStyle w:val="14"/>
        <w:tabs>
          <w:tab w:val="right" w:leader="dot" w:pos="8306"/>
        </w:tabs>
      </w:pP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HYPERLINK \l _Toc5482 </w:instrText>
      </w:r>
      <w:r>
        <w:rPr>
          <w:rFonts w:asciiTheme="minorEastAsia" w:hAnsiTheme="minorEastAsia" w:eastAsiaTheme="minorEastAsia"/>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1.2.1. </w:t>
      </w:r>
      <w:r>
        <w:rPr>
          <w:rFonts w:hint="eastAsia"/>
          <w:highlight w:val="none"/>
        </w:rPr>
        <w:t>现状分析</w:t>
      </w:r>
      <w:r>
        <w:tab/>
      </w:r>
      <w:r>
        <w:fldChar w:fldCharType="begin"/>
      </w:r>
      <w:r>
        <w:instrText xml:space="preserve"> PAGEREF _Toc5482 \h </w:instrText>
      </w:r>
      <w:r>
        <w:fldChar w:fldCharType="separate"/>
      </w:r>
      <w:r>
        <w:t>1</w:t>
      </w:r>
      <w:r>
        <w:fldChar w:fldCharType="end"/>
      </w:r>
      <w:r>
        <w:rPr>
          <w:rFonts w:asciiTheme="minorEastAsia" w:hAnsiTheme="minorEastAsia" w:eastAsiaTheme="minorEastAsia"/>
          <w:highlight w:val="none"/>
        </w:rPr>
        <w:fldChar w:fldCharType="end"/>
      </w:r>
    </w:p>
    <w:p>
      <w:pPr>
        <w:pStyle w:val="20"/>
        <w:tabs>
          <w:tab w:val="right" w:leader="dot" w:pos="8306"/>
        </w:tabs>
      </w:pP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HYPERLINK \l _Toc20141 </w:instrText>
      </w:r>
      <w:r>
        <w:rPr>
          <w:rFonts w:asciiTheme="minorEastAsia" w:hAnsiTheme="minorEastAsia" w:eastAsiaTheme="minorEastAsia"/>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1.3. </w:t>
      </w:r>
      <w:r>
        <w:rPr>
          <w:rFonts w:hint="eastAsia"/>
          <w:highlight w:val="none"/>
        </w:rPr>
        <w:t>项目目标</w:t>
      </w:r>
      <w:r>
        <w:tab/>
      </w:r>
      <w:r>
        <w:fldChar w:fldCharType="begin"/>
      </w:r>
      <w:r>
        <w:instrText xml:space="preserve"> PAGEREF _Toc20141 \h </w:instrText>
      </w:r>
      <w:r>
        <w:fldChar w:fldCharType="separate"/>
      </w:r>
      <w:r>
        <w:t>2</w:t>
      </w:r>
      <w:r>
        <w:fldChar w:fldCharType="end"/>
      </w:r>
      <w:r>
        <w:rPr>
          <w:rFonts w:asciiTheme="minorEastAsia" w:hAnsiTheme="minorEastAsia" w:eastAsiaTheme="minorEastAsia"/>
          <w:highlight w:val="none"/>
        </w:rPr>
        <w:fldChar w:fldCharType="end"/>
      </w:r>
    </w:p>
    <w:p>
      <w:pPr>
        <w:pStyle w:val="20"/>
        <w:tabs>
          <w:tab w:val="right" w:leader="dot" w:pos="8306"/>
        </w:tabs>
      </w:pP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HYPERLINK \l _Toc7770 </w:instrText>
      </w:r>
      <w:r>
        <w:rPr>
          <w:rFonts w:asciiTheme="minorEastAsia" w:hAnsiTheme="minorEastAsia" w:eastAsiaTheme="minorEastAsia"/>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1.4. </w:t>
      </w:r>
      <w:r>
        <w:rPr>
          <w:rFonts w:hint="eastAsia"/>
          <w:highlight w:val="none"/>
        </w:rPr>
        <w:t>项目依据</w:t>
      </w:r>
      <w:r>
        <w:tab/>
      </w:r>
      <w:r>
        <w:fldChar w:fldCharType="begin"/>
      </w:r>
      <w:r>
        <w:instrText xml:space="preserve"> PAGEREF _Toc7770 \h </w:instrText>
      </w:r>
      <w:r>
        <w:fldChar w:fldCharType="separate"/>
      </w:r>
      <w:r>
        <w:t>2</w:t>
      </w:r>
      <w:r>
        <w:fldChar w:fldCharType="end"/>
      </w:r>
      <w:r>
        <w:rPr>
          <w:rFonts w:asciiTheme="minorEastAsia" w:hAnsiTheme="minorEastAsia" w:eastAsiaTheme="minorEastAsia"/>
          <w:highlight w:val="none"/>
        </w:rPr>
        <w:fldChar w:fldCharType="end"/>
      </w:r>
    </w:p>
    <w:p>
      <w:pPr>
        <w:pStyle w:val="19"/>
        <w:tabs>
          <w:tab w:val="right" w:leader="dot" w:pos="8306"/>
        </w:tabs>
      </w:pP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HYPERLINK \l _Toc18079 </w:instrText>
      </w:r>
      <w:r>
        <w:rPr>
          <w:rFonts w:asciiTheme="minorEastAsia" w:hAnsiTheme="minorEastAsia" w:eastAsiaTheme="minorEastAsia"/>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2. </w:t>
      </w:r>
      <w:r>
        <w:rPr>
          <w:rFonts w:hint="eastAsia"/>
          <w:highlight w:val="none"/>
        </w:rPr>
        <w:t>项目内容及要求</w:t>
      </w:r>
      <w:r>
        <w:tab/>
      </w:r>
      <w:r>
        <w:fldChar w:fldCharType="begin"/>
      </w:r>
      <w:r>
        <w:instrText xml:space="preserve"> PAGEREF _Toc18079 \h </w:instrText>
      </w:r>
      <w:r>
        <w:fldChar w:fldCharType="separate"/>
      </w:r>
      <w:r>
        <w:t>3</w:t>
      </w:r>
      <w:r>
        <w:fldChar w:fldCharType="end"/>
      </w:r>
      <w:r>
        <w:rPr>
          <w:rFonts w:asciiTheme="minorEastAsia" w:hAnsiTheme="minorEastAsia" w:eastAsiaTheme="minorEastAsia"/>
          <w:highlight w:val="none"/>
        </w:rPr>
        <w:fldChar w:fldCharType="end"/>
      </w:r>
    </w:p>
    <w:p>
      <w:pPr>
        <w:pStyle w:val="20"/>
        <w:tabs>
          <w:tab w:val="right" w:leader="dot" w:pos="8306"/>
        </w:tabs>
      </w:pP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HYPERLINK \l _Toc10973 </w:instrText>
      </w:r>
      <w:r>
        <w:rPr>
          <w:rFonts w:asciiTheme="minorEastAsia" w:hAnsiTheme="minorEastAsia" w:eastAsiaTheme="minorEastAsia"/>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2.1. </w:t>
      </w:r>
      <w:r>
        <w:rPr>
          <w:rFonts w:hint="eastAsia"/>
          <w:highlight w:val="none"/>
        </w:rPr>
        <w:t>软硬件资源</w:t>
      </w:r>
      <w:r>
        <w:rPr>
          <w:rFonts w:hint="eastAsia"/>
          <w:highlight w:val="none"/>
          <w:lang w:val="en-US" w:eastAsia="zh-CN"/>
        </w:rPr>
        <w:t>需</w:t>
      </w:r>
      <w:r>
        <w:rPr>
          <w:rFonts w:hint="eastAsia"/>
          <w:highlight w:val="none"/>
        </w:rPr>
        <w:t>求</w:t>
      </w:r>
      <w:r>
        <w:tab/>
      </w:r>
      <w:r>
        <w:fldChar w:fldCharType="begin"/>
      </w:r>
      <w:r>
        <w:instrText xml:space="preserve"> PAGEREF _Toc10973 \h </w:instrText>
      </w:r>
      <w:r>
        <w:fldChar w:fldCharType="separate"/>
      </w:r>
      <w:r>
        <w:t>3</w:t>
      </w:r>
      <w:r>
        <w:fldChar w:fldCharType="end"/>
      </w:r>
      <w:r>
        <w:rPr>
          <w:rFonts w:asciiTheme="minorEastAsia" w:hAnsiTheme="minorEastAsia" w:eastAsiaTheme="minorEastAsia"/>
          <w:highlight w:val="none"/>
        </w:rPr>
        <w:fldChar w:fldCharType="end"/>
      </w:r>
    </w:p>
    <w:p>
      <w:pPr>
        <w:pStyle w:val="14"/>
        <w:tabs>
          <w:tab w:val="right" w:leader="dot" w:pos="8306"/>
        </w:tabs>
      </w:pP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HYPERLINK \l _Toc15920 </w:instrText>
      </w:r>
      <w:r>
        <w:rPr>
          <w:rFonts w:asciiTheme="minorEastAsia" w:hAnsiTheme="minorEastAsia" w:eastAsiaTheme="minorEastAsia"/>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2.1.1. </w:t>
      </w:r>
      <w:r>
        <w:rPr>
          <w:rFonts w:hint="eastAsia"/>
          <w:highlight w:val="none"/>
        </w:rPr>
        <w:t>软硬件资源需求</w:t>
      </w:r>
      <w:r>
        <w:rPr>
          <w:rFonts w:hint="eastAsia"/>
          <w:highlight w:val="none"/>
          <w:lang w:val="en-US" w:eastAsia="zh-CN"/>
        </w:rPr>
        <w:t>清单</w:t>
      </w:r>
      <w:r>
        <w:tab/>
      </w:r>
      <w:r>
        <w:fldChar w:fldCharType="begin"/>
      </w:r>
      <w:r>
        <w:instrText xml:space="preserve"> PAGEREF _Toc15920 \h </w:instrText>
      </w:r>
      <w:r>
        <w:fldChar w:fldCharType="separate"/>
      </w:r>
      <w:r>
        <w:t>3</w:t>
      </w:r>
      <w:r>
        <w:fldChar w:fldCharType="end"/>
      </w:r>
      <w:r>
        <w:rPr>
          <w:rFonts w:asciiTheme="minorEastAsia" w:hAnsiTheme="minorEastAsia" w:eastAsiaTheme="minorEastAsia"/>
          <w:highlight w:val="none"/>
        </w:rPr>
        <w:fldChar w:fldCharType="end"/>
      </w:r>
    </w:p>
    <w:p>
      <w:pPr>
        <w:pStyle w:val="14"/>
        <w:tabs>
          <w:tab w:val="right" w:leader="dot" w:pos="8306"/>
        </w:tabs>
      </w:pP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HYPERLINK \l _Toc32386 </w:instrText>
      </w:r>
      <w:r>
        <w:rPr>
          <w:rFonts w:asciiTheme="minorEastAsia" w:hAnsiTheme="minorEastAsia" w:eastAsiaTheme="minorEastAsia"/>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2.1.2. </w:t>
      </w:r>
      <w:r>
        <w:rPr>
          <w:rFonts w:hint="eastAsia"/>
          <w:highlight w:val="none"/>
        </w:rPr>
        <w:t>参数及功能要求</w:t>
      </w:r>
      <w:r>
        <w:tab/>
      </w:r>
      <w:r>
        <w:fldChar w:fldCharType="begin"/>
      </w:r>
      <w:r>
        <w:instrText xml:space="preserve"> PAGEREF _Toc32386 \h </w:instrText>
      </w:r>
      <w:r>
        <w:fldChar w:fldCharType="separate"/>
      </w:r>
      <w:r>
        <w:t>5</w:t>
      </w:r>
      <w:r>
        <w:fldChar w:fldCharType="end"/>
      </w:r>
      <w:r>
        <w:rPr>
          <w:rFonts w:asciiTheme="minorEastAsia" w:hAnsiTheme="minorEastAsia" w:eastAsiaTheme="minorEastAsia"/>
          <w:highlight w:val="none"/>
        </w:rPr>
        <w:fldChar w:fldCharType="end"/>
      </w:r>
    </w:p>
    <w:p>
      <w:pPr>
        <w:pStyle w:val="19"/>
        <w:tabs>
          <w:tab w:val="right" w:leader="dot" w:pos="8306"/>
        </w:tabs>
      </w:pP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HYPERLINK \l _Toc24407 </w:instrText>
      </w:r>
      <w:r>
        <w:rPr>
          <w:rFonts w:asciiTheme="minorEastAsia" w:hAnsiTheme="minorEastAsia" w:eastAsiaTheme="minorEastAsia"/>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szCs w:val="24"/>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 </w:t>
      </w:r>
      <w:r>
        <w:rPr>
          <w:rFonts w:hint="eastAsia"/>
          <w:highlight w:val="none"/>
        </w:rPr>
        <w:t>售后服务</w:t>
      </w:r>
      <w:r>
        <w:rPr>
          <w:rFonts w:hint="eastAsia"/>
          <w:highlight w:val="none"/>
          <w:lang w:val="en-US" w:eastAsia="zh-CN"/>
        </w:rPr>
        <w:t>要求</w:t>
      </w:r>
      <w:r>
        <w:tab/>
      </w:r>
      <w:r>
        <w:fldChar w:fldCharType="begin"/>
      </w:r>
      <w:r>
        <w:instrText xml:space="preserve"> PAGEREF _Toc24407 \h </w:instrText>
      </w:r>
      <w:r>
        <w:fldChar w:fldCharType="separate"/>
      </w:r>
      <w:r>
        <w:t>29</w:t>
      </w:r>
      <w:r>
        <w:fldChar w:fldCharType="end"/>
      </w:r>
      <w:r>
        <w:rPr>
          <w:rFonts w:asciiTheme="minorEastAsia" w:hAnsiTheme="minorEastAsia" w:eastAsiaTheme="minorEastAsia"/>
          <w:highlight w:val="none"/>
        </w:rPr>
        <w:fldChar w:fldCharType="end"/>
      </w:r>
    </w:p>
    <w:p>
      <w:pPr>
        <w:pStyle w:val="20"/>
        <w:tabs>
          <w:tab w:val="right" w:leader="dot" w:pos="8306"/>
        </w:tabs>
      </w:pP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HYPERLINK \l _Toc25961 </w:instrText>
      </w:r>
      <w:r>
        <w:rPr>
          <w:rFonts w:asciiTheme="minorEastAsia" w:hAnsiTheme="minorEastAsia" w:eastAsiaTheme="minorEastAsia"/>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3.1. </w:t>
      </w:r>
      <w:r>
        <w:rPr>
          <w:rFonts w:hint="eastAsia"/>
          <w:highlight w:val="none"/>
          <w:lang w:val="en-US" w:eastAsia="zh-CN"/>
        </w:rPr>
        <w:t>质量保证要求</w:t>
      </w:r>
      <w:r>
        <w:tab/>
      </w:r>
      <w:r>
        <w:fldChar w:fldCharType="begin"/>
      </w:r>
      <w:r>
        <w:instrText xml:space="preserve"> PAGEREF _Toc25961 \h </w:instrText>
      </w:r>
      <w:r>
        <w:fldChar w:fldCharType="separate"/>
      </w:r>
      <w:r>
        <w:t>29</w:t>
      </w:r>
      <w:r>
        <w:fldChar w:fldCharType="end"/>
      </w:r>
      <w:r>
        <w:rPr>
          <w:rFonts w:asciiTheme="minorEastAsia" w:hAnsiTheme="minorEastAsia" w:eastAsiaTheme="minorEastAsia"/>
          <w:highlight w:val="none"/>
        </w:rPr>
        <w:fldChar w:fldCharType="end"/>
      </w:r>
    </w:p>
    <w:p>
      <w:pPr>
        <w:pStyle w:val="20"/>
        <w:tabs>
          <w:tab w:val="right" w:leader="dot" w:pos="8306"/>
        </w:tabs>
      </w:pP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HYPERLINK \l _Toc28594 </w:instrText>
      </w:r>
      <w:r>
        <w:rPr>
          <w:rFonts w:asciiTheme="minorEastAsia" w:hAnsiTheme="minorEastAsia" w:eastAsiaTheme="minorEastAsia"/>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kern w:val="2"/>
          <w:position w:val="0"/>
          <w:szCs w:val="28"/>
          <w:vertAlign w:val="baseline"/>
          <w:lang w:val="en-US" w:eastAsia="zh-CN" w:bidi="ar-SA"/>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3.2. </w:t>
      </w:r>
      <w:r>
        <w:rPr>
          <w:rFonts w:hint="eastAsia" w:cs="宋体"/>
          <w:bCs/>
          <w:kern w:val="2"/>
          <w:szCs w:val="28"/>
          <w:highlight w:val="none"/>
          <w:lang w:val="en-US" w:eastAsia="zh-CN" w:bidi="ar-SA"/>
        </w:rPr>
        <w:t>维护服务要求</w:t>
      </w:r>
      <w:r>
        <w:tab/>
      </w:r>
      <w:r>
        <w:fldChar w:fldCharType="begin"/>
      </w:r>
      <w:r>
        <w:instrText xml:space="preserve"> PAGEREF _Toc28594 \h </w:instrText>
      </w:r>
      <w:r>
        <w:fldChar w:fldCharType="separate"/>
      </w:r>
      <w:r>
        <w:t>29</w:t>
      </w:r>
      <w:r>
        <w:fldChar w:fldCharType="end"/>
      </w:r>
      <w:r>
        <w:rPr>
          <w:rFonts w:asciiTheme="minorEastAsia" w:hAnsiTheme="minorEastAsia" w:eastAsiaTheme="minorEastAsia"/>
          <w:highlight w:val="none"/>
        </w:rPr>
        <w:fldChar w:fldCharType="end"/>
      </w:r>
    </w:p>
    <w:p>
      <w:pPr>
        <w:pStyle w:val="19"/>
        <w:tabs>
          <w:tab w:val="right" w:leader="dot" w:pos="8306"/>
        </w:tabs>
      </w:pP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HYPERLINK \l _Toc30918 </w:instrText>
      </w:r>
      <w:r>
        <w:rPr>
          <w:rFonts w:asciiTheme="minorEastAsia" w:hAnsiTheme="minorEastAsia" w:eastAsiaTheme="minorEastAsia"/>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4. </w:t>
      </w:r>
      <w:r>
        <w:rPr>
          <w:rFonts w:hint="eastAsia"/>
          <w:highlight w:val="none"/>
        </w:rPr>
        <w:t>其他要求</w:t>
      </w:r>
      <w:r>
        <w:tab/>
      </w:r>
      <w:r>
        <w:fldChar w:fldCharType="begin"/>
      </w:r>
      <w:r>
        <w:instrText xml:space="preserve"> PAGEREF _Toc30918 \h </w:instrText>
      </w:r>
      <w:r>
        <w:fldChar w:fldCharType="separate"/>
      </w:r>
      <w:r>
        <w:t>30</w:t>
      </w:r>
      <w:r>
        <w:fldChar w:fldCharType="end"/>
      </w:r>
      <w:r>
        <w:rPr>
          <w:rFonts w:asciiTheme="minorEastAsia" w:hAnsiTheme="minorEastAsia" w:eastAsiaTheme="minorEastAsia"/>
          <w:highlight w:val="none"/>
        </w:rPr>
        <w:fldChar w:fldCharType="end"/>
      </w:r>
    </w:p>
    <w:p>
      <w:pPr>
        <w:pStyle w:val="20"/>
        <w:tabs>
          <w:tab w:val="right" w:leader="dot" w:pos="8306"/>
        </w:tabs>
      </w:pP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HYPERLINK \l _Toc11633 </w:instrText>
      </w:r>
      <w:r>
        <w:rPr>
          <w:rFonts w:asciiTheme="minorEastAsia" w:hAnsiTheme="minorEastAsia" w:eastAsiaTheme="minorEastAsia"/>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4.1. </w:t>
      </w:r>
      <w:r>
        <w:rPr>
          <w:rFonts w:hint="eastAsia" w:ascii="宋体" w:eastAsia="宋体" w:cs="宋体"/>
          <w:highlight w:val="none"/>
        </w:rPr>
        <w:t>包装、运输、贮存</w:t>
      </w:r>
      <w:r>
        <w:rPr>
          <w:rFonts w:hint="eastAsia" w:ascii="宋体" w:eastAsia="宋体" w:cs="宋体"/>
          <w:highlight w:val="none"/>
          <w:lang w:eastAsia="zh-CN"/>
        </w:rPr>
        <w:t>（</w:t>
      </w:r>
      <w:r>
        <w:rPr>
          <w:rFonts w:hint="eastAsia" w:ascii="宋体" w:eastAsia="宋体" w:cs="宋体"/>
          <w:highlight w:val="none"/>
          <w:lang w:val="en-US" w:eastAsia="zh-CN"/>
        </w:rPr>
        <w:t>硬件购置专有</w:t>
      </w:r>
      <w:r>
        <w:rPr>
          <w:rFonts w:hint="eastAsia" w:ascii="宋体" w:eastAsia="宋体" w:cs="宋体"/>
          <w:highlight w:val="none"/>
          <w:lang w:eastAsia="zh-CN"/>
        </w:rPr>
        <w:t>）</w:t>
      </w:r>
      <w:r>
        <w:tab/>
      </w:r>
      <w:r>
        <w:fldChar w:fldCharType="begin"/>
      </w:r>
      <w:r>
        <w:instrText xml:space="preserve"> PAGEREF _Toc11633 \h </w:instrText>
      </w:r>
      <w:r>
        <w:fldChar w:fldCharType="separate"/>
      </w:r>
      <w:r>
        <w:t>30</w:t>
      </w:r>
      <w:r>
        <w:fldChar w:fldCharType="end"/>
      </w:r>
      <w:r>
        <w:rPr>
          <w:rFonts w:asciiTheme="minorEastAsia" w:hAnsiTheme="minorEastAsia" w:eastAsiaTheme="minorEastAsia"/>
          <w:highlight w:val="none"/>
        </w:rPr>
        <w:fldChar w:fldCharType="end"/>
      </w:r>
    </w:p>
    <w:p>
      <w:pPr>
        <w:pStyle w:val="20"/>
        <w:tabs>
          <w:tab w:val="right" w:leader="dot" w:pos="8306"/>
        </w:tabs>
      </w:pPr>
      <w:r>
        <w:rPr>
          <w:rFonts w:asciiTheme="minorEastAsia" w:hAnsiTheme="minorEastAsia" w:eastAsiaTheme="minorEastAsia"/>
          <w:highlight w:val="none"/>
        </w:rPr>
        <w:fldChar w:fldCharType="begin"/>
      </w:r>
      <w:r>
        <w:rPr>
          <w:rFonts w:asciiTheme="minorEastAsia" w:hAnsiTheme="minorEastAsia" w:eastAsiaTheme="minorEastAsia"/>
          <w:highlight w:val="none"/>
        </w:rPr>
        <w:instrText xml:space="preserve"> HYPERLINK \l _Toc2223 </w:instrText>
      </w:r>
      <w:r>
        <w:rPr>
          <w:rFonts w:asciiTheme="minorEastAsia" w:hAnsiTheme="minorEastAsia" w:eastAsiaTheme="minorEastAsia"/>
          <w:highlight w:val="none"/>
        </w:rPr>
        <w:fldChar w:fldCharType="separate"/>
      </w:r>
      <w:r>
        <w:rPr>
          <w:rFonts w:hint="eastAsia" w:eastAsia="宋体" w:cs="Times New Roman" w:asciiTheme="minorEastAsia" w:hAnsiTheme="minorEastAsia"/>
          <w:bCs w:val="0"/>
          <w:i w:val="0"/>
          <w:iCs w:val="0"/>
          <w:caps w:val="0"/>
          <w:smallCaps w:val="0"/>
          <w:strike w:val="0"/>
          <w:dstrike w:val="0"/>
          <w:vanish w:val="0"/>
          <w:spacing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t xml:space="preserve">4.2. </w:t>
      </w:r>
      <w:r>
        <w:rPr>
          <w:rFonts w:hint="eastAsia" w:ascii="宋体" w:eastAsia="宋体" w:cs="宋体"/>
          <w:highlight w:val="none"/>
        </w:rPr>
        <w:t>知识产权</w:t>
      </w:r>
      <w:r>
        <w:tab/>
      </w:r>
      <w:r>
        <w:fldChar w:fldCharType="begin"/>
      </w:r>
      <w:r>
        <w:instrText xml:space="preserve"> PAGEREF _Toc2223 \h </w:instrText>
      </w:r>
      <w:r>
        <w:fldChar w:fldCharType="separate"/>
      </w:r>
      <w:r>
        <w:t>31</w:t>
      </w:r>
      <w:r>
        <w:fldChar w:fldCharType="end"/>
      </w:r>
      <w:r>
        <w:rPr>
          <w:rFonts w:asciiTheme="minorEastAsia" w:hAnsiTheme="minorEastAsia" w:eastAsiaTheme="minorEastAsia"/>
          <w:highlight w:val="none"/>
        </w:rPr>
        <w:fldChar w:fldCharType="end"/>
      </w:r>
    </w:p>
    <w:p>
      <w:pPr>
        <w:spacing w:before="156" w:beforeLines="50" w:after="156" w:afterLines="50"/>
        <w:rPr>
          <w:rFonts w:asciiTheme="minorEastAsia" w:hAnsiTheme="minorEastAsia" w:eastAsiaTheme="minorEastAsia"/>
          <w:highlight w:val="none"/>
        </w:rPr>
        <w:sectPr>
          <w:headerReference r:id="rId11" w:type="default"/>
          <w:footerReference r:id="rId12" w:type="default"/>
          <w:pgSz w:w="11906" w:h="16838"/>
          <w:pgMar w:top="1440" w:right="1800" w:bottom="1440" w:left="1800" w:header="851" w:footer="992" w:gutter="0"/>
          <w:pgBorders>
            <w:top w:val="none" w:sz="0" w:space="0"/>
            <w:left w:val="none" w:sz="0" w:space="0"/>
            <w:bottom w:val="none" w:sz="0" w:space="0"/>
            <w:right w:val="none" w:sz="0" w:space="0"/>
          </w:pgBorders>
          <w:pgNumType w:fmt="upperRoman" w:start="1"/>
          <w:cols w:space="425" w:num="1"/>
          <w:docGrid w:type="lines" w:linePitch="312" w:charSpace="0"/>
        </w:sectPr>
      </w:pPr>
      <w:r>
        <w:rPr>
          <w:rFonts w:asciiTheme="minorEastAsia" w:hAnsiTheme="minorEastAsia" w:eastAsiaTheme="minorEastAsia"/>
          <w:highlight w:val="none"/>
        </w:rPr>
        <w:fldChar w:fldCharType="end"/>
      </w:r>
      <w:bookmarkStart w:id="1" w:name="_Toc7903"/>
      <w:bookmarkStart w:id="2" w:name="_Toc115811644"/>
      <w:bookmarkStart w:id="3" w:name="_Toc1106"/>
      <w:bookmarkStart w:id="4" w:name="_Toc1889667838"/>
      <w:bookmarkStart w:id="5" w:name="_Toc27139"/>
    </w:p>
    <w:bookmarkEnd w:id="1"/>
    <w:bookmarkEnd w:id="2"/>
    <w:bookmarkEnd w:id="3"/>
    <w:bookmarkEnd w:id="4"/>
    <w:bookmarkEnd w:id="5"/>
    <w:p>
      <w:pPr>
        <w:pStyle w:val="5"/>
        <w:rPr>
          <w:highlight w:val="none"/>
        </w:rPr>
      </w:pPr>
      <w:bookmarkStart w:id="6" w:name="_Toc6876"/>
      <w:bookmarkStart w:id="7" w:name="_Toc511697783"/>
      <w:bookmarkStart w:id="8" w:name="_Toc399955736"/>
      <w:bookmarkStart w:id="9" w:name="_Toc23958"/>
      <w:bookmarkStart w:id="10" w:name="_Toc12470"/>
      <w:bookmarkStart w:id="11" w:name="_Toc15404"/>
      <w:bookmarkStart w:id="12" w:name="_Toc17936"/>
      <w:bookmarkStart w:id="13" w:name="_Toc1"/>
      <w:bookmarkStart w:id="14" w:name="_Toc26688"/>
      <w:bookmarkStart w:id="15" w:name="_Toc28744"/>
      <w:bookmarkStart w:id="16" w:name="_Toc25580541"/>
      <w:bookmarkStart w:id="17" w:name="_Toc12093"/>
      <w:bookmarkStart w:id="18" w:name="_Toc18408"/>
      <w:bookmarkStart w:id="19" w:name="_Toc1485"/>
      <w:bookmarkStart w:id="20" w:name="_Toc512908532"/>
      <w:bookmarkStart w:id="21" w:name="_Toc100654214"/>
      <w:bookmarkStart w:id="22" w:name="_Toc12129"/>
      <w:bookmarkStart w:id="23" w:name="_Toc2157"/>
      <w:bookmarkStart w:id="24" w:name="_Toc26120"/>
      <w:bookmarkStart w:id="25" w:name="_Toc17689"/>
      <w:bookmarkStart w:id="26" w:name="_Toc340242292"/>
      <w:r>
        <w:rPr>
          <w:rFonts w:hint="eastAsia"/>
          <w:highlight w:val="none"/>
        </w:rPr>
        <w:t>项目背景</w:t>
      </w:r>
      <w:bookmarkEnd w:id="6"/>
      <w:bookmarkEnd w:id="7"/>
      <w:bookmarkEnd w:id="8"/>
      <w:bookmarkEnd w:id="9"/>
      <w:bookmarkEnd w:id="10"/>
    </w:p>
    <w:p>
      <w:pPr>
        <w:spacing w:before="50" w:after="50"/>
        <w:ind w:firstLine="480"/>
        <w:rPr>
          <w:rFonts w:hint="eastAsia" w:hAnsi="宋体" w:cs="宋体"/>
          <w:highlight w:val="none"/>
          <w:lang w:val="en-US" w:eastAsia="zh-CN"/>
        </w:rPr>
      </w:pPr>
      <w:r>
        <w:rPr>
          <w:rFonts w:hint="eastAsia" w:hAnsi="宋体" w:cs="宋体"/>
          <w:highlight w:val="none"/>
          <w:lang w:val="en-US" w:eastAsia="zh-CN"/>
        </w:rPr>
        <w:t>随着云计算、大数据、5G 时代的来临，目前电力的业务已经深入到生活中的各方各面，关系到国家安全、民生稳定。而敌对份子、黑客也看到这个机会，大量的针对性未知威胁应运而生，各类针对电力的安全事件被不断曝光，网络安全形势严峻，网络空间安全直接关系到国家安全、政治稳定、经济发展以及个人隐私安全，而随着网络安全法的颁发与实施，保障网络空间安全已上升到国家战略的层面。</w:t>
      </w:r>
    </w:p>
    <w:p>
      <w:pPr>
        <w:spacing w:before="50" w:after="50"/>
        <w:ind w:firstLine="480"/>
        <w:rPr>
          <w:rFonts w:hint="eastAsia" w:hAnsi="宋体" w:cs="宋体"/>
          <w:highlight w:val="none"/>
          <w:lang w:val="en-US" w:eastAsia="zh-CN"/>
        </w:rPr>
      </w:pPr>
      <w:r>
        <w:rPr>
          <w:rFonts w:hint="eastAsia" w:hAnsi="宋体" w:cs="宋体"/>
          <w:highlight w:val="none"/>
          <w:lang w:val="en-US" w:eastAsia="zh-CN"/>
        </w:rPr>
        <w:t>网络安全也一直是中国南方电网有限责任公司（以下简称“南方电网公司 ”或“公司”）信息化建设、数字化建设的重点关注对象，随着公司统一互联网出口网络及数字化业务系统等建设的不断深入，公司数字化建设的不断发展，公司所涉及的网络规模已越来越大，接入公司数据网的人员越来越多，网内服务器、网络设备和办公终端的数量不断增加，公司承载的业务急剧增加，这使得公司面临的安全威胁也日益增多，其中来自公司内部和外部的各种安全攻击会对公司信息系统、网络的安全和稳定运行造成严重威胁，将直接影响到公司的生产活动的正常开展。</w:t>
      </w:r>
    </w:p>
    <w:p>
      <w:pPr>
        <w:spacing w:before="50" w:after="50"/>
        <w:ind w:firstLine="480"/>
        <w:rPr>
          <w:rFonts w:hint="eastAsia" w:hAnsi="宋体" w:cs="宋体"/>
          <w:highlight w:val="none"/>
          <w:lang w:val="en-US" w:eastAsia="zh-CN"/>
        </w:rPr>
      </w:pPr>
      <w:r>
        <w:rPr>
          <w:rFonts w:hint="eastAsia" w:hAnsi="宋体" w:cs="宋体"/>
          <w:highlight w:val="none"/>
          <w:lang w:val="en-US" w:eastAsia="zh-CN"/>
        </w:rPr>
        <w:t>由此，公司需依据国家网络安全法律法规、能源监管部门要求、公司最新网络安全布防典型设计方案等要求，结合“等同管理 ”、网络安全“三同步 ”等建设要求及公司网络信息建设现状，同步开展网络安全防护、网络安全设备采购建设，有效地应对网络恶意攻击入侵，增强公司网络安全防护能力、流量监测分析及阻断能力，提升公司应对网络攻击的监测及防御水平，为公司数字化高质量发展保驾护航。</w:t>
      </w:r>
    </w:p>
    <w:p>
      <w:pPr>
        <w:spacing w:before="6" w:line="376" w:lineRule="auto"/>
        <w:ind w:left="8" w:right="99" w:firstLine="510"/>
        <w:jc w:val="both"/>
        <w:rPr>
          <w:rFonts w:ascii="宋体" w:hAnsi="宋体" w:eastAsia="宋体" w:cs="宋体"/>
          <w:spacing w:val="-1"/>
          <w:sz w:val="24"/>
          <w:szCs w:val="24"/>
          <w:highlight w:val="none"/>
        </w:rPr>
      </w:pPr>
    </w:p>
    <w:p>
      <w:pPr>
        <w:pStyle w:val="5"/>
        <w:rPr>
          <w:highlight w:val="none"/>
        </w:rPr>
      </w:pPr>
      <w:bookmarkStart w:id="27" w:name="_Toc19417"/>
      <w:bookmarkStart w:id="28" w:name="_Toc1580116293"/>
      <w:bookmarkStart w:id="29" w:name="_Toc432239842"/>
      <w:bookmarkStart w:id="30" w:name="_Toc29157"/>
      <w:bookmarkStart w:id="31" w:name="_Toc16"/>
      <w:bookmarkStart w:id="32" w:name="_Toc115811645"/>
      <w:r>
        <w:rPr>
          <w:rFonts w:hint="eastAsia"/>
          <w:highlight w:val="none"/>
        </w:rPr>
        <w:t>项目现状</w:t>
      </w:r>
      <w:bookmarkEnd w:id="27"/>
      <w:bookmarkEnd w:id="28"/>
      <w:bookmarkEnd w:id="29"/>
      <w:bookmarkEnd w:id="30"/>
      <w:bookmarkEnd w:id="31"/>
    </w:p>
    <w:p>
      <w:pPr>
        <w:pStyle w:val="6"/>
        <w:outlineLvl w:val="2"/>
        <w:rPr>
          <w:highlight w:val="none"/>
        </w:rPr>
      </w:pPr>
      <w:bookmarkStart w:id="33" w:name="_Toc23369"/>
      <w:bookmarkStart w:id="34" w:name="_Toc5482"/>
      <w:r>
        <w:rPr>
          <w:rFonts w:hint="eastAsia"/>
          <w:highlight w:val="none"/>
        </w:rPr>
        <w:t>现状分析</w:t>
      </w:r>
      <w:bookmarkEnd w:id="33"/>
      <w:bookmarkEnd w:id="34"/>
    </w:p>
    <w:p>
      <w:pPr>
        <w:pStyle w:val="7"/>
        <w:tabs>
          <w:tab w:val="left" w:pos="709"/>
          <w:tab w:val="clear" w:pos="0"/>
        </w:tabs>
        <w:outlineLvl w:val="3"/>
        <w:rPr>
          <w:highlight w:val="none"/>
        </w:rPr>
      </w:pPr>
      <w:bookmarkStart w:id="35" w:name="bookmark38"/>
      <w:bookmarkEnd w:id="35"/>
      <w:r>
        <w:rPr>
          <w:rFonts w:hint="eastAsia"/>
          <w:highlight w:val="none"/>
        </w:rPr>
        <w:t>公司数据中心</w:t>
      </w:r>
    </w:p>
    <w:p>
      <w:pPr>
        <w:spacing w:before="50" w:after="50"/>
        <w:ind w:firstLine="480"/>
        <w:rPr>
          <w:rFonts w:hint="eastAsia" w:hAnsi="宋体" w:cs="宋体"/>
          <w:highlight w:val="none"/>
          <w:lang w:val="en-US" w:eastAsia="zh-CN"/>
        </w:rPr>
      </w:pPr>
      <w:r>
        <w:rPr>
          <w:rFonts w:hint="eastAsia" w:hAnsi="宋体" w:cs="宋体"/>
          <w:highlight w:val="none"/>
          <w:lang w:val="en-US" w:eastAsia="zh-CN"/>
        </w:rPr>
        <w:t>结合数字化发展，公司已建成总部基地、棠下、贵安（灾备）三大数据中心。依据《公司导则》，各节点需部署防火墙、内外网交换平台、API 监测等安全设备。</w:t>
      </w:r>
    </w:p>
    <w:p>
      <w:pPr>
        <w:spacing w:before="50" w:after="50"/>
        <w:ind w:firstLine="480"/>
        <w:rPr>
          <w:rFonts w:hint="eastAsia" w:hAnsi="宋体" w:cs="宋体"/>
          <w:highlight w:val="none"/>
        </w:rPr>
      </w:pPr>
      <w:r>
        <w:rPr>
          <w:rFonts w:hint="eastAsia" w:hAnsi="宋体" w:cs="宋体"/>
          <w:highlight w:val="none"/>
          <w:lang w:val="en-US" w:eastAsia="zh-CN"/>
        </w:rPr>
        <w:t>总部基地部分设备超期服役、已过保且不满足自主可控要求，监控与流量分析存在短板；棠下数据中心旁路及专线链路防护设备缺失；贵安灾备中心尚未搭建安全防护体系。为合规落实安全布防要求，现计划增补、替换安全设备，完善防护架构，全面提升各数据中心网络安全防护能力。</w:t>
      </w:r>
    </w:p>
    <w:bookmarkEnd w:id="32"/>
    <w:p>
      <w:pPr>
        <w:pStyle w:val="5"/>
        <w:rPr>
          <w:rFonts w:hint="eastAsia"/>
          <w:highlight w:val="none"/>
        </w:rPr>
      </w:pPr>
      <w:bookmarkStart w:id="36" w:name="_Toc20141"/>
      <w:bookmarkStart w:id="37" w:name="_Toc5041"/>
      <w:bookmarkStart w:id="38" w:name="_Toc115811646"/>
      <w:bookmarkStart w:id="39" w:name="_Toc1865330340"/>
      <w:bookmarkStart w:id="40" w:name="_Toc20989"/>
      <w:bookmarkStart w:id="41" w:name="_Toc1231757649"/>
      <w:r>
        <w:rPr>
          <w:rFonts w:hint="eastAsia"/>
          <w:highlight w:val="none"/>
        </w:rPr>
        <w:t>项目目标</w:t>
      </w:r>
      <w:bookmarkEnd w:id="36"/>
      <w:bookmarkEnd w:id="37"/>
      <w:bookmarkEnd w:id="38"/>
      <w:bookmarkEnd w:id="39"/>
      <w:bookmarkEnd w:id="40"/>
      <w:bookmarkEnd w:id="41"/>
    </w:p>
    <w:p>
      <w:pPr>
        <w:spacing w:before="50" w:after="50"/>
        <w:ind w:firstLine="480"/>
        <w:rPr>
          <w:rFonts w:hint="eastAsia" w:hAnsi="宋体" w:cs="宋体"/>
          <w:highlight w:val="none"/>
          <w:lang w:eastAsia="zh-CN"/>
        </w:rPr>
      </w:pPr>
      <w:r>
        <w:rPr>
          <w:rFonts w:hint="eastAsia" w:hAnsi="宋体" w:cs="宋体"/>
          <w:highlight w:val="none"/>
          <w:lang w:eastAsia="zh-CN"/>
        </w:rPr>
        <w:t>根据网络安全法、数据安全法、公司管制类业务网络安全布防设计导则等安全防护要求，结合南方电网公司数字化建设、网络安全防护建设的现状，通过购置部署网络安全设备，替换老旧性能不足的安全设备，保障公司信息安全稳定运行，同时紧跟公司网络安全规划，为公司数据中心以及仿真环境节点建立统一监测、统一溯源能力、统一封堵能力，做好网络安全保障，全面保障公司网络安全。</w:t>
      </w:r>
    </w:p>
    <w:p>
      <w:pPr>
        <w:pStyle w:val="5"/>
        <w:rPr>
          <w:highlight w:val="none"/>
        </w:rPr>
      </w:pPr>
      <w:bookmarkStart w:id="42" w:name="_Toc24057"/>
      <w:bookmarkStart w:id="43" w:name="_Toc2863"/>
      <w:bookmarkStart w:id="44" w:name="_Toc7770"/>
      <w:bookmarkStart w:id="45" w:name="_Toc171670391"/>
      <w:bookmarkStart w:id="46" w:name="_Toc1455750229"/>
      <w:r>
        <w:rPr>
          <w:rFonts w:hint="eastAsia"/>
          <w:highlight w:val="none"/>
        </w:rPr>
        <w:t>项目依据</w:t>
      </w:r>
      <w:bookmarkEnd w:id="42"/>
      <w:bookmarkEnd w:id="43"/>
      <w:bookmarkEnd w:id="44"/>
      <w:bookmarkEnd w:id="45"/>
      <w:bookmarkEnd w:id="46"/>
    </w:p>
    <w:p>
      <w:pPr>
        <w:spacing w:before="50" w:after="50"/>
        <w:ind w:firstLine="480"/>
        <w:rPr>
          <w:rFonts w:hint="eastAsia" w:hAnsi="宋体" w:cs="宋体"/>
          <w:b w:val="0"/>
          <w:bCs/>
          <w:highlight w:val="none"/>
        </w:rPr>
      </w:pPr>
      <w:r>
        <w:rPr>
          <w:rFonts w:hint="eastAsia" w:hAnsi="宋体" w:cs="宋体"/>
          <w:b w:val="0"/>
          <w:bCs/>
          <w:highlight w:val="none"/>
        </w:rPr>
        <w:t>项目建设应遵循国家标准、电力行业标准、工信部、南方电网公司颁布的标准（包括标准、制度、规范、管理办法）开展本项目工作，本项目所有成果应符合上述标准要求。所用的标准必须是最新版本，如果这些标准的内容有矛盾时，应按照最高标准的条款执行或按双方协商同意的标准或条款执行。</w:t>
      </w:r>
    </w:p>
    <w:p>
      <w:pPr>
        <w:spacing w:before="50" w:after="50"/>
        <w:ind w:firstLine="480"/>
        <w:rPr>
          <w:rFonts w:hint="eastAsia" w:hAnsi="宋体" w:cs="宋体"/>
          <w:b w:val="0"/>
          <w:bCs/>
          <w:highlight w:val="none"/>
        </w:rPr>
      </w:pPr>
      <w:r>
        <w:rPr>
          <w:rFonts w:hint="eastAsia" w:hAnsi="宋体" w:cs="宋体"/>
          <w:b w:val="0"/>
          <w:bCs/>
          <w:highlight w:val="none"/>
        </w:rPr>
        <w:t>相关标准包括但不限于以下：</w:t>
      </w:r>
    </w:p>
    <w:p>
      <w:pPr>
        <w:spacing w:before="50" w:after="50"/>
        <w:ind w:firstLine="480"/>
        <w:rPr>
          <w:rFonts w:ascii="宋体" w:hAnsi="宋体" w:eastAsia="宋体" w:cs="宋体"/>
          <w:sz w:val="24"/>
          <w:szCs w:val="24"/>
          <w:highlight w:val="none"/>
        </w:rPr>
      </w:pPr>
      <w:r>
        <w:rPr>
          <w:rFonts w:hint="eastAsia" w:hAnsi="宋体" w:cs="宋体"/>
          <w:b w:val="0"/>
          <w:bCs/>
          <w:highlight w:val="none"/>
        </w:rPr>
        <w:t>1 、《中华人民共和国网络安全法》</w:t>
      </w:r>
    </w:p>
    <w:p>
      <w:pPr>
        <w:spacing w:before="50" w:after="50"/>
        <w:ind w:firstLine="480"/>
        <w:rPr>
          <w:rFonts w:hint="eastAsia" w:hAnsi="宋体" w:cs="宋体"/>
          <w:b w:val="0"/>
          <w:bCs/>
          <w:highlight w:val="none"/>
        </w:rPr>
      </w:pPr>
      <w:r>
        <w:rPr>
          <w:rFonts w:hint="eastAsia" w:hAnsi="宋体" w:cs="宋体"/>
          <w:b w:val="0"/>
          <w:bCs/>
          <w:highlight w:val="none"/>
        </w:rPr>
        <w:t>2 、《中华人民共和国数据安全法》</w:t>
      </w:r>
    </w:p>
    <w:p>
      <w:pPr>
        <w:spacing w:before="50" w:after="50"/>
        <w:ind w:firstLine="480"/>
        <w:rPr>
          <w:rFonts w:hint="eastAsia" w:hAnsi="宋体" w:cs="宋体"/>
          <w:b w:val="0"/>
          <w:bCs/>
          <w:highlight w:val="none"/>
        </w:rPr>
      </w:pPr>
      <w:r>
        <w:rPr>
          <w:rFonts w:hint="eastAsia" w:hAnsi="宋体" w:cs="宋体"/>
          <w:b w:val="0"/>
          <w:bCs/>
          <w:highlight w:val="none"/>
        </w:rPr>
        <w:t>3 、《中华人民共和国个人信息保护法》</w:t>
      </w:r>
    </w:p>
    <w:p>
      <w:pPr>
        <w:spacing w:before="50" w:after="50"/>
        <w:ind w:firstLine="480"/>
        <w:rPr>
          <w:rFonts w:hint="eastAsia" w:hAnsi="宋体" w:cs="宋体"/>
          <w:b w:val="0"/>
          <w:bCs/>
          <w:highlight w:val="none"/>
        </w:rPr>
      </w:pPr>
      <w:r>
        <w:rPr>
          <w:rFonts w:hint="eastAsia" w:hAnsi="宋体" w:cs="宋体"/>
          <w:b w:val="0"/>
          <w:bCs/>
          <w:highlight w:val="none"/>
        </w:rPr>
        <w:t>4 、《关键信息基础设施安全保护条例》</w:t>
      </w:r>
    </w:p>
    <w:p>
      <w:pPr>
        <w:spacing w:before="50" w:after="50"/>
        <w:ind w:firstLine="480"/>
        <w:rPr>
          <w:rFonts w:hint="eastAsia" w:hAnsi="宋体" w:cs="宋体"/>
          <w:b w:val="0"/>
          <w:bCs/>
          <w:highlight w:val="none"/>
        </w:rPr>
      </w:pPr>
      <w:r>
        <w:rPr>
          <w:rFonts w:hint="eastAsia" w:hAnsi="宋体" w:cs="宋体"/>
          <w:b w:val="0"/>
          <w:bCs/>
          <w:highlight w:val="none"/>
        </w:rPr>
        <w:t>5 、《网络数据安全管理条例》</w:t>
      </w:r>
    </w:p>
    <w:p>
      <w:pPr>
        <w:spacing w:before="50" w:after="50"/>
        <w:ind w:firstLine="480"/>
        <w:rPr>
          <w:rFonts w:hint="eastAsia" w:hAnsi="宋体" w:cs="宋体"/>
          <w:b w:val="0"/>
          <w:bCs/>
          <w:highlight w:val="none"/>
        </w:rPr>
      </w:pPr>
      <w:r>
        <w:rPr>
          <w:rFonts w:hint="eastAsia" w:hAnsi="宋体" w:cs="宋体"/>
          <w:b w:val="0"/>
          <w:bCs/>
          <w:highlight w:val="none"/>
        </w:rPr>
        <w:t>6 、《网络安全等级保护条例》</w:t>
      </w:r>
    </w:p>
    <w:p>
      <w:pPr>
        <w:spacing w:before="50" w:after="50"/>
        <w:ind w:firstLine="480"/>
        <w:rPr>
          <w:rFonts w:hint="eastAsia" w:hAnsi="宋体" w:cs="宋体"/>
          <w:b w:val="0"/>
          <w:bCs/>
          <w:highlight w:val="none"/>
        </w:rPr>
      </w:pPr>
      <w:r>
        <w:rPr>
          <w:rFonts w:hint="eastAsia" w:hAnsi="宋体" w:cs="宋体"/>
          <w:b w:val="0"/>
          <w:bCs/>
          <w:highlight w:val="none"/>
        </w:rPr>
        <w:t>7 、《工业和信息化领域数据安全管理办法》</w:t>
      </w:r>
    </w:p>
    <w:p>
      <w:pPr>
        <w:spacing w:before="50" w:after="50"/>
        <w:ind w:firstLine="480"/>
        <w:rPr>
          <w:rFonts w:hint="eastAsia" w:hAnsi="宋体" w:cs="宋体"/>
          <w:b w:val="0"/>
          <w:bCs/>
          <w:highlight w:val="none"/>
        </w:rPr>
      </w:pPr>
      <w:r>
        <w:rPr>
          <w:rFonts w:hint="eastAsia" w:hAnsi="宋体" w:cs="宋体"/>
          <w:b w:val="0"/>
          <w:bCs/>
          <w:highlight w:val="none"/>
        </w:rPr>
        <w:t>8 、《信息安全技术网络安全等级保护基本要求》（GB/T 22239-2019）</w:t>
      </w:r>
    </w:p>
    <w:p>
      <w:pPr>
        <w:spacing w:before="50" w:after="50"/>
        <w:ind w:firstLine="480"/>
        <w:rPr>
          <w:rFonts w:hint="eastAsia" w:hAnsi="宋体" w:cs="宋体"/>
          <w:b w:val="0"/>
          <w:bCs/>
          <w:highlight w:val="none"/>
        </w:rPr>
      </w:pPr>
      <w:r>
        <w:rPr>
          <w:rFonts w:hint="eastAsia" w:hAnsi="宋体" w:cs="宋体"/>
          <w:b w:val="0"/>
          <w:bCs/>
          <w:highlight w:val="none"/>
        </w:rPr>
        <w:t>9 、《南方电网公司发展战略纲要》</w:t>
      </w:r>
    </w:p>
    <w:p>
      <w:pPr>
        <w:spacing w:before="50" w:after="50"/>
        <w:ind w:firstLine="480"/>
        <w:rPr>
          <w:rFonts w:hint="eastAsia" w:hAnsi="宋体" w:cs="宋体"/>
          <w:b w:val="0"/>
          <w:bCs/>
          <w:highlight w:val="none"/>
        </w:rPr>
      </w:pPr>
      <w:r>
        <w:rPr>
          <w:rFonts w:hint="eastAsia" w:hAnsi="宋体" w:cs="宋体"/>
          <w:b w:val="0"/>
          <w:bCs/>
          <w:highlight w:val="none"/>
        </w:rPr>
        <w:t>10 、《南方电网公司“十四五”数字化规划》</w:t>
      </w:r>
    </w:p>
    <w:p>
      <w:pPr>
        <w:spacing w:before="50" w:after="50"/>
        <w:ind w:firstLine="480"/>
        <w:rPr>
          <w:rFonts w:hint="eastAsia" w:hAnsi="宋体" w:cs="宋体"/>
          <w:b w:val="0"/>
          <w:bCs/>
          <w:highlight w:val="none"/>
        </w:rPr>
      </w:pPr>
      <w:r>
        <w:rPr>
          <w:rFonts w:hint="eastAsia" w:hAnsi="宋体" w:cs="宋体"/>
          <w:b w:val="0"/>
          <w:bCs/>
          <w:highlight w:val="none"/>
        </w:rPr>
        <w:t>11、《南方电网公司2024 年度数据安全提升专项行动方案》</w:t>
      </w:r>
    </w:p>
    <w:p>
      <w:pPr>
        <w:spacing w:before="50" w:after="50"/>
        <w:ind w:firstLine="480"/>
        <w:rPr>
          <w:rFonts w:hint="eastAsia" w:hAnsi="宋体" w:cs="宋体"/>
          <w:b w:val="0"/>
          <w:bCs/>
          <w:highlight w:val="none"/>
        </w:rPr>
      </w:pPr>
      <w:r>
        <w:rPr>
          <w:rFonts w:hint="eastAsia" w:hAnsi="宋体" w:cs="宋体"/>
          <w:b w:val="0"/>
          <w:bCs/>
          <w:highlight w:val="none"/>
        </w:rPr>
        <w:t>12 、《南方电网公司网络安全专项规划》</w:t>
      </w:r>
    </w:p>
    <w:p>
      <w:pPr>
        <w:spacing w:before="50" w:after="50"/>
        <w:ind w:firstLine="480"/>
        <w:rPr>
          <w:rFonts w:hint="eastAsia" w:hAnsi="宋体" w:cs="宋体"/>
          <w:b w:val="0"/>
          <w:bCs/>
          <w:highlight w:val="none"/>
        </w:rPr>
      </w:pPr>
      <w:r>
        <w:rPr>
          <w:rFonts w:hint="eastAsia" w:hAnsi="宋体" w:cs="宋体"/>
          <w:b w:val="0"/>
          <w:bCs/>
          <w:highlight w:val="none"/>
        </w:rPr>
        <w:t>13 、《南方电网公司管制类业务网络安全布防典型设计方案（2023年版）》</w:t>
      </w:r>
    </w:p>
    <w:p>
      <w:pPr>
        <w:spacing w:before="50" w:after="50"/>
        <w:ind w:firstLine="480"/>
        <w:rPr>
          <w:rFonts w:hint="eastAsia" w:hAnsi="宋体" w:cs="宋体"/>
          <w:b w:val="0"/>
          <w:bCs/>
          <w:highlight w:val="none"/>
        </w:rPr>
      </w:pPr>
      <w:r>
        <w:rPr>
          <w:rFonts w:hint="eastAsia" w:hAnsi="宋体" w:cs="宋体"/>
          <w:b w:val="0"/>
          <w:bCs/>
          <w:highlight w:val="none"/>
        </w:rPr>
        <w:t>14 、《南方电网公司信息安全保障体系》</w:t>
      </w:r>
    </w:p>
    <w:p>
      <w:pPr>
        <w:spacing w:before="50" w:after="50"/>
        <w:ind w:firstLine="480"/>
        <w:rPr>
          <w:rFonts w:hint="eastAsia" w:hAnsi="宋体" w:cs="宋体"/>
          <w:b w:val="0"/>
          <w:bCs/>
          <w:highlight w:val="none"/>
        </w:rPr>
      </w:pPr>
      <w:r>
        <w:rPr>
          <w:rFonts w:hint="eastAsia" w:hAnsi="宋体" w:cs="宋体"/>
          <w:b w:val="0"/>
          <w:bCs/>
          <w:highlight w:val="none"/>
        </w:rPr>
        <w:t>15 、《中国南方电网有限责任公司信息系统运行监测规范》（试行版）</w:t>
      </w:r>
    </w:p>
    <w:p>
      <w:pPr>
        <w:spacing w:before="50" w:after="50"/>
        <w:ind w:firstLine="480"/>
        <w:rPr>
          <w:rFonts w:hint="eastAsia" w:hAnsi="宋体" w:cs="宋体"/>
          <w:b w:val="0"/>
          <w:bCs/>
          <w:highlight w:val="none"/>
        </w:rPr>
      </w:pPr>
      <w:r>
        <w:rPr>
          <w:rFonts w:hint="eastAsia" w:hAnsi="宋体" w:cs="宋体"/>
          <w:b w:val="0"/>
          <w:bCs/>
          <w:highlight w:val="none"/>
        </w:rPr>
        <w:t>16 、《南方电网公司信息化项目预算编制与计算方法（2024 年修订版）》</w:t>
      </w:r>
    </w:p>
    <w:p>
      <w:pPr>
        <w:spacing w:before="50" w:after="50"/>
        <w:ind w:firstLine="480"/>
        <w:rPr>
          <w:rFonts w:hint="eastAsia" w:hAnsi="宋体" w:cs="宋体"/>
          <w:b w:val="0"/>
          <w:bCs/>
          <w:highlight w:val="none"/>
        </w:rPr>
      </w:pPr>
      <w:r>
        <w:rPr>
          <w:rFonts w:hint="eastAsia" w:hAnsi="宋体" w:cs="宋体"/>
          <w:b w:val="0"/>
          <w:bCs/>
          <w:highlight w:val="none"/>
        </w:rPr>
        <w:t>17 、《中国南方电网有限责任公司信息化项目建设管理细则》</w:t>
      </w:r>
    </w:p>
    <w:p>
      <w:pPr>
        <w:spacing w:before="50" w:after="50"/>
        <w:ind w:firstLine="480"/>
        <w:rPr>
          <w:rFonts w:hint="eastAsia" w:hAnsi="宋体" w:cs="宋体"/>
          <w:b w:val="0"/>
          <w:bCs/>
          <w:highlight w:val="none"/>
        </w:rPr>
      </w:pPr>
      <w:r>
        <w:rPr>
          <w:rFonts w:hint="eastAsia" w:hAnsi="宋体" w:cs="宋体"/>
          <w:b w:val="0"/>
          <w:bCs/>
          <w:highlight w:val="none"/>
        </w:rPr>
        <w:t>18 、《中国南方电网有限责任公司信息化项目投资管理细则》</w:t>
      </w:r>
      <w:bookmarkStart w:id="47" w:name="_Toc24862"/>
    </w:p>
    <w:p>
      <w:pPr>
        <w:pStyle w:val="4"/>
        <w:rPr>
          <w:rFonts w:hint="eastAsia"/>
          <w:highlight w:val="none"/>
        </w:rPr>
      </w:pPr>
      <w:bookmarkStart w:id="48" w:name="_Toc18079"/>
      <w:bookmarkStart w:id="49" w:name="_Toc27951"/>
      <w:r>
        <w:rPr>
          <w:rFonts w:hint="eastAsia"/>
          <w:highlight w:val="none"/>
        </w:rPr>
        <w:t>项目内容</w:t>
      </w:r>
      <w:bookmarkEnd w:id="11"/>
      <w:bookmarkEnd w:id="12"/>
      <w:bookmarkEnd w:id="13"/>
      <w:bookmarkEnd w:id="14"/>
      <w:bookmarkEnd w:id="15"/>
      <w:bookmarkEnd w:id="16"/>
      <w:r>
        <w:rPr>
          <w:rFonts w:hint="eastAsia"/>
          <w:highlight w:val="none"/>
        </w:rPr>
        <w:t>及要求</w:t>
      </w:r>
      <w:bookmarkEnd w:id="17"/>
      <w:bookmarkEnd w:id="18"/>
      <w:bookmarkEnd w:id="19"/>
      <w:bookmarkEnd w:id="20"/>
      <w:bookmarkEnd w:id="21"/>
      <w:bookmarkEnd w:id="22"/>
      <w:bookmarkEnd w:id="23"/>
      <w:bookmarkEnd w:id="24"/>
      <w:bookmarkEnd w:id="25"/>
      <w:bookmarkEnd w:id="47"/>
      <w:bookmarkEnd w:id="48"/>
      <w:bookmarkEnd w:id="49"/>
    </w:p>
    <w:bookmarkEnd w:id="26"/>
    <w:p>
      <w:pPr>
        <w:pStyle w:val="5"/>
        <w:rPr>
          <w:highlight w:val="none"/>
        </w:rPr>
      </w:pPr>
      <w:bookmarkStart w:id="50" w:name="_Toc11787"/>
      <w:bookmarkStart w:id="51" w:name="_Toc20312"/>
      <w:bookmarkStart w:id="52" w:name="_Toc6987"/>
      <w:bookmarkStart w:id="53" w:name="_Toc19390"/>
      <w:bookmarkStart w:id="54" w:name="_Toc15528"/>
      <w:bookmarkStart w:id="55" w:name="_Toc6604"/>
      <w:bookmarkStart w:id="56" w:name="_Toc10973"/>
      <w:bookmarkStart w:id="57" w:name="_Toc308"/>
      <w:bookmarkStart w:id="58" w:name="_Toc29386"/>
      <w:bookmarkStart w:id="59" w:name="_Toc17817"/>
      <w:bookmarkStart w:id="60" w:name="_Toc100654237"/>
      <w:bookmarkStart w:id="61" w:name="_Toc23953"/>
      <w:bookmarkStart w:id="62" w:name="_Toc1860714501"/>
      <w:bookmarkStart w:id="63" w:name="_Toc15247"/>
      <w:bookmarkStart w:id="64" w:name="_Toc24762"/>
      <w:bookmarkStart w:id="65" w:name="_Toc19711"/>
      <w:bookmarkStart w:id="66" w:name="_Toc343"/>
      <w:bookmarkStart w:id="67" w:name="_Toc454338266"/>
      <w:bookmarkStart w:id="68" w:name="_Toc16292"/>
      <w:bookmarkStart w:id="69" w:name="_Toc20590"/>
      <w:bookmarkStart w:id="70" w:name="_Toc29452"/>
      <w:bookmarkStart w:id="71" w:name="_Toc1890"/>
      <w:bookmarkStart w:id="72" w:name="_Toc30694"/>
      <w:bookmarkStart w:id="73" w:name="_Toc18571"/>
      <w:bookmarkStart w:id="74" w:name="_Toc5173"/>
      <w:bookmarkStart w:id="75" w:name="_Toc3706"/>
      <w:bookmarkStart w:id="76" w:name="_Toc340242297"/>
      <w:bookmarkStart w:id="77" w:name="_Toc4448"/>
      <w:bookmarkStart w:id="78" w:name="_Toc29844"/>
      <w:bookmarkStart w:id="79" w:name="_Toc19715"/>
      <w:bookmarkStart w:id="80" w:name="_Toc25580542"/>
      <w:bookmarkStart w:id="81" w:name="_Toc2586"/>
      <w:bookmarkStart w:id="82" w:name="_Toc320042204"/>
      <w:bookmarkStart w:id="83" w:name="_Toc313984434"/>
      <w:bookmarkStart w:id="84" w:name="_Toc158468058"/>
      <w:r>
        <w:rPr>
          <w:rFonts w:hint="eastAsia"/>
          <w:highlight w:val="none"/>
        </w:rPr>
        <w:t>软硬件资源</w:t>
      </w:r>
      <w:r>
        <w:rPr>
          <w:rFonts w:hint="eastAsia"/>
          <w:highlight w:val="none"/>
          <w:lang w:val="en-US" w:eastAsia="zh-CN"/>
        </w:rPr>
        <w:t>需</w:t>
      </w:r>
      <w:r>
        <w:rPr>
          <w:rFonts w:hint="eastAsia"/>
          <w:highlight w:val="none"/>
        </w:rPr>
        <w:t>求</w:t>
      </w: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p>
    <w:p>
      <w:pPr>
        <w:pStyle w:val="6"/>
        <w:tabs>
          <w:tab w:val="left" w:pos="720"/>
          <w:tab w:val="clear" w:pos="709"/>
        </w:tabs>
        <w:rPr>
          <w:highlight w:val="none"/>
        </w:rPr>
      </w:pPr>
      <w:bookmarkStart w:id="85" w:name="_Toc9629"/>
      <w:bookmarkStart w:id="86" w:name="_Toc156835262"/>
      <w:bookmarkStart w:id="87" w:name="_Toc21430"/>
      <w:bookmarkStart w:id="88" w:name="_Toc21128"/>
      <w:bookmarkStart w:id="89" w:name="_Toc1295"/>
      <w:bookmarkStart w:id="90" w:name="_Toc15920"/>
      <w:bookmarkStart w:id="91" w:name="_Toc25990"/>
      <w:r>
        <w:rPr>
          <w:rFonts w:hint="eastAsia"/>
          <w:highlight w:val="none"/>
        </w:rPr>
        <w:t>软硬件资源需求</w:t>
      </w:r>
      <w:bookmarkEnd w:id="85"/>
      <w:bookmarkEnd w:id="86"/>
      <w:bookmarkEnd w:id="87"/>
      <w:r>
        <w:rPr>
          <w:rFonts w:hint="eastAsia"/>
          <w:highlight w:val="none"/>
          <w:lang w:val="en-US" w:eastAsia="zh-CN"/>
        </w:rPr>
        <w:t>清单</w:t>
      </w:r>
      <w:bookmarkEnd w:id="88"/>
      <w:bookmarkEnd w:id="89"/>
      <w:bookmarkEnd w:id="90"/>
      <w:bookmarkEnd w:id="91"/>
    </w:p>
    <w:p>
      <w:pPr>
        <w:pStyle w:val="2"/>
        <w:ind w:firstLine="500" w:firstLineChars="200"/>
        <w:rPr>
          <w:rFonts w:hint="eastAsia" w:hAnsi="宋体" w:cs="宋体"/>
          <w:b w:val="0"/>
          <w:bCs/>
          <w:sz w:val="24"/>
          <w:szCs w:val="24"/>
          <w:highlight w:val="none"/>
        </w:rPr>
      </w:pPr>
      <w:bookmarkStart w:id="127" w:name="_GoBack"/>
      <w:r>
        <w:rPr>
          <w:rFonts w:hint="eastAsia" w:hAnsi="宋体" w:cs="宋体"/>
          <w:b w:val="0"/>
          <w:bCs/>
          <w:color w:val="000000"/>
          <w:kern w:val="0"/>
          <w:sz w:val="24"/>
          <w:szCs w:val="24"/>
          <w:highlight w:val="none"/>
          <w:lang w:val="en-US" w:eastAsia="zh-CN"/>
        </w:rPr>
        <w:t>根据现状分析及公司实际网络安全防护需求，需要通过本项目采购的安全设备需求清单如下：</w:t>
      </w:r>
    </w:p>
    <w:bookmarkEnd w:id="127"/>
    <w:tbl>
      <w:tblPr>
        <w:tblStyle w:val="23"/>
        <w:tblW w:w="5177" w:type="pct"/>
        <w:tblInd w:w="-156" w:type="dxa"/>
        <w:tblLayout w:type="fixed"/>
        <w:tblCellMar>
          <w:top w:w="0" w:type="dxa"/>
          <w:left w:w="108" w:type="dxa"/>
          <w:bottom w:w="0" w:type="dxa"/>
          <w:right w:w="108" w:type="dxa"/>
        </w:tblCellMar>
      </w:tblPr>
      <w:tblGrid>
        <w:gridCol w:w="456"/>
        <w:gridCol w:w="883"/>
        <w:gridCol w:w="1450"/>
        <w:gridCol w:w="4498"/>
        <w:gridCol w:w="450"/>
        <w:gridCol w:w="600"/>
        <w:gridCol w:w="487"/>
      </w:tblGrid>
      <w:tr>
        <w:tblPrEx>
          <w:tblCellMar>
            <w:top w:w="0" w:type="dxa"/>
            <w:left w:w="108" w:type="dxa"/>
            <w:bottom w:w="0" w:type="dxa"/>
            <w:right w:w="108" w:type="dxa"/>
          </w:tblCellMar>
        </w:tblPrEx>
        <w:trPr>
          <w:trHeight w:val="320" w:hRule="atLeast"/>
        </w:trPr>
        <w:tc>
          <w:tcPr>
            <w:tcW w:w="258" w:type="pct"/>
            <w:tcBorders>
              <w:top w:val="single" w:color="auto" w:sz="4" w:space="0"/>
              <w:left w:val="single" w:color="auto" w:sz="8" w:space="0"/>
              <w:bottom w:val="single" w:color="auto" w:sz="4" w:space="0"/>
              <w:right w:val="single" w:color="auto" w:sz="8" w:space="0"/>
            </w:tcBorders>
            <w:shd w:val="clear" w:color="FFFFFF" w:themeColor="background1" w:fill="auto"/>
            <w:vAlign w:val="center"/>
          </w:tcPr>
          <w:p>
            <w:pPr>
              <w:jc w:val="center"/>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序号</w:t>
            </w:r>
          </w:p>
        </w:tc>
        <w:tc>
          <w:tcPr>
            <w:tcW w:w="500" w:type="pct"/>
            <w:tcBorders>
              <w:top w:val="single" w:color="auto" w:sz="4" w:space="0"/>
              <w:left w:val="nil"/>
              <w:bottom w:val="single" w:color="auto" w:sz="4" w:space="0"/>
              <w:right w:val="single" w:color="auto" w:sz="8" w:space="0"/>
            </w:tcBorders>
            <w:shd w:val="clear" w:color="FFFFFF" w:themeColor="background1" w:fill="auto"/>
            <w:vAlign w:val="center"/>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pacing w:val="-4"/>
                <w:sz w:val="24"/>
                <w:szCs w:val="24"/>
                <w:highlight w:val="none"/>
              </w:rPr>
              <w:t>数据中心名</w:t>
            </w:r>
            <w:r>
              <w:rPr>
                <w:rFonts w:hint="eastAsia" w:asciiTheme="minorEastAsia" w:hAnsiTheme="minorEastAsia" w:eastAsiaTheme="minorEastAsia" w:cstheme="minorEastAsia"/>
                <w:b/>
                <w:bCs/>
                <w:color w:val="auto"/>
                <w:spacing w:val="-3"/>
                <w:sz w:val="24"/>
                <w:szCs w:val="24"/>
                <w:highlight w:val="none"/>
              </w:rPr>
              <w:t>称</w:t>
            </w:r>
          </w:p>
        </w:tc>
        <w:tc>
          <w:tcPr>
            <w:tcW w:w="821" w:type="pct"/>
            <w:tcBorders>
              <w:top w:val="single" w:color="auto" w:sz="4" w:space="0"/>
              <w:left w:val="nil"/>
              <w:bottom w:val="single" w:color="auto" w:sz="4" w:space="0"/>
              <w:right w:val="single" w:color="auto" w:sz="8" w:space="0"/>
            </w:tcBorders>
            <w:shd w:val="clear" w:color="FFFFFF" w:themeColor="background1" w:fill="auto"/>
            <w:vAlign w:val="center"/>
          </w:tcPr>
          <w:p>
            <w:pPr>
              <w:pStyle w:val="59"/>
              <w:spacing w:before="78" w:line="254" w:lineRule="auto"/>
              <w:ind w:right="111" w:rightChars="0"/>
              <w:jc w:val="center"/>
              <w:rPr>
                <w:rFonts w:hint="eastAsia" w:asciiTheme="minorEastAsia" w:hAnsiTheme="minorEastAsia" w:eastAsiaTheme="minorEastAsia" w:cstheme="minorEastAsia"/>
                <w:color w:val="auto"/>
                <w:kern w:val="2"/>
                <w:sz w:val="24"/>
                <w:szCs w:val="24"/>
                <w:highlight w:val="none"/>
                <w:lang w:val="en-US" w:eastAsia="en-US" w:bidi="ar-SA"/>
              </w:rPr>
            </w:pPr>
            <w:r>
              <w:rPr>
                <w:rFonts w:hint="eastAsia" w:asciiTheme="minorEastAsia" w:hAnsiTheme="minorEastAsia" w:eastAsiaTheme="minorEastAsia" w:cstheme="minorEastAsia"/>
                <w:b/>
                <w:bCs/>
                <w:color w:val="auto"/>
                <w:spacing w:val="-3"/>
                <w:kern w:val="2"/>
                <w:sz w:val="24"/>
                <w:szCs w:val="24"/>
                <w:highlight w:val="none"/>
                <w:lang w:val="en-US" w:eastAsia="zh-CN" w:bidi="ar-SA"/>
              </w:rPr>
              <w:t>软硬件设备名称</w:t>
            </w:r>
          </w:p>
        </w:tc>
        <w:tc>
          <w:tcPr>
            <w:tcW w:w="2548" w:type="pct"/>
            <w:tcBorders>
              <w:top w:val="single" w:color="auto" w:sz="4" w:space="0"/>
              <w:left w:val="nil"/>
              <w:bottom w:val="single" w:color="auto" w:sz="4" w:space="0"/>
              <w:right w:val="single" w:color="auto" w:sz="8" w:space="0"/>
            </w:tcBorders>
            <w:shd w:val="clear" w:color="FFFFFF" w:themeColor="background1" w:fill="auto"/>
            <w:vAlign w:val="center"/>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pacing w:val="-3"/>
                <w:sz w:val="24"/>
                <w:szCs w:val="24"/>
                <w:highlight w:val="none"/>
              </w:rPr>
              <w:t>采购需求说明（必要性说明）</w:t>
            </w:r>
          </w:p>
        </w:tc>
        <w:tc>
          <w:tcPr>
            <w:tcW w:w="254" w:type="pct"/>
            <w:tcBorders>
              <w:top w:val="single" w:color="auto" w:sz="4" w:space="0"/>
              <w:left w:val="nil"/>
              <w:bottom w:val="single" w:color="auto" w:sz="4" w:space="0"/>
              <w:right w:val="single" w:color="auto" w:sz="8" w:space="0"/>
            </w:tcBorders>
            <w:shd w:val="clear" w:color="FFFFFF" w:themeColor="background1" w:fill="auto"/>
            <w:vAlign w:val="center"/>
          </w:tcPr>
          <w:p>
            <w:pPr>
              <w:jc w:val="center"/>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单位</w:t>
            </w:r>
          </w:p>
        </w:tc>
        <w:tc>
          <w:tcPr>
            <w:tcW w:w="339" w:type="pct"/>
            <w:tcBorders>
              <w:top w:val="single" w:color="auto" w:sz="4" w:space="0"/>
              <w:left w:val="nil"/>
              <w:bottom w:val="single" w:color="auto" w:sz="4" w:space="0"/>
              <w:right w:val="single" w:color="auto" w:sz="8" w:space="0"/>
            </w:tcBorders>
            <w:shd w:val="clear" w:color="FFFFFF" w:themeColor="background1" w:fill="auto"/>
            <w:vAlign w:val="center"/>
          </w:tcPr>
          <w:p>
            <w:pPr>
              <w:jc w:val="center"/>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数量</w:t>
            </w:r>
          </w:p>
        </w:tc>
        <w:tc>
          <w:tcPr>
            <w:tcW w:w="275" w:type="pct"/>
            <w:tcBorders>
              <w:top w:val="single" w:color="auto" w:sz="4" w:space="0"/>
              <w:left w:val="nil"/>
              <w:bottom w:val="single" w:color="auto" w:sz="4" w:space="0"/>
              <w:right w:val="single" w:color="auto" w:sz="8" w:space="0"/>
            </w:tcBorders>
            <w:shd w:val="clear" w:color="FFFFFF" w:themeColor="background1" w:fill="auto"/>
            <w:vAlign w:val="center"/>
          </w:tcPr>
          <w:p>
            <w:pPr>
              <w:jc w:val="center"/>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备注</w:t>
            </w:r>
          </w:p>
        </w:tc>
      </w:tr>
      <w:tr>
        <w:tblPrEx>
          <w:tblCellMar>
            <w:top w:w="0" w:type="dxa"/>
            <w:left w:w="108" w:type="dxa"/>
            <w:bottom w:w="0" w:type="dxa"/>
            <w:right w:w="108" w:type="dxa"/>
          </w:tblCellMar>
        </w:tblPrEx>
        <w:trPr>
          <w:trHeight w:val="970" w:hRule="atLeast"/>
        </w:trPr>
        <w:tc>
          <w:tcPr>
            <w:tcW w:w="258" w:type="pct"/>
            <w:tcBorders>
              <w:top w:val="single" w:color="auto" w:sz="4" w:space="0"/>
              <w:left w:val="single" w:color="auto" w:sz="8" w:space="0"/>
              <w:bottom w:val="single" w:color="auto" w:sz="4" w:space="0"/>
              <w:right w:val="single" w:color="auto" w:sz="8" w:space="0"/>
            </w:tcBorders>
            <w:vAlign w:val="center"/>
          </w:tcPr>
          <w:p>
            <w:pPr>
              <w:jc w:val="center"/>
              <w:rPr>
                <w:rFonts w:hint="eastAsia" w:asciiTheme="minorEastAsia" w:hAnsiTheme="minorEastAsia" w:eastAsiaTheme="minorEastAsia" w:cstheme="minorEastAsia"/>
                <w:color w:val="000000"/>
                <w:sz w:val="24"/>
                <w:szCs w:val="24"/>
                <w:highlight w:val="none"/>
                <w:lang w:val="en-US" w:eastAsia="zh-CN"/>
              </w:rPr>
            </w:pPr>
            <w:bookmarkStart w:id="92" w:name="_Toc2561"/>
            <w:bookmarkStart w:id="93" w:name="_Toc7843"/>
            <w:bookmarkStart w:id="94" w:name="_Toc5441"/>
            <w:bookmarkStart w:id="95" w:name="_Toc15224"/>
            <w:r>
              <w:rPr>
                <w:rFonts w:hint="eastAsia" w:asciiTheme="minorEastAsia" w:hAnsiTheme="minorEastAsia" w:eastAsiaTheme="minorEastAsia" w:cstheme="minorEastAsia"/>
                <w:color w:val="000000"/>
                <w:sz w:val="24"/>
                <w:szCs w:val="24"/>
                <w:highlight w:val="none"/>
                <w:lang w:val="en-US" w:eastAsia="zh-CN"/>
              </w:rPr>
              <w:t>1</w:t>
            </w:r>
          </w:p>
        </w:tc>
        <w:tc>
          <w:tcPr>
            <w:tcW w:w="500" w:type="pct"/>
            <w:tcBorders>
              <w:top w:val="single" w:color="auto" w:sz="4" w:space="0"/>
              <w:left w:val="nil"/>
              <w:bottom w:val="single" w:color="auto" w:sz="4" w:space="0"/>
              <w:right w:val="single" w:color="auto" w:sz="8" w:space="0"/>
            </w:tcBorders>
            <w:vAlign w:val="center"/>
          </w:tcPr>
          <w:p>
            <w:pPr>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kern w:val="2"/>
                <w:sz w:val="24"/>
                <w:szCs w:val="24"/>
                <w:highlight w:val="none"/>
                <w:lang w:val="en-US" w:eastAsia="zh-CN" w:bidi="ar-SA"/>
              </w:rPr>
              <w:t>总部基地数据中心</w:t>
            </w:r>
          </w:p>
        </w:tc>
        <w:tc>
          <w:tcPr>
            <w:tcW w:w="821" w:type="pct"/>
            <w:tcBorders>
              <w:top w:val="single" w:color="auto" w:sz="4" w:space="0"/>
              <w:left w:val="nil"/>
              <w:bottom w:val="single" w:color="auto" w:sz="4" w:space="0"/>
              <w:right w:val="single" w:color="auto" w:sz="8" w:space="0"/>
            </w:tcBorders>
            <w:vAlign w:val="center"/>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恶意文件检测设备</w:t>
            </w:r>
          </w:p>
        </w:tc>
        <w:tc>
          <w:tcPr>
            <w:tcW w:w="2548" w:type="pct"/>
            <w:tcBorders>
              <w:top w:val="single" w:color="auto" w:sz="4" w:space="0"/>
              <w:left w:val="nil"/>
              <w:bottom w:val="single" w:color="auto" w:sz="4" w:space="0"/>
              <w:right w:val="single" w:color="auto" w:sz="8" w:space="0"/>
            </w:tcBorders>
            <w:vAlign w:val="center"/>
          </w:tcPr>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8"/>
                <w:sz w:val="24"/>
                <w:szCs w:val="24"/>
                <w:highlight w:val="none"/>
              </w:rPr>
              <w:t>基地数据中心 IV/V</w:t>
            </w:r>
            <w:r>
              <w:rPr>
                <w:rFonts w:hint="eastAsia" w:asciiTheme="minorEastAsia" w:hAnsiTheme="minorEastAsia" w:eastAsiaTheme="minorEastAsia" w:cstheme="minorEastAsia"/>
                <w:spacing w:val="23"/>
                <w:sz w:val="24"/>
                <w:szCs w:val="24"/>
                <w:highlight w:val="none"/>
              </w:rPr>
              <w:t xml:space="preserve"> </w:t>
            </w:r>
            <w:r>
              <w:rPr>
                <w:rFonts w:hint="eastAsia" w:asciiTheme="minorEastAsia" w:hAnsiTheme="minorEastAsia" w:eastAsiaTheme="minorEastAsia" w:cstheme="minorEastAsia"/>
                <w:spacing w:val="-8"/>
                <w:sz w:val="24"/>
                <w:szCs w:val="24"/>
                <w:highlight w:val="none"/>
              </w:rPr>
              <w:t>区恶意文件检测设备</w:t>
            </w:r>
            <w:r>
              <w:rPr>
                <w:rFonts w:hint="eastAsia" w:asciiTheme="minorEastAsia" w:hAnsiTheme="minorEastAsia" w:eastAsiaTheme="minorEastAsia" w:cstheme="minorEastAsia"/>
                <w:spacing w:val="-1"/>
                <w:sz w:val="24"/>
                <w:szCs w:val="24"/>
                <w:highlight w:val="none"/>
              </w:rPr>
              <w:t>于</w:t>
            </w:r>
            <w:r>
              <w:rPr>
                <w:rFonts w:hint="eastAsia" w:asciiTheme="minorEastAsia" w:hAnsiTheme="minorEastAsia" w:eastAsiaTheme="minorEastAsia" w:cstheme="minorEastAsia"/>
                <w:spacing w:val="-28"/>
                <w:sz w:val="24"/>
                <w:szCs w:val="24"/>
                <w:highlight w:val="none"/>
              </w:rPr>
              <w:t xml:space="preserve"> </w:t>
            </w:r>
            <w:r>
              <w:rPr>
                <w:rFonts w:hint="eastAsia" w:asciiTheme="minorEastAsia" w:hAnsiTheme="minorEastAsia" w:eastAsiaTheme="minorEastAsia" w:cstheme="minorEastAsia"/>
                <w:spacing w:val="-1"/>
                <w:sz w:val="24"/>
                <w:szCs w:val="24"/>
                <w:highlight w:val="none"/>
              </w:rPr>
              <w:t>2019</w:t>
            </w:r>
            <w:r>
              <w:rPr>
                <w:rFonts w:hint="eastAsia" w:asciiTheme="minorEastAsia" w:hAnsiTheme="minorEastAsia" w:eastAsiaTheme="minorEastAsia" w:cstheme="minorEastAsia"/>
                <w:spacing w:val="-47"/>
                <w:sz w:val="24"/>
                <w:szCs w:val="24"/>
                <w:highlight w:val="none"/>
              </w:rPr>
              <w:t xml:space="preserve"> </w:t>
            </w:r>
            <w:r>
              <w:rPr>
                <w:rFonts w:hint="eastAsia" w:asciiTheme="minorEastAsia" w:hAnsiTheme="minorEastAsia" w:eastAsiaTheme="minorEastAsia" w:cstheme="minorEastAsia"/>
                <w:spacing w:val="-1"/>
                <w:sz w:val="24"/>
                <w:szCs w:val="24"/>
                <w:highlight w:val="none"/>
              </w:rPr>
              <w:t>年投</w:t>
            </w:r>
            <w:r>
              <w:rPr>
                <w:rFonts w:hint="eastAsia" w:asciiTheme="minorEastAsia" w:hAnsiTheme="minorEastAsia" w:eastAsiaTheme="minorEastAsia" w:cstheme="minorEastAsia"/>
                <w:spacing w:val="-2"/>
                <w:sz w:val="24"/>
                <w:szCs w:val="24"/>
                <w:highlight w:val="none"/>
              </w:rPr>
              <w:t>运，投运时间超过</w:t>
            </w:r>
            <w:r>
              <w:rPr>
                <w:rFonts w:hint="eastAsia" w:asciiTheme="minorEastAsia" w:hAnsiTheme="minorEastAsia" w:eastAsiaTheme="minorEastAsia" w:cstheme="minorEastAsia"/>
                <w:spacing w:val="-27"/>
                <w:sz w:val="24"/>
                <w:szCs w:val="24"/>
                <w:highlight w:val="none"/>
              </w:rPr>
              <w:t xml:space="preserve"> </w:t>
            </w:r>
            <w:r>
              <w:rPr>
                <w:rFonts w:hint="eastAsia" w:asciiTheme="minorEastAsia" w:hAnsiTheme="minorEastAsia" w:eastAsiaTheme="minorEastAsia" w:cstheme="minorEastAsia"/>
                <w:spacing w:val="-2"/>
                <w:sz w:val="24"/>
                <w:szCs w:val="24"/>
                <w:highlight w:val="none"/>
              </w:rPr>
              <w:t>7</w:t>
            </w:r>
            <w:r>
              <w:rPr>
                <w:rFonts w:hint="eastAsia" w:asciiTheme="minorEastAsia" w:hAnsiTheme="minorEastAsia" w:eastAsiaTheme="minorEastAsia" w:cstheme="minorEastAsia"/>
                <w:spacing w:val="-46"/>
                <w:sz w:val="24"/>
                <w:szCs w:val="24"/>
                <w:highlight w:val="none"/>
              </w:rPr>
              <w:t xml:space="preserve"> </w:t>
            </w:r>
            <w:r>
              <w:rPr>
                <w:rFonts w:hint="eastAsia" w:asciiTheme="minorEastAsia" w:hAnsiTheme="minorEastAsia" w:eastAsiaTheme="minorEastAsia" w:cstheme="minorEastAsia"/>
                <w:spacing w:val="-2"/>
                <w:sz w:val="24"/>
                <w:szCs w:val="24"/>
                <w:highlight w:val="none"/>
              </w:rPr>
              <w:t>年，设备老旧，未满足自主</w:t>
            </w:r>
            <w:r>
              <w:rPr>
                <w:rFonts w:hint="eastAsia" w:asciiTheme="minorEastAsia" w:hAnsiTheme="minorEastAsia" w:eastAsiaTheme="minorEastAsia" w:cstheme="minorEastAsia"/>
                <w:spacing w:val="-8"/>
                <w:sz w:val="24"/>
                <w:szCs w:val="24"/>
                <w:highlight w:val="none"/>
              </w:rPr>
              <w:t>可控要求且该设备已过原厂维保、检测技术落后，</w:t>
            </w:r>
            <w:r>
              <w:rPr>
                <w:rFonts w:hint="eastAsia" w:asciiTheme="minorEastAsia" w:hAnsiTheme="minorEastAsia" w:eastAsiaTheme="minorEastAsia" w:cstheme="minorEastAsia"/>
                <w:spacing w:val="-4"/>
                <w:sz w:val="24"/>
                <w:szCs w:val="24"/>
                <w:highlight w:val="none"/>
              </w:rPr>
              <w:t>无法防御 “银狐</w:t>
            </w:r>
            <w:r>
              <w:rPr>
                <w:rFonts w:hint="eastAsia" w:asciiTheme="minorEastAsia" w:hAnsiTheme="minorEastAsia" w:eastAsiaTheme="minorEastAsia" w:cstheme="minorEastAsia"/>
                <w:spacing w:val="-76"/>
                <w:sz w:val="24"/>
                <w:szCs w:val="24"/>
                <w:highlight w:val="none"/>
              </w:rPr>
              <w:t xml:space="preserve"> </w:t>
            </w:r>
            <w:r>
              <w:rPr>
                <w:rFonts w:hint="eastAsia" w:asciiTheme="minorEastAsia" w:hAnsiTheme="minorEastAsia" w:eastAsiaTheme="minorEastAsia" w:cstheme="minorEastAsia"/>
                <w:spacing w:val="-4"/>
                <w:sz w:val="24"/>
                <w:szCs w:val="24"/>
                <w:highlight w:val="none"/>
              </w:rPr>
              <w:t>”、勒索病毒等新型恶意代码，</w:t>
            </w:r>
            <w:r>
              <w:rPr>
                <w:rFonts w:hint="eastAsia" w:asciiTheme="minorEastAsia" w:hAnsiTheme="minorEastAsia" w:eastAsiaTheme="minorEastAsia" w:cstheme="minorEastAsia"/>
                <w:spacing w:val="-1"/>
                <w:sz w:val="24"/>
                <w:szCs w:val="24"/>
                <w:highlight w:val="none"/>
              </w:rPr>
              <w:t>需进行替换；新设备需实现恶意文件系统检测及处置联动，防范近期频发的新型网络攻击。</w:t>
            </w:r>
            <w:r>
              <w:rPr>
                <w:rFonts w:hint="eastAsia" w:asciiTheme="minorEastAsia" w:hAnsiTheme="minorEastAsia" w:eastAsiaTheme="minorEastAsia" w:cstheme="minorEastAsia"/>
                <w:spacing w:val="-7"/>
                <w:sz w:val="24"/>
                <w:szCs w:val="24"/>
                <w:highlight w:val="none"/>
              </w:rPr>
              <w:t>基地数据中心 IV</w:t>
            </w:r>
            <w:r>
              <w:rPr>
                <w:rFonts w:hint="eastAsia" w:asciiTheme="minorEastAsia" w:hAnsiTheme="minorEastAsia" w:eastAsiaTheme="minorEastAsia" w:cstheme="minorEastAsia"/>
                <w:spacing w:val="-26"/>
                <w:sz w:val="24"/>
                <w:szCs w:val="24"/>
                <w:highlight w:val="none"/>
              </w:rPr>
              <w:t xml:space="preserve"> </w:t>
            </w:r>
            <w:r>
              <w:rPr>
                <w:rFonts w:hint="eastAsia" w:asciiTheme="minorEastAsia" w:hAnsiTheme="minorEastAsia" w:eastAsiaTheme="minorEastAsia" w:cstheme="minorEastAsia"/>
                <w:spacing w:val="-7"/>
                <w:sz w:val="24"/>
                <w:szCs w:val="24"/>
                <w:highlight w:val="none"/>
              </w:rPr>
              <w:t>区、V</w:t>
            </w:r>
            <w:r>
              <w:rPr>
                <w:rFonts w:hint="eastAsia" w:asciiTheme="minorEastAsia" w:hAnsiTheme="minorEastAsia" w:eastAsiaTheme="minorEastAsia" w:cstheme="minorEastAsia"/>
                <w:spacing w:val="25"/>
                <w:sz w:val="24"/>
                <w:szCs w:val="24"/>
                <w:highlight w:val="none"/>
              </w:rPr>
              <w:t xml:space="preserve"> </w:t>
            </w:r>
            <w:r>
              <w:rPr>
                <w:rFonts w:hint="eastAsia" w:asciiTheme="minorEastAsia" w:hAnsiTheme="minorEastAsia" w:eastAsiaTheme="minorEastAsia" w:cstheme="minorEastAsia"/>
                <w:spacing w:val="-7"/>
                <w:sz w:val="24"/>
                <w:szCs w:val="24"/>
                <w:highlight w:val="none"/>
              </w:rPr>
              <w:t>区各</w:t>
            </w:r>
            <w:r>
              <w:rPr>
                <w:rFonts w:hint="eastAsia" w:asciiTheme="minorEastAsia" w:hAnsiTheme="minorEastAsia" w:eastAsiaTheme="minorEastAsia" w:cstheme="minorEastAsia"/>
                <w:spacing w:val="-32"/>
                <w:sz w:val="24"/>
                <w:szCs w:val="24"/>
                <w:highlight w:val="none"/>
              </w:rPr>
              <w:t xml:space="preserve"> </w:t>
            </w:r>
            <w:r>
              <w:rPr>
                <w:rFonts w:hint="eastAsia" w:asciiTheme="minorEastAsia" w:hAnsiTheme="minorEastAsia" w:eastAsiaTheme="minorEastAsia" w:cstheme="minorEastAsia"/>
                <w:spacing w:val="-7"/>
                <w:sz w:val="24"/>
                <w:szCs w:val="24"/>
                <w:highlight w:val="none"/>
              </w:rPr>
              <w:t>1</w:t>
            </w:r>
            <w:r>
              <w:rPr>
                <w:rFonts w:hint="eastAsia" w:asciiTheme="minorEastAsia" w:hAnsiTheme="minorEastAsia" w:eastAsiaTheme="minorEastAsia" w:cstheme="minorEastAsia"/>
                <w:spacing w:val="-29"/>
                <w:sz w:val="24"/>
                <w:szCs w:val="24"/>
                <w:highlight w:val="none"/>
              </w:rPr>
              <w:t xml:space="preserve"> </w:t>
            </w:r>
            <w:r>
              <w:rPr>
                <w:rFonts w:hint="eastAsia" w:asciiTheme="minorEastAsia" w:hAnsiTheme="minorEastAsia" w:eastAsiaTheme="minorEastAsia" w:cstheme="minorEastAsia"/>
                <w:spacing w:val="-7"/>
                <w:sz w:val="24"/>
                <w:szCs w:val="24"/>
                <w:highlight w:val="none"/>
              </w:rPr>
              <w:t>台，共</w:t>
            </w:r>
            <w:r>
              <w:rPr>
                <w:rFonts w:hint="eastAsia" w:asciiTheme="minorEastAsia" w:hAnsiTheme="minorEastAsia" w:eastAsiaTheme="minorEastAsia" w:cstheme="minorEastAsia"/>
                <w:spacing w:val="-46"/>
                <w:sz w:val="24"/>
                <w:szCs w:val="24"/>
                <w:highlight w:val="none"/>
              </w:rPr>
              <w:t xml:space="preserve"> </w:t>
            </w:r>
            <w:r>
              <w:rPr>
                <w:rFonts w:hint="eastAsia" w:asciiTheme="minorEastAsia" w:hAnsiTheme="minorEastAsia" w:eastAsiaTheme="minorEastAsia" w:cstheme="minorEastAsia"/>
                <w:spacing w:val="-7"/>
                <w:sz w:val="24"/>
                <w:szCs w:val="24"/>
                <w:highlight w:val="none"/>
              </w:rPr>
              <w:t>2</w:t>
            </w:r>
            <w:r>
              <w:rPr>
                <w:rFonts w:hint="eastAsia" w:asciiTheme="minorEastAsia" w:hAnsiTheme="minorEastAsia" w:eastAsiaTheme="minorEastAsia" w:cstheme="minorEastAsia"/>
                <w:spacing w:val="-29"/>
                <w:sz w:val="24"/>
                <w:szCs w:val="24"/>
                <w:highlight w:val="none"/>
              </w:rPr>
              <w:t xml:space="preserve"> </w:t>
            </w:r>
            <w:r>
              <w:rPr>
                <w:rFonts w:hint="eastAsia" w:asciiTheme="minorEastAsia" w:hAnsiTheme="minorEastAsia" w:eastAsiaTheme="minorEastAsia" w:cstheme="minorEastAsia"/>
                <w:spacing w:val="-7"/>
                <w:sz w:val="24"/>
                <w:szCs w:val="24"/>
                <w:highlight w:val="none"/>
              </w:rPr>
              <w:t>台。</w:t>
            </w:r>
          </w:p>
        </w:tc>
        <w:tc>
          <w:tcPr>
            <w:tcW w:w="254" w:type="pct"/>
            <w:tcBorders>
              <w:top w:val="single" w:color="auto" w:sz="4" w:space="0"/>
              <w:left w:val="nil"/>
              <w:bottom w:val="single" w:color="auto" w:sz="4" w:space="0"/>
              <w:right w:val="single" w:color="auto" w:sz="8" w:space="0"/>
            </w:tcBorders>
            <w:shd w:val="clear" w:color="auto" w:fill="auto"/>
            <w:vAlign w:val="center"/>
          </w:tcPr>
          <w:p>
            <w:pPr>
              <w:jc w:val="center"/>
              <w:rPr>
                <w:rFonts w:hint="eastAsia" w:asciiTheme="minorEastAsia" w:hAnsiTheme="minorEastAsia" w:eastAsiaTheme="minorEastAsia" w:cstheme="minorEastAsia"/>
                <w:color w:val="000000"/>
                <w:kern w:val="2"/>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rPr>
              <w:t>台</w:t>
            </w:r>
          </w:p>
        </w:tc>
        <w:tc>
          <w:tcPr>
            <w:tcW w:w="339" w:type="pct"/>
            <w:tcBorders>
              <w:top w:val="single" w:color="auto" w:sz="4" w:space="0"/>
              <w:left w:val="nil"/>
              <w:bottom w:val="single" w:color="auto" w:sz="4" w:space="0"/>
              <w:right w:val="single" w:color="auto" w:sz="8" w:space="0"/>
            </w:tcBorders>
            <w:shd w:val="clear" w:color="auto" w:fill="auto"/>
            <w:vAlign w:val="center"/>
          </w:tcPr>
          <w:p>
            <w:pPr>
              <w:jc w:val="center"/>
              <w:rPr>
                <w:rFonts w:hint="eastAsia" w:asciiTheme="minorEastAsia" w:hAnsiTheme="minorEastAsia" w:eastAsiaTheme="minorEastAsia" w:cstheme="minorEastAsia"/>
                <w:color w:val="000000"/>
                <w:kern w:val="2"/>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rPr>
              <w:t>2</w:t>
            </w:r>
          </w:p>
        </w:tc>
        <w:tc>
          <w:tcPr>
            <w:tcW w:w="275" w:type="pct"/>
            <w:tcBorders>
              <w:top w:val="single" w:color="auto" w:sz="4" w:space="0"/>
              <w:left w:val="nil"/>
              <w:bottom w:val="single" w:color="auto" w:sz="4" w:space="0"/>
              <w:right w:val="single" w:color="auto" w:sz="8" w:space="0"/>
            </w:tcBorders>
            <w:vAlign w:val="center"/>
          </w:tcPr>
          <w:p>
            <w:pPr>
              <w:jc w:val="center"/>
              <w:rPr>
                <w:rFonts w:hint="eastAsia" w:asciiTheme="minorEastAsia" w:hAnsiTheme="minorEastAsia" w:eastAsiaTheme="minorEastAsia" w:cstheme="minorEastAsia"/>
                <w:sz w:val="24"/>
                <w:szCs w:val="24"/>
                <w:highlight w:val="none"/>
              </w:rPr>
            </w:pPr>
          </w:p>
        </w:tc>
      </w:tr>
      <w:tr>
        <w:tblPrEx>
          <w:tblCellMar>
            <w:top w:w="0" w:type="dxa"/>
            <w:left w:w="108" w:type="dxa"/>
            <w:bottom w:w="0" w:type="dxa"/>
            <w:right w:w="108" w:type="dxa"/>
          </w:tblCellMar>
        </w:tblPrEx>
        <w:trPr>
          <w:trHeight w:val="970" w:hRule="atLeast"/>
        </w:trPr>
        <w:tc>
          <w:tcPr>
            <w:tcW w:w="258" w:type="pct"/>
            <w:tcBorders>
              <w:top w:val="single" w:color="auto" w:sz="4" w:space="0"/>
              <w:left w:val="single" w:color="auto" w:sz="8" w:space="0"/>
              <w:bottom w:val="single" w:color="auto" w:sz="4" w:space="0"/>
              <w:right w:val="single" w:color="auto" w:sz="8" w:space="0"/>
            </w:tcBorders>
            <w:vAlign w:val="center"/>
          </w:tcPr>
          <w:p>
            <w:pPr>
              <w:jc w:val="center"/>
              <w:rPr>
                <w:rFonts w:hint="default"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2</w:t>
            </w:r>
          </w:p>
        </w:tc>
        <w:tc>
          <w:tcPr>
            <w:tcW w:w="500" w:type="pct"/>
            <w:tcBorders>
              <w:top w:val="single" w:color="auto" w:sz="4" w:space="0"/>
              <w:left w:val="nil"/>
              <w:bottom w:val="single" w:color="auto" w:sz="4" w:space="0"/>
              <w:right w:val="single" w:color="auto" w:sz="8" w:space="0"/>
            </w:tcBorders>
            <w:vAlign w:val="center"/>
          </w:tcPr>
          <w:p>
            <w:pPr>
              <w:jc w:val="center"/>
              <w:rPr>
                <w:rFonts w:hint="default"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SA"/>
              </w:rPr>
              <w:t>总部基地数据中心、各单位数据中心</w:t>
            </w:r>
          </w:p>
        </w:tc>
        <w:tc>
          <w:tcPr>
            <w:tcW w:w="821" w:type="pct"/>
            <w:tcBorders>
              <w:top w:val="single" w:color="auto" w:sz="4" w:space="0"/>
              <w:left w:val="nil"/>
              <w:bottom w:val="single" w:color="auto" w:sz="4" w:space="0"/>
              <w:right w:val="single" w:color="auto" w:sz="8" w:space="0"/>
            </w:tcBorders>
            <w:shd w:val="clear" w:color="auto" w:fill="auto"/>
            <w:vAlign w:val="center"/>
          </w:tcPr>
          <w:p>
            <w:pPr>
              <w:pStyle w:val="59"/>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eastAsiaTheme="minorEastAsia" w:cstheme="minorEastAsia"/>
                <w:kern w:val="2"/>
                <w:sz w:val="24"/>
                <w:szCs w:val="24"/>
                <w:highlight w:val="none"/>
                <w:lang w:val="en-US" w:eastAsia="zh-CN" w:bidi="ar-SA"/>
              </w:rPr>
              <w:t>主机安全系统（</w:t>
            </w:r>
            <w:r>
              <w:rPr>
                <w:rFonts w:hint="eastAsia" w:asciiTheme="minorEastAsia" w:hAnsiTheme="minorEastAsia" w:eastAsiaTheme="minorEastAsia" w:cstheme="minorEastAsia"/>
                <w:kern w:val="2"/>
                <w:sz w:val="24"/>
                <w:szCs w:val="24"/>
                <w:highlight w:val="none"/>
                <w:lang w:val="en-US" w:eastAsia="en-US" w:bidi="ar-SA"/>
              </w:rPr>
              <w:t>G01</w:t>
            </w:r>
            <w:r>
              <w:rPr>
                <w:rFonts w:hint="eastAsia" w:asciiTheme="minorEastAsia" w:hAnsiTheme="minorEastAsia" w:eastAsiaTheme="minorEastAsia" w:cstheme="minorEastAsia"/>
                <w:kern w:val="2"/>
                <w:sz w:val="24"/>
                <w:szCs w:val="24"/>
                <w:highlight w:val="none"/>
                <w:lang w:val="en-US" w:eastAsia="zh-CN" w:bidi="ar-SA"/>
              </w:rPr>
              <w:t>）Agent授权续费</w:t>
            </w:r>
          </w:p>
        </w:tc>
        <w:tc>
          <w:tcPr>
            <w:tcW w:w="2548" w:type="pct"/>
            <w:tcBorders>
              <w:top w:val="single" w:color="auto" w:sz="4" w:space="0"/>
              <w:left w:val="nil"/>
              <w:bottom w:val="single" w:color="auto" w:sz="4" w:space="0"/>
              <w:right w:val="single" w:color="auto" w:sz="8" w:space="0"/>
            </w:tcBorders>
            <w:shd w:val="clear" w:color="auto" w:fill="auto"/>
            <w:vAlign w:val="center"/>
          </w:tcPr>
          <w:p>
            <w:pPr>
              <w:pStyle w:val="59"/>
              <w:spacing w:before="132" w:line="411" w:lineRule="auto"/>
              <w:ind w:left="115" w:right="103" w:firstLine="14"/>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因公司当前的主机安全防护agent</w:t>
            </w:r>
            <w:r>
              <w:rPr>
                <w:rFonts w:hint="eastAsia" w:asciiTheme="minorEastAsia" w:hAnsiTheme="minorEastAsia" w:eastAsiaTheme="minorEastAsia" w:cstheme="minorEastAsia"/>
                <w:spacing w:val="-24"/>
                <w:sz w:val="24"/>
                <w:szCs w:val="24"/>
                <w:highlight w:val="none"/>
              </w:rPr>
              <w:t xml:space="preserve"> </w:t>
            </w:r>
            <w:r>
              <w:rPr>
                <w:rFonts w:hint="eastAsia" w:asciiTheme="minorEastAsia" w:hAnsiTheme="minorEastAsia" w:eastAsiaTheme="minorEastAsia" w:cstheme="minorEastAsia"/>
                <w:sz w:val="24"/>
                <w:szCs w:val="24"/>
                <w:highlight w:val="none"/>
              </w:rPr>
              <w:t>已到期</w:t>
            </w:r>
            <w:r>
              <w:rPr>
                <w:rFonts w:hint="eastAsia" w:asciiTheme="minorEastAsia" w:hAnsiTheme="minorEastAsia" w:eastAsiaTheme="minorEastAsia" w:cstheme="minorEastAsia"/>
                <w:spacing w:val="-1"/>
                <w:sz w:val="24"/>
                <w:szCs w:val="24"/>
                <w:highlight w:val="none"/>
              </w:rPr>
              <w:t>，需续期采购授权以实现主机内核加固、防端口扫描、防恶意代码等全覆盖防护。</w:t>
            </w:r>
          </w:p>
          <w:p>
            <w:pPr>
              <w:pStyle w:val="59"/>
              <w:spacing w:before="3" w:line="380" w:lineRule="auto"/>
              <w:ind w:left="113" w:leftChars="0" w:right="101" w:rightChars="0" w:firstLine="6" w:firstLineChars="0"/>
              <w:jc w:val="left"/>
              <w:rPr>
                <w:rFonts w:hint="eastAsia" w:asciiTheme="minorEastAsia" w:hAnsiTheme="minorEastAsia" w:eastAsiaTheme="minorEastAsia" w:cstheme="minorEastAsia"/>
                <w:kern w:val="2"/>
                <w:sz w:val="24"/>
                <w:szCs w:val="24"/>
                <w:highlight w:val="none"/>
                <w:lang w:val="en-US" w:eastAsia="en-US" w:bidi="ar-SA"/>
              </w:rPr>
            </w:pPr>
            <w:r>
              <w:rPr>
                <w:rFonts w:hint="eastAsia" w:asciiTheme="minorEastAsia" w:hAnsiTheme="minorEastAsia" w:eastAsiaTheme="minorEastAsia" w:cstheme="minorEastAsia"/>
                <w:spacing w:val="-4"/>
                <w:sz w:val="24"/>
                <w:szCs w:val="24"/>
                <w:highlight w:val="none"/>
              </w:rPr>
              <w:t>公司总部</w:t>
            </w:r>
            <w:r>
              <w:rPr>
                <w:rFonts w:hint="eastAsia" w:asciiTheme="minorEastAsia" w:hAnsiTheme="minorEastAsia" w:eastAsiaTheme="minorEastAsia" w:cstheme="minorEastAsia"/>
                <w:spacing w:val="-44"/>
                <w:sz w:val="24"/>
                <w:szCs w:val="24"/>
                <w:highlight w:val="none"/>
              </w:rPr>
              <w:t xml:space="preserve"> </w:t>
            </w:r>
            <w:r>
              <w:rPr>
                <w:rFonts w:hint="eastAsia" w:asciiTheme="minorEastAsia" w:hAnsiTheme="minorEastAsia" w:eastAsiaTheme="minorEastAsia" w:cstheme="minorEastAsia"/>
                <w:spacing w:val="-4"/>
                <w:sz w:val="24"/>
                <w:szCs w:val="24"/>
                <w:highlight w:val="none"/>
              </w:rPr>
              <w:t>2419</w:t>
            </w:r>
            <w:r>
              <w:rPr>
                <w:rFonts w:hint="eastAsia" w:asciiTheme="minorEastAsia" w:hAnsiTheme="minorEastAsia" w:eastAsiaTheme="minorEastAsia" w:cstheme="minorEastAsia"/>
                <w:spacing w:val="-48"/>
                <w:sz w:val="24"/>
                <w:szCs w:val="24"/>
                <w:highlight w:val="none"/>
              </w:rPr>
              <w:t xml:space="preserve"> </w:t>
            </w:r>
            <w:r>
              <w:rPr>
                <w:rFonts w:hint="eastAsia" w:asciiTheme="minorEastAsia" w:hAnsiTheme="minorEastAsia" w:eastAsiaTheme="minorEastAsia" w:cstheme="minorEastAsia"/>
                <w:spacing w:val="-4"/>
                <w:sz w:val="24"/>
                <w:szCs w:val="24"/>
                <w:highlight w:val="none"/>
              </w:rPr>
              <w:t>个、南网超高压公司</w:t>
            </w:r>
            <w:r>
              <w:rPr>
                <w:rFonts w:hint="eastAsia" w:asciiTheme="minorEastAsia" w:hAnsiTheme="minorEastAsia" w:eastAsiaTheme="minorEastAsia" w:cstheme="minorEastAsia"/>
                <w:spacing w:val="-42"/>
                <w:sz w:val="24"/>
                <w:szCs w:val="24"/>
                <w:highlight w:val="none"/>
              </w:rPr>
              <w:t xml:space="preserve"> </w:t>
            </w:r>
            <w:r>
              <w:rPr>
                <w:rFonts w:hint="eastAsia" w:asciiTheme="minorEastAsia" w:hAnsiTheme="minorEastAsia" w:eastAsiaTheme="minorEastAsia" w:cstheme="minorEastAsia"/>
                <w:spacing w:val="-4"/>
                <w:sz w:val="24"/>
                <w:szCs w:val="24"/>
                <w:highlight w:val="none"/>
              </w:rPr>
              <w:t>371</w:t>
            </w:r>
            <w:r>
              <w:rPr>
                <w:rFonts w:hint="eastAsia" w:asciiTheme="minorEastAsia" w:hAnsiTheme="minorEastAsia" w:eastAsiaTheme="minorEastAsia" w:cstheme="minorEastAsia"/>
                <w:spacing w:val="-5"/>
                <w:sz w:val="24"/>
                <w:szCs w:val="24"/>
                <w:highlight w:val="none"/>
              </w:rPr>
              <w:t>个、广东</w:t>
            </w:r>
            <w:r>
              <w:rPr>
                <w:rFonts w:hint="eastAsia" w:asciiTheme="minorEastAsia" w:hAnsiTheme="minorEastAsia" w:eastAsiaTheme="minorEastAsia" w:cstheme="minorEastAsia"/>
                <w:spacing w:val="-3"/>
                <w:sz w:val="24"/>
                <w:szCs w:val="24"/>
                <w:highlight w:val="none"/>
              </w:rPr>
              <w:t>电网公司</w:t>
            </w:r>
            <w:r>
              <w:rPr>
                <w:rFonts w:hint="eastAsia" w:asciiTheme="minorEastAsia" w:hAnsiTheme="minorEastAsia" w:eastAsiaTheme="minorEastAsia" w:cstheme="minorEastAsia"/>
                <w:spacing w:val="-28"/>
                <w:sz w:val="24"/>
                <w:szCs w:val="24"/>
                <w:highlight w:val="none"/>
              </w:rPr>
              <w:t xml:space="preserve"> </w:t>
            </w:r>
            <w:r>
              <w:rPr>
                <w:rFonts w:hint="eastAsia" w:asciiTheme="minorEastAsia" w:hAnsiTheme="minorEastAsia" w:eastAsiaTheme="minorEastAsia" w:cstheme="minorEastAsia"/>
                <w:spacing w:val="-3"/>
                <w:sz w:val="24"/>
                <w:szCs w:val="24"/>
                <w:highlight w:val="none"/>
              </w:rPr>
              <w:t>1123</w:t>
            </w:r>
            <w:r>
              <w:rPr>
                <w:rFonts w:hint="eastAsia" w:asciiTheme="minorEastAsia" w:hAnsiTheme="minorEastAsia" w:eastAsiaTheme="minorEastAsia" w:cstheme="minorEastAsia"/>
                <w:spacing w:val="-49"/>
                <w:sz w:val="24"/>
                <w:szCs w:val="24"/>
                <w:highlight w:val="none"/>
              </w:rPr>
              <w:t xml:space="preserve"> </w:t>
            </w:r>
            <w:r>
              <w:rPr>
                <w:rFonts w:hint="eastAsia" w:asciiTheme="minorEastAsia" w:hAnsiTheme="minorEastAsia" w:eastAsiaTheme="minorEastAsia" w:cstheme="minorEastAsia"/>
                <w:spacing w:val="-3"/>
                <w:sz w:val="24"/>
                <w:szCs w:val="24"/>
                <w:highlight w:val="none"/>
              </w:rPr>
              <w:t>个、云南电网公司</w:t>
            </w:r>
            <w:r>
              <w:rPr>
                <w:rFonts w:hint="eastAsia" w:asciiTheme="minorEastAsia" w:hAnsiTheme="minorEastAsia" w:eastAsiaTheme="minorEastAsia" w:cstheme="minorEastAsia"/>
                <w:spacing w:val="-32"/>
                <w:sz w:val="24"/>
                <w:szCs w:val="24"/>
                <w:highlight w:val="none"/>
              </w:rPr>
              <w:t xml:space="preserve"> </w:t>
            </w:r>
            <w:r>
              <w:rPr>
                <w:rFonts w:hint="eastAsia" w:asciiTheme="minorEastAsia" w:hAnsiTheme="minorEastAsia" w:eastAsiaTheme="minorEastAsia" w:cstheme="minorEastAsia"/>
                <w:spacing w:val="-3"/>
                <w:sz w:val="24"/>
                <w:szCs w:val="24"/>
                <w:highlight w:val="none"/>
              </w:rPr>
              <w:t>1500</w:t>
            </w:r>
            <w:r>
              <w:rPr>
                <w:rFonts w:hint="eastAsia" w:asciiTheme="minorEastAsia" w:hAnsiTheme="minorEastAsia" w:eastAsiaTheme="minorEastAsia" w:cstheme="minorEastAsia"/>
                <w:spacing w:val="-49"/>
                <w:sz w:val="24"/>
                <w:szCs w:val="24"/>
                <w:highlight w:val="none"/>
              </w:rPr>
              <w:t xml:space="preserve"> </w:t>
            </w:r>
            <w:r>
              <w:rPr>
                <w:rFonts w:hint="eastAsia" w:asciiTheme="minorEastAsia" w:hAnsiTheme="minorEastAsia" w:eastAsiaTheme="minorEastAsia" w:cstheme="minorEastAsia"/>
                <w:spacing w:val="-3"/>
                <w:sz w:val="24"/>
                <w:szCs w:val="24"/>
                <w:highlight w:val="none"/>
              </w:rPr>
              <w:t>个、海南电网公司</w:t>
            </w:r>
            <w:r>
              <w:rPr>
                <w:rFonts w:hint="eastAsia" w:asciiTheme="minorEastAsia" w:hAnsiTheme="minorEastAsia" w:eastAsiaTheme="minorEastAsia" w:cstheme="minorEastAsia"/>
                <w:spacing w:val="-27"/>
                <w:sz w:val="24"/>
                <w:szCs w:val="24"/>
                <w:highlight w:val="none"/>
              </w:rPr>
              <w:t xml:space="preserve"> </w:t>
            </w:r>
            <w:r>
              <w:rPr>
                <w:rFonts w:hint="eastAsia" w:asciiTheme="minorEastAsia" w:hAnsiTheme="minorEastAsia" w:eastAsiaTheme="minorEastAsia" w:cstheme="minorEastAsia"/>
                <w:spacing w:val="-3"/>
                <w:sz w:val="24"/>
                <w:szCs w:val="24"/>
                <w:highlight w:val="none"/>
              </w:rPr>
              <w:t>622、深圳供电局</w:t>
            </w:r>
            <w:r>
              <w:rPr>
                <w:rFonts w:hint="eastAsia" w:asciiTheme="minorEastAsia" w:hAnsiTheme="minorEastAsia" w:eastAsiaTheme="minorEastAsia" w:cstheme="minorEastAsia"/>
                <w:spacing w:val="-30"/>
                <w:sz w:val="24"/>
                <w:szCs w:val="24"/>
                <w:highlight w:val="none"/>
              </w:rPr>
              <w:t xml:space="preserve"> </w:t>
            </w:r>
            <w:r>
              <w:rPr>
                <w:rFonts w:hint="eastAsia" w:asciiTheme="minorEastAsia" w:hAnsiTheme="minorEastAsia" w:eastAsiaTheme="minorEastAsia" w:cstheme="minorEastAsia"/>
                <w:spacing w:val="-3"/>
                <w:sz w:val="24"/>
                <w:szCs w:val="24"/>
                <w:highlight w:val="none"/>
              </w:rPr>
              <w:t>1682，合计共</w:t>
            </w:r>
            <w:r>
              <w:rPr>
                <w:rFonts w:hint="eastAsia" w:asciiTheme="minorEastAsia" w:hAnsiTheme="minorEastAsia" w:eastAsiaTheme="minorEastAsia" w:cstheme="minorEastAsia"/>
                <w:spacing w:val="-3"/>
                <w:sz w:val="24"/>
                <w:szCs w:val="24"/>
                <w:highlight w:val="none"/>
                <w:lang w:val="en-US" w:eastAsia="zh-CN"/>
              </w:rPr>
              <w:t>7548</w:t>
            </w:r>
            <w:r>
              <w:rPr>
                <w:rFonts w:hint="eastAsia" w:asciiTheme="minorEastAsia" w:hAnsiTheme="minorEastAsia" w:eastAsiaTheme="minorEastAsia" w:cstheme="minorEastAsia"/>
                <w:spacing w:val="-4"/>
                <w:sz w:val="24"/>
                <w:szCs w:val="24"/>
                <w:highlight w:val="none"/>
              </w:rPr>
              <w:t>个。</w:t>
            </w:r>
          </w:p>
        </w:tc>
        <w:tc>
          <w:tcPr>
            <w:tcW w:w="254" w:type="pct"/>
            <w:tcBorders>
              <w:top w:val="single" w:color="auto" w:sz="4" w:space="0"/>
              <w:left w:val="nil"/>
              <w:bottom w:val="single" w:color="auto" w:sz="4" w:space="0"/>
              <w:right w:val="single" w:color="auto" w:sz="8" w:space="0"/>
            </w:tcBorders>
            <w:vAlign w:val="center"/>
          </w:tcPr>
          <w:p>
            <w:pPr>
              <w:jc w:val="center"/>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个</w:t>
            </w:r>
          </w:p>
        </w:tc>
        <w:tc>
          <w:tcPr>
            <w:tcW w:w="339" w:type="pct"/>
            <w:tcBorders>
              <w:top w:val="single" w:color="auto" w:sz="4" w:space="0"/>
              <w:left w:val="nil"/>
              <w:bottom w:val="single" w:color="auto" w:sz="4" w:space="0"/>
              <w:right w:val="single" w:color="auto" w:sz="8" w:space="0"/>
            </w:tcBorders>
            <w:vAlign w:val="center"/>
          </w:tcPr>
          <w:p>
            <w:pPr>
              <w:jc w:val="center"/>
              <w:rPr>
                <w:rFonts w:hint="default" w:eastAsia="宋体" w:asciiTheme="minorEastAsia" w:hAnsiTheme="minorEastAsia" w:cstheme="minorEastAsia"/>
                <w:color w:val="000000"/>
                <w:sz w:val="24"/>
                <w:szCs w:val="24"/>
                <w:highlight w:val="none"/>
                <w:lang w:val="en-US" w:eastAsia="zh-CN"/>
              </w:rPr>
            </w:pPr>
            <w:r>
              <w:rPr>
                <w:rFonts w:hint="eastAsia" w:asciiTheme="minorEastAsia" w:hAnsiTheme="minorEastAsia" w:eastAsiaTheme="minorEastAsia" w:cstheme="minorEastAsia"/>
                <w:spacing w:val="-4"/>
                <w:sz w:val="24"/>
                <w:szCs w:val="24"/>
                <w:highlight w:val="none"/>
                <w:lang w:val="en-US" w:eastAsia="zh-CN"/>
              </w:rPr>
              <w:t>7717</w:t>
            </w:r>
          </w:p>
        </w:tc>
        <w:tc>
          <w:tcPr>
            <w:tcW w:w="275" w:type="pct"/>
            <w:tcBorders>
              <w:top w:val="single" w:color="auto" w:sz="4" w:space="0"/>
              <w:left w:val="nil"/>
              <w:bottom w:val="single" w:color="auto" w:sz="4" w:space="0"/>
              <w:right w:val="single" w:color="auto" w:sz="8" w:space="0"/>
            </w:tcBorders>
            <w:vAlign w:val="center"/>
          </w:tcPr>
          <w:p>
            <w:pPr>
              <w:jc w:val="center"/>
              <w:rPr>
                <w:rFonts w:hint="eastAsia" w:asciiTheme="minorEastAsia" w:hAnsiTheme="minorEastAsia" w:eastAsiaTheme="minorEastAsia" w:cstheme="minorEastAsia"/>
                <w:sz w:val="24"/>
                <w:szCs w:val="24"/>
                <w:highlight w:val="none"/>
              </w:rPr>
            </w:pPr>
          </w:p>
        </w:tc>
      </w:tr>
      <w:tr>
        <w:tblPrEx>
          <w:tblCellMar>
            <w:top w:w="0" w:type="dxa"/>
            <w:left w:w="108" w:type="dxa"/>
            <w:bottom w:w="0" w:type="dxa"/>
            <w:right w:w="108" w:type="dxa"/>
          </w:tblCellMar>
        </w:tblPrEx>
        <w:trPr>
          <w:trHeight w:val="970" w:hRule="atLeast"/>
        </w:trPr>
        <w:tc>
          <w:tcPr>
            <w:tcW w:w="258" w:type="pct"/>
            <w:tcBorders>
              <w:top w:val="single" w:color="auto" w:sz="4" w:space="0"/>
              <w:left w:val="single" w:color="auto" w:sz="8" w:space="0"/>
              <w:bottom w:val="single" w:color="auto" w:sz="4" w:space="0"/>
              <w:right w:val="single" w:color="auto" w:sz="8" w:space="0"/>
            </w:tcBorders>
            <w:shd w:val="clear" w:color="auto" w:fill="auto"/>
            <w:vAlign w:val="center"/>
          </w:tcPr>
          <w:p>
            <w:pPr>
              <w:jc w:val="center"/>
              <w:rPr>
                <w:rFonts w:hint="eastAsia" w:asciiTheme="minorEastAsia" w:hAnsiTheme="minorEastAsia" w:eastAsiaTheme="minorEastAsia" w:cstheme="minorEastAsia"/>
                <w:color w:val="000000"/>
                <w:kern w:val="2"/>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rPr>
              <w:t>3</w:t>
            </w:r>
          </w:p>
        </w:tc>
        <w:tc>
          <w:tcPr>
            <w:tcW w:w="500" w:type="pct"/>
            <w:tcBorders>
              <w:top w:val="single" w:color="auto" w:sz="4" w:space="0"/>
              <w:left w:val="nil"/>
              <w:bottom w:val="single" w:color="auto" w:sz="4" w:space="0"/>
              <w:right w:val="single" w:color="auto" w:sz="8" w:space="0"/>
            </w:tcBorders>
            <w:vAlign w:val="center"/>
          </w:tcPr>
          <w:p>
            <w:pPr>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kern w:val="2"/>
                <w:sz w:val="24"/>
                <w:szCs w:val="24"/>
                <w:highlight w:val="none"/>
                <w:lang w:val="en-US" w:eastAsia="zh-CN" w:bidi="ar-SA"/>
              </w:rPr>
              <w:t>总部基地数据中心</w:t>
            </w:r>
          </w:p>
        </w:tc>
        <w:tc>
          <w:tcPr>
            <w:tcW w:w="821" w:type="pct"/>
            <w:tcBorders>
              <w:top w:val="single" w:color="auto" w:sz="4" w:space="0"/>
              <w:left w:val="nil"/>
              <w:bottom w:val="single" w:color="auto" w:sz="4" w:space="0"/>
              <w:right w:val="single" w:color="auto" w:sz="8" w:space="0"/>
            </w:tcBorders>
            <w:vAlign w:val="center"/>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kern w:val="2"/>
                <w:sz w:val="24"/>
                <w:szCs w:val="24"/>
                <w:highlight w:val="none"/>
                <w:lang w:val="en-US" w:eastAsia="zh-CN" w:bidi="ar-SA"/>
              </w:rPr>
              <w:t>主机安全系统（</w:t>
            </w:r>
            <w:r>
              <w:rPr>
                <w:rFonts w:hint="eastAsia" w:asciiTheme="minorEastAsia" w:hAnsiTheme="minorEastAsia" w:eastAsiaTheme="minorEastAsia" w:cstheme="minorEastAsia"/>
                <w:kern w:val="2"/>
                <w:sz w:val="24"/>
                <w:szCs w:val="24"/>
                <w:highlight w:val="none"/>
                <w:lang w:val="en-US" w:eastAsia="en-US" w:bidi="ar-SA"/>
              </w:rPr>
              <w:t>G01</w:t>
            </w:r>
            <w:r>
              <w:rPr>
                <w:rFonts w:hint="eastAsia" w:asciiTheme="minorEastAsia" w:hAnsiTheme="minorEastAsia" w:eastAsiaTheme="minorEastAsia" w:cstheme="minorEastAsia"/>
                <w:kern w:val="2"/>
                <w:sz w:val="24"/>
                <w:szCs w:val="24"/>
                <w:highlight w:val="none"/>
                <w:lang w:val="en-US" w:eastAsia="zh-CN" w:bidi="ar-SA"/>
              </w:rPr>
              <w:t>）Agent授权新增</w:t>
            </w:r>
          </w:p>
        </w:tc>
        <w:tc>
          <w:tcPr>
            <w:tcW w:w="2548" w:type="pct"/>
            <w:tcBorders>
              <w:top w:val="single" w:color="auto" w:sz="4" w:space="0"/>
              <w:left w:val="nil"/>
              <w:bottom w:val="single" w:color="auto" w:sz="4" w:space="0"/>
              <w:right w:val="single" w:color="auto" w:sz="8" w:space="0"/>
            </w:tcBorders>
            <w:vAlign w:val="center"/>
          </w:tcPr>
          <w:p>
            <w:pPr>
              <w:pStyle w:val="59"/>
              <w:spacing w:before="136" w:line="410" w:lineRule="auto"/>
              <w:ind w:left="112" w:right="103" w:firstLine="18"/>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因公司主机规模大幅增长，采购主机安全防护授</w:t>
            </w:r>
            <w:r>
              <w:rPr>
                <w:rFonts w:hint="eastAsia" w:asciiTheme="minorEastAsia" w:hAnsiTheme="minorEastAsia" w:eastAsiaTheme="minorEastAsia" w:cstheme="minorEastAsia"/>
                <w:spacing w:val="-1"/>
                <w:sz w:val="24"/>
                <w:szCs w:val="24"/>
                <w:highlight w:val="none"/>
              </w:rPr>
              <w:t>权实现主机内核加固、防端口扫描、防恶意代码</w:t>
            </w:r>
            <w:r>
              <w:rPr>
                <w:rFonts w:hint="eastAsia" w:asciiTheme="minorEastAsia" w:hAnsiTheme="minorEastAsia" w:eastAsiaTheme="minorEastAsia" w:cstheme="minorEastAsia"/>
                <w:spacing w:val="-2"/>
                <w:sz w:val="24"/>
                <w:szCs w:val="24"/>
                <w:highlight w:val="none"/>
              </w:rPr>
              <w:t>等全覆盖防护。</w:t>
            </w:r>
          </w:p>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3"/>
                <w:sz w:val="24"/>
                <w:szCs w:val="24"/>
                <w:highlight w:val="none"/>
              </w:rPr>
              <w:t>总部基地数据中心</w:t>
            </w:r>
            <w:r>
              <w:rPr>
                <w:rFonts w:hint="eastAsia" w:asciiTheme="minorEastAsia" w:hAnsiTheme="minorEastAsia" w:eastAsiaTheme="minorEastAsia" w:cstheme="minorEastAsia"/>
                <w:spacing w:val="-28"/>
                <w:sz w:val="24"/>
                <w:szCs w:val="24"/>
                <w:highlight w:val="none"/>
              </w:rPr>
              <w:t xml:space="preserve"> </w:t>
            </w:r>
            <w:r>
              <w:rPr>
                <w:rFonts w:hint="eastAsia" w:asciiTheme="minorEastAsia" w:hAnsiTheme="minorEastAsia" w:eastAsiaTheme="minorEastAsia" w:cstheme="minorEastAsia"/>
                <w:spacing w:val="-3"/>
                <w:sz w:val="24"/>
                <w:szCs w:val="24"/>
                <w:highlight w:val="none"/>
              </w:rPr>
              <w:t>IV、V</w:t>
            </w:r>
            <w:r>
              <w:rPr>
                <w:rFonts w:hint="eastAsia" w:asciiTheme="minorEastAsia" w:hAnsiTheme="minorEastAsia" w:eastAsiaTheme="minorEastAsia" w:cstheme="minorEastAsia"/>
                <w:spacing w:val="-32"/>
                <w:sz w:val="24"/>
                <w:szCs w:val="24"/>
                <w:highlight w:val="none"/>
              </w:rPr>
              <w:t xml:space="preserve"> </w:t>
            </w:r>
            <w:r>
              <w:rPr>
                <w:rFonts w:hint="eastAsia" w:asciiTheme="minorEastAsia" w:hAnsiTheme="minorEastAsia" w:eastAsiaTheme="minorEastAsia" w:cstheme="minorEastAsia"/>
                <w:spacing w:val="-3"/>
                <w:sz w:val="24"/>
                <w:szCs w:val="24"/>
                <w:highlight w:val="none"/>
              </w:rPr>
              <w:t>区各安全接入区服务器</w:t>
            </w:r>
            <w:r>
              <w:rPr>
                <w:rFonts w:hint="eastAsia" w:asciiTheme="minorEastAsia" w:hAnsiTheme="minorEastAsia" w:eastAsiaTheme="minorEastAsia" w:cstheme="minorEastAsia"/>
                <w:spacing w:val="-2"/>
                <w:sz w:val="24"/>
                <w:szCs w:val="24"/>
                <w:highlight w:val="none"/>
              </w:rPr>
              <w:t>上的</w:t>
            </w:r>
            <w:r>
              <w:rPr>
                <w:rFonts w:hint="eastAsia" w:asciiTheme="minorEastAsia" w:hAnsiTheme="minorEastAsia" w:eastAsiaTheme="minorEastAsia" w:cstheme="minorEastAsia"/>
                <w:spacing w:val="-47"/>
                <w:sz w:val="24"/>
                <w:szCs w:val="24"/>
                <w:highlight w:val="none"/>
              </w:rPr>
              <w:t xml:space="preserve"> </w:t>
            </w:r>
            <w:r>
              <w:rPr>
                <w:rFonts w:hint="eastAsia" w:asciiTheme="minorEastAsia" w:hAnsiTheme="minorEastAsia" w:eastAsiaTheme="minorEastAsia" w:cstheme="minorEastAsia"/>
                <w:spacing w:val="-2"/>
                <w:sz w:val="24"/>
                <w:szCs w:val="24"/>
                <w:highlight w:val="none"/>
              </w:rPr>
              <w:t>G01 agent</w:t>
            </w:r>
            <w:r>
              <w:rPr>
                <w:rFonts w:hint="eastAsia" w:asciiTheme="minorEastAsia" w:hAnsiTheme="minorEastAsia" w:eastAsiaTheme="minorEastAsia" w:cstheme="minorEastAsia"/>
                <w:spacing w:val="-49"/>
                <w:sz w:val="24"/>
                <w:szCs w:val="24"/>
                <w:highlight w:val="none"/>
              </w:rPr>
              <w:t xml:space="preserve"> </w:t>
            </w:r>
            <w:r>
              <w:rPr>
                <w:rFonts w:hint="eastAsia" w:asciiTheme="minorEastAsia" w:hAnsiTheme="minorEastAsia" w:eastAsiaTheme="minorEastAsia" w:cstheme="minorEastAsia"/>
                <w:spacing w:val="-2"/>
                <w:sz w:val="24"/>
                <w:szCs w:val="24"/>
                <w:highlight w:val="none"/>
              </w:rPr>
              <w:t>共新增</w:t>
            </w:r>
            <w:r>
              <w:rPr>
                <w:rFonts w:hint="eastAsia" w:asciiTheme="minorEastAsia" w:hAnsiTheme="minorEastAsia" w:eastAsiaTheme="minorEastAsia" w:cstheme="minorEastAsia"/>
                <w:spacing w:val="-46"/>
                <w:sz w:val="24"/>
                <w:szCs w:val="24"/>
                <w:highlight w:val="none"/>
              </w:rPr>
              <w:t xml:space="preserve"> </w:t>
            </w:r>
            <w:r>
              <w:rPr>
                <w:rFonts w:hint="eastAsia" w:asciiTheme="minorEastAsia" w:hAnsiTheme="minorEastAsia" w:eastAsiaTheme="minorEastAsia" w:cstheme="minorEastAsia"/>
                <w:spacing w:val="-2"/>
                <w:sz w:val="24"/>
                <w:szCs w:val="24"/>
                <w:highlight w:val="none"/>
              </w:rPr>
              <w:t>8097</w:t>
            </w:r>
            <w:r>
              <w:rPr>
                <w:rFonts w:hint="eastAsia" w:asciiTheme="minorEastAsia" w:hAnsiTheme="minorEastAsia" w:eastAsiaTheme="minorEastAsia" w:cstheme="minorEastAsia"/>
                <w:spacing w:val="-48"/>
                <w:sz w:val="24"/>
                <w:szCs w:val="24"/>
                <w:highlight w:val="none"/>
              </w:rPr>
              <w:t xml:space="preserve"> </w:t>
            </w:r>
            <w:r>
              <w:rPr>
                <w:rFonts w:hint="eastAsia" w:asciiTheme="minorEastAsia" w:hAnsiTheme="minorEastAsia" w:eastAsiaTheme="minorEastAsia" w:cstheme="minorEastAsia"/>
                <w:spacing w:val="-2"/>
                <w:sz w:val="24"/>
                <w:szCs w:val="24"/>
                <w:highlight w:val="none"/>
              </w:rPr>
              <w:t>个。</w:t>
            </w:r>
          </w:p>
        </w:tc>
        <w:tc>
          <w:tcPr>
            <w:tcW w:w="254" w:type="pct"/>
            <w:tcBorders>
              <w:top w:val="single" w:color="auto" w:sz="4" w:space="0"/>
              <w:left w:val="nil"/>
              <w:bottom w:val="single" w:color="auto" w:sz="4" w:space="0"/>
              <w:right w:val="single" w:color="auto" w:sz="8" w:space="0"/>
            </w:tcBorders>
            <w:vAlign w:val="center"/>
          </w:tcPr>
          <w:p>
            <w:pPr>
              <w:jc w:val="center"/>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个</w:t>
            </w:r>
          </w:p>
        </w:tc>
        <w:tc>
          <w:tcPr>
            <w:tcW w:w="339" w:type="pct"/>
            <w:tcBorders>
              <w:top w:val="single" w:color="auto" w:sz="4" w:space="0"/>
              <w:left w:val="nil"/>
              <w:bottom w:val="single" w:color="auto" w:sz="4" w:space="0"/>
              <w:right w:val="single" w:color="auto" w:sz="8" w:space="0"/>
            </w:tcBorders>
            <w:vAlign w:val="center"/>
          </w:tcPr>
          <w:p>
            <w:pPr>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pacing w:val="-3"/>
                <w:sz w:val="24"/>
                <w:szCs w:val="24"/>
                <w:highlight w:val="none"/>
              </w:rPr>
              <w:t>8097</w:t>
            </w:r>
          </w:p>
        </w:tc>
        <w:tc>
          <w:tcPr>
            <w:tcW w:w="275" w:type="pct"/>
            <w:tcBorders>
              <w:top w:val="single" w:color="auto" w:sz="4" w:space="0"/>
              <w:left w:val="nil"/>
              <w:bottom w:val="single" w:color="auto" w:sz="4" w:space="0"/>
              <w:right w:val="single" w:color="auto" w:sz="8" w:space="0"/>
            </w:tcBorders>
            <w:vAlign w:val="center"/>
          </w:tcPr>
          <w:p>
            <w:pPr>
              <w:jc w:val="center"/>
              <w:rPr>
                <w:rFonts w:hint="eastAsia" w:asciiTheme="minorEastAsia" w:hAnsiTheme="minorEastAsia" w:eastAsiaTheme="minorEastAsia" w:cstheme="minorEastAsia"/>
                <w:sz w:val="24"/>
                <w:szCs w:val="24"/>
                <w:highlight w:val="none"/>
              </w:rPr>
            </w:pPr>
          </w:p>
        </w:tc>
      </w:tr>
      <w:tr>
        <w:tblPrEx>
          <w:tblCellMar>
            <w:top w:w="0" w:type="dxa"/>
            <w:left w:w="108" w:type="dxa"/>
            <w:bottom w:w="0" w:type="dxa"/>
            <w:right w:w="108" w:type="dxa"/>
          </w:tblCellMar>
        </w:tblPrEx>
        <w:trPr>
          <w:trHeight w:val="970" w:hRule="atLeast"/>
        </w:trPr>
        <w:tc>
          <w:tcPr>
            <w:tcW w:w="258" w:type="pct"/>
            <w:tcBorders>
              <w:top w:val="single" w:color="auto" w:sz="4" w:space="0"/>
              <w:left w:val="single" w:color="auto" w:sz="8" w:space="0"/>
              <w:bottom w:val="single" w:color="auto" w:sz="4" w:space="0"/>
              <w:right w:val="single" w:color="auto" w:sz="8" w:space="0"/>
            </w:tcBorders>
            <w:vAlign w:val="center"/>
          </w:tcPr>
          <w:p>
            <w:pPr>
              <w:jc w:val="center"/>
              <w:rPr>
                <w:rFonts w:hint="default"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4</w:t>
            </w:r>
          </w:p>
        </w:tc>
        <w:tc>
          <w:tcPr>
            <w:tcW w:w="500" w:type="pct"/>
            <w:tcBorders>
              <w:top w:val="single" w:color="auto" w:sz="4" w:space="0"/>
              <w:left w:val="nil"/>
              <w:bottom w:val="single" w:color="auto" w:sz="4" w:space="0"/>
              <w:right w:val="single" w:color="auto" w:sz="8" w:space="0"/>
            </w:tcBorders>
            <w:vAlign w:val="center"/>
          </w:tcPr>
          <w:p>
            <w:pPr>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棠下数据中心（纪检专网）</w:t>
            </w:r>
          </w:p>
        </w:tc>
        <w:tc>
          <w:tcPr>
            <w:tcW w:w="821" w:type="pct"/>
            <w:tcBorders>
              <w:top w:val="single" w:color="auto" w:sz="4" w:space="0"/>
              <w:left w:val="nil"/>
              <w:bottom w:val="single" w:color="auto" w:sz="4" w:space="0"/>
              <w:right w:val="single" w:color="auto" w:sz="8" w:space="0"/>
            </w:tcBorders>
            <w:vAlign w:val="center"/>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多端数字特征溯源组件系统</w:t>
            </w:r>
          </w:p>
        </w:tc>
        <w:tc>
          <w:tcPr>
            <w:tcW w:w="2548" w:type="pct"/>
            <w:tcBorders>
              <w:top w:val="single" w:color="auto" w:sz="4" w:space="0"/>
              <w:left w:val="nil"/>
              <w:bottom w:val="single" w:color="auto" w:sz="4" w:space="0"/>
              <w:right w:val="single" w:color="auto" w:sz="8" w:space="0"/>
            </w:tcBorders>
            <w:vAlign w:val="center"/>
          </w:tcPr>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对纪检专区访问业务系统页面、DOCX/XLSX/PDF等文档、JPG/PNG 等图片进行特征嵌入，覆盖数据展示、下载、流转全场景，实现数据泄露后的精准溯源。</w:t>
            </w:r>
          </w:p>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纪检专网边界 1 套</w:t>
            </w:r>
          </w:p>
        </w:tc>
        <w:tc>
          <w:tcPr>
            <w:tcW w:w="254" w:type="pct"/>
            <w:tcBorders>
              <w:top w:val="single" w:color="auto" w:sz="4" w:space="0"/>
              <w:left w:val="nil"/>
              <w:bottom w:val="single" w:color="auto" w:sz="4" w:space="0"/>
              <w:right w:val="single" w:color="auto" w:sz="8" w:space="0"/>
            </w:tcBorders>
            <w:shd w:val="clear" w:color="auto" w:fill="auto"/>
            <w:vAlign w:val="center"/>
          </w:tcPr>
          <w:p>
            <w:pPr>
              <w:jc w:val="center"/>
              <w:rPr>
                <w:rFonts w:hint="eastAsia" w:asciiTheme="minorEastAsia" w:hAnsiTheme="minorEastAsia" w:eastAsiaTheme="minorEastAsia" w:cstheme="minorEastAsia"/>
                <w:color w:val="000000"/>
                <w:kern w:val="2"/>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rPr>
              <w:t>套</w:t>
            </w:r>
          </w:p>
        </w:tc>
        <w:tc>
          <w:tcPr>
            <w:tcW w:w="339" w:type="pct"/>
            <w:tcBorders>
              <w:top w:val="single" w:color="auto" w:sz="4" w:space="0"/>
              <w:left w:val="nil"/>
              <w:bottom w:val="single" w:color="auto" w:sz="4" w:space="0"/>
              <w:right w:val="single" w:color="auto" w:sz="8" w:space="0"/>
            </w:tcBorders>
            <w:shd w:val="clear" w:color="auto" w:fill="auto"/>
            <w:vAlign w:val="center"/>
          </w:tcPr>
          <w:p>
            <w:pPr>
              <w:jc w:val="center"/>
              <w:rPr>
                <w:rFonts w:hint="eastAsia" w:asciiTheme="minorEastAsia" w:hAnsiTheme="minorEastAsia" w:eastAsiaTheme="minorEastAsia" w:cstheme="minorEastAsia"/>
                <w:color w:val="000000"/>
                <w:kern w:val="2"/>
                <w:sz w:val="24"/>
                <w:szCs w:val="24"/>
                <w:highlight w:val="none"/>
                <w:lang w:val="en-US" w:eastAsia="zh-CN" w:bidi="ar-SA"/>
              </w:rPr>
            </w:pPr>
            <w:r>
              <w:rPr>
                <w:rFonts w:hint="eastAsia" w:asciiTheme="minorEastAsia" w:hAnsiTheme="minorEastAsia" w:eastAsiaTheme="minorEastAsia" w:cstheme="minorEastAsia"/>
                <w:color w:val="000000"/>
                <w:kern w:val="2"/>
                <w:sz w:val="24"/>
                <w:szCs w:val="24"/>
                <w:highlight w:val="none"/>
                <w:lang w:val="en-US" w:eastAsia="zh-CN" w:bidi="ar-SA"/>
              </w:rPr>
              <w:t>1</w:t>
            </w:r>
          </w:p>
        </w:tc>
        <w:tc>
          <w:tcPr>
            <w:tcW w:w="275" w:type="pct"/>
            <w:tcBorders>
              <w:top w:val="single" w:color="auto" w:sz="4" w:space="0"/>
              <w:left w:val="nil"/>
              <w:bottom w:val="single" w:color="auto" w:sz="4" w:space="0"/>
              <w:right w:val="single" w:color="auto" w:sz="8" w:space="0"/>
            </w:tcBorders>
            <w:vAlign w:val="center"/>
          </w:tcPr>
          <w:p>
            <w:pPr>
              <w:jc w:val="center"/>
              <w:rPr>
                <w:rFonts w:hint="eastAsia" w:asciiTheme="minorEastAsia" w:hAnsiTheme="minorEastAsia" w:eastAsiaTheme="minorEastAsia" w:cstheme="minorEastAsia"/>
                <w:sz w:val="24"/>
                <w:szCs w:val="24"/>
                <w:highlight w:val="none"/>
              </w:rPr>
            </w:pPr>
          </w:p>
        </w:tc>
      </w:tr>
      <w:tr>
        <w:tblPrEx>
          <w:tblCellMar>
            <w:top w:w="0" w:type="dxa"/>
            <w:left w:w="108" w:type="dxa"/>
            <w:bottom w:w="0" w:type="dxa"/>
            <w:right w:w="108" w:type="dxa"/>
          </w:tblCellMar>
        </w:tblPrEx>
        <w:trPr>
          <w:trHeight w:val="970" w:hRule="atLeast"/>
        </w:trPr>
        <w:tc>
          <w:tcPr>
            <w:tcW w:w="258" w:type="pct"/>
            <w:tcBorders>
              <w:top w:val="single" w:color="auto" w:sz="4" w:space="0"/>
              <w:left w:val="single" w:color="auto" w:sz="8" w:space="0"/>
              <w:bottom w:val="single" w:color="auto" w:sz="4" w:space="0"/>
              <w:right w:val="single" w:color="auto" w:sz="8" w:space="0"/>
            </w:tcBorders>
            <w:vAlign w:val="center"/>
          </w:tcPr>
          <w:p>
            <w:pPr>
              <w:jc w:val="center"/>
              <w:rPr>
                <w:rFonts w:hint="default" w:asciiTheme="minorEastAsia" w:hAnsiTheme="minorEastAsia" w:eastAsiaTheme="minorEastAsia" w:cstheme="minorEastAsia"/>
                <w:color w:val="000000"/>
                <w:sz w:val="24"/>
                <w:szCs w:val="24"/>
                <w:highlight w:val="none"/>
                <w:lang w:val="en-US" w:eastAsia="zh-CN"/>
              </w:rPr>
            </w:pPr>
            <w:bookmarkStart w:id="96" w:name="_Toc18435"/>
            <w:r>
              <w:rPr>
                <w:rFonts w:hint="eastAsia" w:asciiTheme="minorEastAsia" w:hAnsiTheme="minorEastAsia" w:eastAsiaTheme="minorEastAsia" w:cstheme="minorEastAsia"/>
                <w:color w:val="000000"/>
                <w:sz w:val="24"/>
                <w:szCs w:val="24"/>
                <w:highlight w:val="none"/>
                <w:lang w:val="en-US" w:eastAsia="zh-CN"/>
              </w:rPr>
              <w:t>5</w:t>
            </w:r>
          </w:p>
        </w:tc>
        <w:tc>
          <w:tcPr>
            <w:tcW w:w="500" w:type="pct"/>
            <w:tcBorders>
              <w:top w:val="single" w:color="auto" w:sz="4" w:space="0"/>
              <w:left w:val="nil"/>
              <w:bottom w:val="single" w:color="auto" w:sz="4" w:space="0"/>
              <w:right w:val="single" w:color="auto" w:sz="8" w:space="0"/>
            </w:tcBorders>
            <w:shd w:val="clear" w:color="auto" w:fill="auto"/>
            <w:vAlign w:val="center"/>
          </w:tcPr>
          <w:p>
            <w:pPr>
              <w:jc w:val="center"/>
              <w:rPr>
                <w:rFonts w:hint="eastAsia" w:asciiTheme="minorEastAsia" w:hAnsiTheme="minorEastAsia" w:eastAsiaTheme="minorEastAsia" w:cstheme="minorEastAsia"/>
                <w:color w:val="000000"/>
                <w:kern w:val="2"/>
                <w:sz w:val="24"/>
                <w:szCs w:val="24"/>
                <w:highlight w:val="none"/>
                <w:lang w:val="en-US" w:eastAsia="zh-CN" w:bidi="ar-SA"/>
              </w:rPr>
            </w:pPr>
            <w:r>
              <w:rPr>
                <w:rFonts w:hint="eastAsia" w:asciiTheme="minorEastAsia" w:hAnsiTheme="minorEastAsia" w:eastAsiaTheme="minorEastAsia" w:cstheme="minorEastAsia"/>
                <w:color w:val="000000"/>
                <w:kern w:val="2"/>
                <w:sz w:val="24"/>
                <w:szCs w:val="24"/>
                <w:highlight w:val="none"/>
                <w:lang w:val="en-US" w:eastAsia="zh-CN" w:bidi="ar-SA"/>
              </w:rPr>
              <w:t>总部基地数据中心</w:t>
            </w:r>
          </w:p>
        </w:tc>
        <w:tc>
          <w:tcPr>
            <w:tcW w:w="821" w:type="pct"/>
            <w:tcBorders>
              <w:top w:val="single" w:color="auto" w:sz="4" w:space="0"/>
              <w:left w:val="nil"/>
              <w:bottom w:val="single" w:color="auto" w:sz="4" w:space="0"/>
              <w:right w:val="single" w:color="auto" w:sz="8" w:space="0"/>
            </w:tcBorders>
            <w:shd w:val="clear" w:color="auto" w:fill="auto"/>
            <w:vAlign w:val="center"/>
          </w:tcPr>
          <w:p>
            <w:pPr>
              <w:pStyle w:val="59"/>
              <w:spacing w:before="71" w:line="221" w:lineRule="auto"/>
              <w:jc w:val="center"/>
              <w:rPr>
                <w:rFonts w:hint="eastAsia" w:asciiTheme="minorEastAsia" w:hAnsiTheme="minorEastAsia" w:eastAsiaTheme="minorEastAsia" w:cstheme="minorEastAsia"/>
                <w:kern w:val="2"/>
                <w:sz w:val="24"/>
                <w:szCs w:val="24"/>
                <w:highlight w:val="none"/>
                <w:lang w:val="en-US" w:eastAsia="en-US" w:bidi="ar-SA"/>
              </w:rPr>
            </w:pPr>
            <w:r>
              <w:rPr>
                <w:rFonts w:hint="eastAsia" w:asciiTheme="minorEastAsia" w:hAnsiTheme="minorEastAsia" w:eastAsiaTheme="minorEastAsia" w:cstheme="minorEastAsia"/>
                <w:spacing w:val="-2"/>
                <w:sz w:val="24"/>
                <w:szCs w:val="24"/>
                <w:highlight w:val="none"/>
              </w:rPr>
              <w:t>基线核查设备</w:t>
            </w:r>
          </w:p>
        </w:tc>
        <w:tc>
          <w:tcPr>
            <w:tcW w:w="2548" w:type="pct"/>
            <w:tcBorders>
              <w:top w:val="single" w:color="auto" w:sz="4" w:space="0"/>
              <w:left w:val="nil"/>
              <w:bottom w:val="single" w:color="auto" w:sz="4" w:space="0"/>
              <w:right w:val="single" w:color="auto" w:sz="8" w:space="0"/>
            </w:tcBorders>
            <w:shd w:val="clear" w:color="auto" w:fill="auto"/>
            <w:vAlign w:val="center"/>
          </w:tcPr>
          <w:p>
            <w:pPr>
              <w:pStyle w:val="59"/>
              <w:spacing w:before="1" w:line="410" w:lineRule="auto"/>
              <w:ind w:left="112" w:right="103" w:hanging="1"/>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基地数据中心 IV/V</w:t>
            </w:r>
            <w:r>
              <w:rPr>
                <w:rFonts w:hint="eastAsia" w:asciiTheme="minorEastAsia" w:hAnsiTheme="minorEastAsia" w:eastAsiaTheme="minorEastAsia" w:cstheme="minorEastAsia"/>
                <w:spacing w:val="22"/>
                <w:sz w:val="24"/>
                <w:szCs w:val="24"/>
                <w:highlight w:val="none"/>
              </w:rPr>
              <w:t xml:space="preserve"> </w:t>
            </w:r>
            <w:r>
              <w:rPr>
                <w:rFonts w:hint="eastAsia" w:asciiTheme="minorEastAsia" w:hAnsiTheme="minorEastAsia" w:eastAsiaTheme="minorEastAsia" w:cstheme="minorEastAsia"/>
                <w:spacing w:val="-2"/>
                <w:sz w:val="24"/>
                <w:szCs w:val="24"/>
                <w:highlight w:val="none"/>
              </w:rPr>
              <w:t>区基线核查设备于</w:t>
            </w:r>
            <w:r>
              <w:rPr>
                <w:rFonts w:hint="eastAsia" w:asciiTheme="minorEastAsia" w:hAnsiTheme="minorEastAsia" w:eastAsiaTheme="minorEastAsia" w:cstheme="minorEastAsia"/>
                <w:spacing w:val="-47"/>
                <w:sz w:val="24"/>
                <w:szCs w:val="24"/>
                <w:highlight w:val="none"/>
              </w:rPr>
              <w:t xml:space="preserve"> </w:t>
            </w:r>
            <w:r>
              <w:rPr>
                <w:rFonts w:hint="eastAsia" w:asciiTheme="minorEastAsia" w:hAnsiTheme="minorEastAsia" w:eastAsiaTheme="minorEastAsia" w:cstheme="minorEastAsia"/>
                <w:spacing w:val="-2"/>
                <w:sz w:val="24"/>
                <w:szCs w:val="24"/>
                <w:highlight w:val="none"/>
              </w:rPr>
              <w:t>2020</w:t>
            </w:r>
            <w:r>
              <w:rPr>
                <w:rFonts w:hint="eastAsia" w:asciiTheme="minorEastAsia" w:hAnsiTheme="minorEastAsia" w:eastAsiaTheme="minorEastAsia" w:cstheme="minorEastAsia"/>
                <w:spacing w:val="-45"/>
                <w:sz w:val="24"/>
                <w:szCs w:val="24"/>
                <w:highlight w:val="none"/>
              </w:rPr>
              <w:t xml:space="preserve"> </w:t>
            </w:r>
            <w:r>
              <w:rPr>
                <w:rFonts w:hint="eastAsia" w:asciiTheme="minorEastAsia" w:hAnsiTheme="minorEastAsia" w:eastAsiaTheme="minorEastAsia" w:cstheme="minorEastAsia"/>
                <w:spacing w:val="-2"/>
                <w:sz w:val="24"/>
                <w:szCs w:val="24"/>
                <w:highlight w:val="none"/>
              </w:rPr>
              <w:t>年投运，投运时间超过</w:t>
            </w:r>
            <w:r>
              <w:rPr>
                <w:rFonts w:hint="eastAsia" w:asciiTheme="minorEastAsia" w:hAnsiTheme="minorEastAsia" w:eastAsiaTheme="minorEastAsia" w:cstheme="minorEastAsia"/>
                <w:spacing w:val="-45"/>
                <w:sz w:val="24"/>
                <w:szCs w:val="24"/>
                <w:highlight w:val="none"/>
              </w:rPr>
              <w:t xml:space="preserve"> </w:t>
            </w:r>
            <w:r>
              <w:rPr>
                <w:rFonts w:hint="eastAsia" w:asciiTheme="minorEastAsia" w:hAnsiTheme="minorEastAsia" w:eastAsiaTheme="minorEastAsia" w:cstheme="minorEastAsia"/>
                <w:spacing w:val="-2"/>
                <w:sz w:val="24"/>
                <w:szCs w:val="24"/>
                <w:highlight w:val="none"/>
              </w:rPr>
              <w:t>6</w:t>
            </w:r>
            <w:r>
              <w:rPr>
                <w:rFonts w:hint="eastAsia" w:asciiTheme="minorEastAsia" w:hAnsiTheme="minorEastAsia" w:eastAsiaTheme="minorEastAsia" w:cstheme="minorEastAsia"/>
                <w:spacing w:val="-46"/>
                <w:sz w:val="24"/>
                <w:szCs w:val="24"/>
                <w:highlight w:val="none"/>
              </w:rPr>
              <w:t xml:space="preserve"> </w:t>
            </w:r>
            <w:r>
              <w:rPr>
                <w:rFonts w:hint="eastAsia" w:asciiTheme="minorEastAsia" w:hAnsiTheme="minorEastAsia" w:eastAsiaTheme="minorEastAsia" w:cstheme="minorEastAsia"/>
                <w:spacing w:val="-2"/>
                <w:sz w:val="24"/>
                <w:szCs w:val="24"/>
                <w:highlight w:val="none"/>
              </w:rPr>
              <w:t>年</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pacing w:val="-1"/>
                <w:sz w:val="24"/>
                <w:szCs w:val="24"/>
                <w:highlight w:val="none"/>
              </w:rPr>
              <w:t>未满足自主可控要求并且现有基线核查模板未适配等保</w:t>
            </w:r>
            <w:r>
              <w:rPr>
                <w:rFonts w:hint="eastAsia" w:asciiTheme="minorEastAsia" w:hAnsiTheme="minorEastAsia" w:eastAsiaTheme="minorEastAsia" w:cstheme="minorEastAsia"/>
                <w:spacing w:val="-41"/>
                <w:sz w:val="24"/>
                <w:szCs w:val="24"/>
                <w:highlight w:val="none"/>
              </w:rPr>
              <w:t xml:space="preserve"> </w:t>
            </w:r>
            <w:r>
              <w:rPr>
                <w:rFonts w:hint="eastAsia" w:asciiTheme="minorEastAsia" w:hAnsiTheme="minorEastAsia" w:eastAsiaTheme="minorEastAsia" w:cstheme="minorEastAsia"/>
                <w:spacing w:val="-1"/>
                <w:sz w:val="24"/>
                <w:szCs w:val="24"/>
                <w:highlight w:val="none"/>
              </w:rPr>
              <w:t>2.0，需进行替换；新设备需实现功能集成，提升基线核查能力。</w:t>
            </w:r>
          </w:p>
          <w:p>
            <w:pPr>
              <w:pStyle w:val="59"/>
              <w:spacing w:line="220" w:lineRule="auto"/>
              <w:ind w:left="113" w:leftChars="0"/>
              <w:jc w:val="left"/>
              <w:rPr>
                <w:rFonts w:hint="eastAsia" w:asciiTheme="minorEastAsia" w:hAnsiTheme="minorEastAsia" w:eastAsiaTheme="minorEastAsia" w:cstheme="minorEastAsia"/>
                <w:kern w:val="2"/>
                <w:sz w:val="24"/>
                <w:szCs w:val="24"/>
                <w:highlight w:val="none"/>
                <w:lang w:val="en-US" w:eastAsia="en-US" w:bidi="ar-SA"/>
              </w:rPr>
            </w:pPr>
            <w:r>
              <w:rPr>
                <w:rFonts w:hint="eastAsia" w:asciiTheme="minorEastAsia" w:hAnsiTheme="minorEastAsia" w:eastAsiaTheme="minorEastAsia" w:cstheme="minorEastAsia"/>
                <w:spacing w:val="-7"/>
                <w:sz w:val="24"/>
                <w:szCs w:val="24"/>
                <w:highlight w:val="none"/>
              </w:rPr>
              <w:t>基地数据中心</w:t>
            </w:r>
            <w:r>
              <w:rPr>
                <w:rFonts w:hint="eastAsia" w:asciiTheme="minorEastAsia" w:hAnsiTheme="minorEastAsia" w:eastAsiaTheme="minorEastAsia" w:cstheme="minorEastAsia"/>
                <w:spacing w:val="-17"/>
                <w:sz w:val="24"/>
                <w:szCs w:val="24"/>
                <w:highlight w:val="none"/>
              </w:rPr>
              <w:t xml:space="preserve"> </w:t>
            </w:r>
            <w:r>
              <w:rPr>
                <w:rFonts w:hint="eastAsia" w:asciiTheme="minorEastAsia" w:hAnsiTheme="minorEastAsia" w:eastAsiaTheme="minorEastAsia" w:cstheme="minorEastAsia"/>
                <w:spacing w:val="-7"/>
                <w:sz w:val="24"/>
                <w:szCs w:val="24"/>
                <w:highlight w:val="none"/>
              </w:rPr>
              <w:t>IV、V</w:t>
            </w:r>
            <w:r>
              <w:rPr>
                <w:rFonts w:hint="eastAsia" w:asciiTheme="minorEastAsia" w:hAnsiTheme="minorEastAsia" w:eastAsiaTheme="minorEastAsia" w:cstheme="minorEastAsia"/>
                <w:spacing w:val="-30"/>
                <w:sz w:val="24"/>
                <w:szCs w:val="24"/>
                <w:highlight w:val="none"/>
              </w:rPr>
              <w:t xml:space="preserve"> </w:t>
            </w:r>
            <w:r>
              <w:rPr>
                <w:rFonts w:hint="eastAsia" w:asciiTheme="minorEastAsia" w:hAnsiTheme="minorEastAsia" w:eastAsiaTheme="minorEastAsia" w:cstheme="minorEastAsia"/>
                <w:spacing w:val="-7"/>
                <w:sz w:val="24"/>
                <w:szCs w:val="24"/>
                <w:highlight w:val="none"/>
              </w:rPr>
              <w:t>区，各</w:t>
            </w:r>
            <w:r>
              <w:rPr>
                <w:rFonts w:hint="eastAsia" w:asciiTheme="minorEastAsia" w:hAnsiTheme="minorEastAsia" w:eastAsiaTheme="minorEastAsia" w:cstheme="minorEastAsia"/>
                <w:spacing w:val="-30"/>
                <w:sz w:val="24"/>
                <w:szCs w:val="24"/>
                <w:highlight w:val="none"/>
              </w:rPr>
              <w:t xml:space="preserve"> </w:t>
            </w:r>
            <w:r>
              <w:rPr>
                <w:rFonts w:hint="eastAsia" w:asciiTheme="minorEastAsia" w:hAnsiTheme="minorEastAsia" w:eastAsiaTheme="minorEastAsia" w:cstheme="minorEastAsia"/>
                <w:spacing w:val="-7"/>
                <w:sz w:val="24"/>
                <w:szCs w:val="24"/>
                <w:highlight w:val="none"/>
              </w:rPr>
              <w:t>1</w:t>
            </w:r>
            <w:r>
              <w:rPr>
                <w:rFonts w:hint="eastAsia" w:asciiTheme="minorEastAsia" w:hAnsiTheme="minorEastAsia" w:eastAsiaTheme="minorEastAsia" w:cstheme="minorEastAsia"/>
                <w:spacing w:val="-29"/>
                <w:sz w:val="24"/>
                <w:szCs w:val="24"/>
                <w:highlight w:val="none"/>
              </w:rPr>
              <w:t xml:space="preserve"> </w:t>
            </w:r>
            <w:r>
              <w:rPr>
                <w:rFonts w:hint="eastAsia" w:asciiTheme="minorEastAsia" w:hAnsiTheme="minorEastAsia" w:eastAsiaTheme="minorEastAsia" w:cstheme="minorEastAsia"/>
                <w:spacing w:val="-7"/>
                <w:sz w:val="24"/>
                <w:szCs w:val="24"/>
                <w:highlight w:val="none"/>
              </w:rPr>
              <w:t>台，共 2</w:t>
            </w:r>
            <w:r>
              <w:rPr>
                <w:rFonts w:hint="eastAsia" w:asciiTheme="minorEastAsia" w:hAnsiTheme="minorEastAsia" w:eastAsiaTheme="minorEastAsia" w:cstheme="minorEastAsia"/>
                <w:spacing w:val="23"/>
                <w:sz w:val="24"/>
                <w:szCs w:val="24"/>
                <w:highlight w:val="none"/>
              </w:rPr>
              <w:t xml:space="preserve"> </w:t>
            </w:r>
            <w:r>
              <w:rPr>
                <w:rFonts w:hint="eastAsia" w:asciiTheme="minorEastAsia" w:hAnsiTheme="minorEastAsia" w:eastAsiaTheme="minorEastAsia" w:cstheme="minorEastAsia"/>
                <w:spacing w:val="-7"/>
                <w:sz w:val="24"/>
                <w:szCs w:val="24"/>
                <w:highlight w:val="none"/>
              </w:rPr>
              <w:t>台。</w:t>
            </w:r>
          </w:p>
        </w:tc>
        <w:tc>
          <w:tcPr>
            <w:tcW w:w="254" w:type="pct"/>
            <w:tcBorders>
              <w:top w:val="single" w:color="auto" w:sz="4" w:space="0"/>
              <w:left w:val="nil"/>
              <w:bottom w:val="single" w:color="auto" w:sz="4" w:space="0"/>
              <w:right w:val="single" w:color="auto" w:sz="8" w:space="0"/>
            </w:tcBorders>
            <w:shd w:val="clear" w:color="auto" w:fill="auto"/>
            <w:vAlign w:val="center"/>
          </w:tcPr>
          <w:p>
            <w:pPr>
              <w:jc w:val="center"/>
              <w:rPr>
                <w:rFonts w:hint="eastAsia" w:asciiTheme="minorEastAsia" w:hAnsiTheme="minorEastAsia" w:eastAsiaTheme="minorEastAsia" w:cstheme="minorEastAsia"/>
                <w:color w:val="000000"/>
                <w:kern w:val="2"/>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rPr>
              <w:t>台</w:t>
            </w:r>
          </w:p>
        </w:tc>
        <w:tc>
          <w:tcPr>
            <w:tcW w:w="339" w:type="pct"/>
            <w:tcBorders>
              <w:top w:val="single" w:color="auto" w:sz="4" w:space="0"/>
              <w:left w:val="nil"/>
              <w:bottom w:val="single" w:color="auto" w:sz="4" w:space="0"/>
              <w:right w:val="single" w:color="auto" w:sz="8" w:space="0"/>
            </w:tcBorders>
            <w:shd w:val="clear" w:color="auto" w:fill="auto"/>
            <w:vAlign w:val="center"/>
          </w:tcPr>
          <w:p>
            <w:pPr>
              <w:jc w:val="center"/>
              <w:rPr>
                <w:rFonts w:hint="eastAsia" w:asciiTheme="minorEastAsia" w:hAnsiTheme="minorEastAsia" w:eastAsiaTheme="minorEastAsia" w:cstheme="minorEastAsia"/>
                <w:color w:val="000000"/>
                <w:kern w:val="2"/>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rPr>
              <w:t>2</w:t>
            </w:r>
          </w:p>
        </w:tc>
        <w:tc>
          <w:tcPr>
            <w:tcW w:w="275" w:type="pct"/>
            <w:tcBorders>
              <w:top w:val="single" w:color="auto" w:sz="4" w:space="0"/>
              <w:left w:val="nil"/>
              <w:bottom w:val="single" w:color="auto" w:sz="4" w:space="0"/>
              <w:right w:val="single" w:color="auto" w:sz="8" w:space="0"/>
            </w:tcBorders>
            <w:shd w:val="clear" w:color="auto" w:fill="auto"/>
            <w:vAlign w:val="center"/>
          </w:tcPr>
          <w:p>
            <w:pPr>
              <w:jc w:val="center"/>
              <w:rPr>
                <w:rFonts w:hint="eastAsia" w:asciiTheme="minorEastAsia" w:hAnsiTheme="minorEastAsia" w:eastAsiaTheme="minorEastAsia" w:cstheme="minorEastAsia"/>
                <w:kern w:val="2"/>
                <w:sz w:val="24"/>
                <w:szCs w:val="24"/>
                <w:highlight w:val="none"/>
                <w:lang w:val="en-US" w:eastAsia="zh-CN" w:bidi="ar-SA"/>
              </w:rPr>
            </w:pPr>
          </w:p>
        </w:tc>
      </w:tr>
    </w:tbl>
    <w:p>
      <w:pPr>
        <w:pStyle w:val="6"/>
        <w:tabs>
          <w:tab w:val="left" w:pos="720"/>
          <w:tab w:val="clear" w:pos="709"/>
        </w:tabs>
        <w:rPr>
          <w:highlight w:val="none"/>
        </w:rPr>
      </w:pPr>
      <w:bookmarkStart w:id="97" w:name="_Toc32386"/>
      <w:r>
        <w:rPr>
          <w:rFonts w:hint="eastAsia"/>
          <w:highlight w:val="none"/>
        </w:rPr>
        <w:t>参数及功能要求</w:t>
      </w:r>
      <w:bookmarkEnd w:id="92"/>
      <w:bookmarkEnd w:id="93"/>
      <w:bookmarkEnd w:id="94"/>
      <w:bookmarkEnd w:id="95"/>
      <w:bookmarkEnd w:id="96"/>
      <w:bookmarkEnd w:id="97"/>
    </w:p>
    <w:p>
      <w:pPr>
        <w:ind w:firstLine="480" w:firstLineChars="200"/>
        <w:rPr>
          <w:rFonts w:hint="eastAsia" w:ascii="宋体" w:hAnsi="宋体" w:eastAsia="宋体" w:cs="宋体"/>
          <w:bCs/>
          <w:highlight w:val="none"/>
          <w:lang w:val="en-US" w:eastAsia="zh-CN"/>
        </w:rPr>
      </w:pPr>
      <w:r>
        <w:rPr>
          <w:rFonts w:hint="eastAsia" w:ascii="宋体" w:hAnsi="宋体" w:eastAsia="宋体" w:cs="宋体"/>
          <w:bCs/>
          <w:highlight w:val="none"/>
          <w:lang w:val="en-US" w:eastAsia="zh-CN"/>
        </w:rPr>
        <w:t>本项目采购设备全部需要满足公司自主可控要求，包含5年质保及对应产品安装部署、策略配置调试等服务。</w:t>
      </w:r>
    </w:p>
    <w:p>
      <w:pPr>
        <w:pStyle w:val="7"/>
        <w:tabs>
          <w:tab w:val="left" w:pos="720"/>
          <w:tab w:val="clear" w:pos="0"/>
        </w:tabs>
        <w:rPr>
          <w:rFonts w:hint="eastAsia"/>
          <w:highlight w:val="none"/>
        </w:rPr>
      </w:pPr>
      <w:r>
        <w:rPr>
          <w:rFonts w:hint="eastAsia"/>
          <w:highlight w:val="none"/>
        </w:rPr>
        <w:t>恶意文件检测设备</w:t>
      </w:r>
    </w:p>
    <w:tbl>
      <w:tblPr>
        <w:tblStyle w:val="23"/>
        <w:tblpPr w:leftFromText="180" w:rightFromText="180" w:vertAnchor="text" w:horzAnchor="page" w:tblpX="1712" w:tblpY="176"/>
        <w:tblOverlap w:val="never"/>
        <w:tblW w:w="89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95"/>
        <w:gridCol w:w="817"/>
        <w:gridCol w:w="1118"/>
        <w:gridCol w:w="3845"/>
        <w:gridCol w:w="18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hAnsi="宋体" w:cs="宋体"/>
                <w:b/>
                <w:bCs/>
                <w:i w:val="0"/>
                <w:iCs w:val="0"/>
                <w:color w:val="000000"/>
                <w:kern w:val="0"/>
                <w:sz w:val="22"/>
                <w:szCs w:val="22"/>
                <w:highlight w:val="none"/>
                <w:u w:val="none"/>
                <w:lang w:val="en-US" w:eastAsia="zh-CN" w:bidi="ar"/>
              </w:rPr>
            </w:pPr>
            <w:r>
              <w:rPr>
                <w:rFonts w:hint="eastAsia" w:hAnsi="宋体" w:cs="宋体"/>
                <w:b/>
                <w:bCs/>
                <w:i w:val="0"/>
                <w:iCs w:val="0"/>
                <w:color w:val="000000"/>
                <w:kern w:val="0"/>
                <w:sz w:val="22"/>
                <w:szCs w:val="22"/>
                <w:highlight w:val="none"/>
                <w:u w:val="none"/>
                <w:lang w:val="en-US" w:eastAsia="zh-CN" w:bidi="ar"/>
              </w:rPr>
              <w:t>类别</w:t>
            </w: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b/>
                <w:bCs/>
                <w:i w:val="0"/>
                <w:iCs w:val="0"/>
                <w:color w:val="000000"/>
                <w:kern w:val="0"/>
                <w:sz w:val="22"/>
                <w:szCs w:val="22"/>
                <w:highlight w:val="none"/>
                <w:u w:val="none"/>
                <w:lang w:val="en-US" w:eastAsia="zh-CN" w:bidi="ar"/>
              </w:rPr>
            </w:pPr>
            <w:r>
              <w:rPr>
                <w:rFonts w:hint="eastAsia" w:hAnsi="宋体" w:cs="宋体"/>
                <w:b/>
                <w:bCs/>
                <w:i w:val="0"/>
                <w:iCs w:val="0"/>
                <w:color w:val="000000"/>
                <w:kern w:val="0"/>
                <w:sz w:val="22"/>
                <w:szCs w:val="22"/>
                <w:highlight w:val="none"/>
                <w:u w:val="none"/>
                <w:lang w:val="en-US" w:eastAsia="zh-CN" w:bidi="ar"/>
              </w:rPr>
              <w:t>项目</w:t>
            </w:r>
          </w:p>
        </w:tc>
        <w:tc>
          <w:tcPr>
            <w:tcW w:w="496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cs="宋体"/>
                <w:b/>
                <w:bCs/>
                <w:kern w:val="0"/>
                <w:sz w:val="20"/>
                <w:szCs w:val="20"/>
                <w:highlight w:val="none"/>
              </w:rPr>
              <w:t>招标方要求</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cs="宋体"/>
                <w:b/>
                <w:bCs/>
                <w:kern w:val="0"/>
                <w:sz w:val="20"/>
                <w:szCs w:val="20"/>
                <w:highlight w:val="none"/>
              </w:rPr>
            </w:pPr>
            <w:r>
              <w:rPr>
                <w:rFonts w:hint="eastAsia" w:ascii="宋体" w:hAnsi="宋体" w:cs="宋体"/>
                <w:b/>
                <w:bCs/>
                <w:kern w:val="0"/>
                <w:sz w:val="20"/>
                <w:szCs w:val="20"/>
                <w:highlight w:val="none"/>
              </w:rPr>
              <w:t>投标方应答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95"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b/>
                <w:bCs/>
                <w:i w:val="0"/>
                <w:iCs w:val="0"/>
                <w:color w:val="000000"/>
                <w:sz w:val="22"/>
                <w:szCs w:val="22"/>
                <w:highlight w:val="none"/>
                <w:u w:val="none"/>
                <w:lang w:val="en-US" w:eastAsia="zh-CN"/>
              </w:rPr>
            </w:pPr>
            <w:r>
              <w:rPr>
                <w:rFonts w:hint="eastAsia" w:hAnsi="宋体" w:cs="宋体"/>
                <w:b/>
                <w:bCs/>
                <w:i w:val="0"/>
                <w:iCs w:val="0"/>
                <w:color w:val="000000"/>
                <w:sz w:val="22"/>
                <w:szCs w:val="22"/>
                <w:highlight w:val="none"/>
                <w:u w:val="none"/>
                <w:lang w:val="en-US" w:eastAsia="zh-CN"/>
              </w:rPr>
              <w:t>恶意文件检测设备</w:t>
            </w: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highlight w:val="none"/>
                <w:u w:val="none"/>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细分项</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指标要求</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基本</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要求</w:t>
            </w: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基本要求</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color w:val="000000"/>
                <w:kern w:val="0"/>
                <w:sz w:val="20"/>
                <w:szCs w:val="20"/>
                <w:highlight w:val="none"/>
                <w:u w:val="none"/>
                <w:lang w:bidi="ar"/>
              </w:rPr>
              <w:t>*产品应为国内自主研发产品，满足自主可控要求，2U标准设备。。</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kern w:val="0"/>
                <w:sz w:val="20"/>
                <w:szCs w:val="20"/>
                <w:highlight w:val="none"/>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000000"/>
                <w:kern w:val="0"/>
                <w:sz w:val="20"/>
                <w:szCs w:val="20"/>
                <w:highlight w:val="none"/>
              </w:rPr>
            </w:pPr>
            <w:r>
              <w:rPr>
                <w:rFonts w:hint="eastAsia" w:ascii="宋体" w:hAnsi="宋体" w:cs="宋体"/>
                <w:color w:val="000000"/>
                <w:kern w:val="0"/>
                <w:sz w:val="20"/>
                <w:szCs w:val="20"/>
                <w:highlight w:val="none"/>
              </w:rPr>
              <w:t>配置</w:t>
            </w:r>
          </w:p>
          <w:p>
            <w:pPr>
              <w:keepNext w:val="0"/>
              <w:keepLines w:val="0"/>
              <w:widowControl/>
              <w:suppressLineNumbers w:val="0"/>
              <w:jc w:val="left"/>
              <w:textAlignment w:val="center"/>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宋体" w:hAnsi="宋体" w:cs="宋体"/>
                <w:color w:val="000000"/>
                <w:kern w:val="0"/>
                <w:sz w:val="20"/>
                <w:szCs w:val="20"/>
                <w:highlight w:val="none"/>
              </w:rPr>
              <w:t>要求</w:t>
            </w: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宋体" w:hAnsi="宋体" w:cs="宋体"/>
                <w:color w:val="000000"/>
                <w:kern w:val="0"/>
                <w:sz w:val="20"/>
                <w:szCs w:val="20"/>
                <w:highlight w:val="none"/>
              </w:rPr>
              <w:t>配置要求</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color w:val="000000"/>
                <w:kern w:val="0"/>
                <w:sz w:val="20"/>
                <w:szCs w:val="20"/>
                <w:highlight w:val="none"/>
                <w:u w:val="none"/>
                <w:lang w:bidi="ar"/>
              </w:rPr>
            </w:pPr>
            <w:r>
              <w:rPr>
                <w:rFonts w:hint="eastAsia" w:asciiTheme="minorEastAsia" w:hAnsiTheme="minorEastAsia" w:eastAsiaTheme="minorEastAsia" w:cstheme="minorEastAsia"/>
                <w:color w:val="000000"/>
                <w:kern w:val="0"/>
                <w:sz w:val="20"/>
                <w:szCs w:val="20"/>
                <w:highlight w:val="none"/>
                <w:u w:val="none"/>
                <w:lang w:bidi="ar"/>
              </w:rPr>
              <w:t>流程处理能力不低于5G，CPU不低</w:t>
            </w:r>
          </w:p>
          <w:p>
            <w:pPr>
              <w:keepNext w:val="0"/>
              <w:keepLines w:val="0"/>
              <w:widowControl/>
              <w:suppressLineNumbers w:val="0"/>
              <w:jc w:val="left"/>
              <w:textAlignment w:val="center"/>
              <w:rPr>
                <w:rFonts w:hint="eastAsia" w:asciiTheme="minorEastAsia" w:hAnsiTheme="minorEastAsia" w:eastAsiaTheme="minorEastAsia" w:cstheme="minorEastAsia"/>
                <w:color w:val="000000"/>
                <w:kern w:val="0"/>
                <w:sz w:val="20"/>
                <w:szCs w:val="20"/>
                <w:highlight w:val="none"/>
                <w:u w:val="none"/>
                <w:lang w:bidi="ar"/>
              </w:rPr>
            </w:pPr>
            <w:r>
              <w:rPr>
                <w:rFonts w:hint="eastAsia" w:asciiTheme="minorEastAsia" w:hAnsiTheme="minorEastAsia" w:eastAsiaTheme="minorEastAsia" w:cstheme="minorEastAsia"/>
                <w:color w:val="000000"/>
                <w:kern w:val="0"/>
                <w:sz w:val="20"/>
                <w:szCs w:val="20"/>
                <w:highlight w:val="none"/>
                <w:u w:val="none"/>
                <w:lang w:bidi="ar"/>
              </w:rPr>
              <w:t>于24核，内存32G，不少于2个千兆电口，4个万兆光口，4TBSATA企</w:t>
            </w:r>
          </w:p>
          <w:p>
            <w:pPr>
              <w:keepNext w:val="0"/>
              <w:keepLines w:val="0"/>
              <w:widowControl/>
              <w:suppressLineNumbers w:val="0"/>
              <w:jc w:val="left"/>
              <w:textAlignment w:val="center"/>
              <w:rPr>
                <w:rFonts w:hint="eastAsia" w:asciiTheme="minorEastAsia" w:hAnsiTheme="minorEastAsia" w:eastAsiaTheme="minorEastAsia" w:cstheme="minorEastAsia"/>
                <w:color w:val="000000"/>
                <w:kern w:val="0"/>
                <w:sz w:val="20"/>
                <w:szCs w:val="20"/>
                <w:highlight w:val="none"/>
                <w:u w:val="none"/>
                <w:lang w:bidi="ar"/>
              </w:rPr>
            </w:pPr>
            <w:r>
              <w:rPr>
                <w:rFonts w:hint="eastAsia" w:asciiTheme="minorEastAsia" w:hAnsiTheme="minorEastAsia" w:eastAsiaTheme="minorEastAsia" w:cstheme="minorEastAsia"/>
                <w:color w:val="000000"/>
                <w:kern w:val="0"/>
                <w:sz w:val="20"/>
                <w:szCs w:val="20"/>
                <w:highlight w:val="none"/>
                <w:u w:val="none"/>
                <w:lang w:bidi="ar"/>
              </w:rPr>
              <w:t>业级硬盘，冗余电源。</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kern w:val="0"/>
                <w:sz w:val="20"/>
                <w:szCs w:val="20"/>
                <w:highlight w:val="none"/>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8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威胁态势</w:t>
            </w:r>
          </w:p>
        </w:tc>
        <w:tc>
          <w:tcPr>
            <w:tcW w:w="111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态势总览</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具备态势综合分析能力，支持可视化攻击地图展示；监控仪表盘模块不少于 6 个，包含威胁概览、特征事件 TOP、样本标签 TOP、热点事件、监听口流量统计、安全类型 TOP。</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威胁概览可视化呈现样本总量、特征检测总量；通过柱状图展示安全类型、样本标签 TOP5 及对应频次，支撑威胁快速研判。</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大屏展示</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内置文件检测可视化综合大屏，覆盖文件检测数量、样本标签 TOP5、文件热点事件、源 IP TOP5、文件类型 TOP5、文件还原趋势、CPU 使用率、系统磁盘使用率、数据磁盘使用率、内存使用率十大监测维度。支持自定义大屏标题，统计周期可选当日、近 7 天、近 15 天、近 1 个月，自动刷新间隔可设为关闭 / 5 分钟 / 10 分钟 / 15 分钟，满足实时监控与数据分析需求。</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事件帮助</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内置入侵检测规则知识库，支持关键词检索攻击告警；事件解读信息完整，包含事件名称、别名、级别、类型、协议、描述、CVE 编号、CNNVD 编号、漏洞时间、影响系统、软件指纹、事件判定、处置流程等内容。</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APT 组织图谱</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内置 APT 组织资料库，可视化展示全球 APT 组织分布与区域活跃态势，收录 APT 组织数量不少于 60 个，覆盖北非、中亚、中东、南亚、东南亚、东亚、东欧、北美洲、南美洲共 9 大区域。组织资料包含团伙概况、活动描述、威胁 IOC、检测规则、APT 事件分析报告。</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组织概况涵盖成立背景、隶属关系、目标行业、活动轨迹、团伙名称、攻击者类型、活动时间、影响行业、攻击方式、影响区域等信息。</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系统内置公开 APT 分析报告不少于 100 份，报告来源包含公开行业资料、厂商情报资料等。</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95" w:type="dxa"/>
            <w:vMerge w:val="continue"/>
            <w:tcBorders>
              <w:left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8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流量审计</w:t>
            </w:r>
          </w:p>
        </w:tc>
        <w:tc>
          <w:tcPr>
            <w:tcW w:w="111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协议解析</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支持标准协议自定义非标准端口配置，可在 Web 界面新增应用端口，适配复杂网络环境。</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支持 FTP、SSH、TELNET、SMTP、HTTP、TLS、POP3、IMAP、MYSQL、TDS、SMB、DNS、ORACLE、RADIUS、NFS、DCERPC、LDAP、VNC、MONGODB、REDIS、ISAKMP、OPENVPN、L2TP、PPTP、GRE、DHCP、KRB5、DB2、RDP、TFTP 等主流协议解析识别。</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1295" w:type="dxa"/>
            <w:vMerge w:val="continue"/>
            <w:tcBorders>
              <w:left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8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情报检测</w:t>
            </w:r>
          </w:p>
        </w:tc>
        <w:tc>
          <w:tcPr>
            <w:tcW w:w="111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威胁情报</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内置多类型威胁情报检测能力，覆盖 APT 攻击、恶意软件、木马、僵尸网络 C2、垃圾邮件、感染型病毒、勒索软件、钓鱼攻击、黑产团伙、木马下载服务器、漏洞利用、远控木马等；支持自定义威胁情报导入。</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支持单条私有 IOC 手动添加、模板批量导入情报，可对情报执行启用、停用、删除操作，支持按情报类型、IOC 内容、威胁等级检索过滤。</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支持本地威胁情报碰撞分析，覆盖 IP、域名、HASH 类 IOC；自动统计情报 IOC 排行、情报类型排行并可视化展示。</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防逃逸解码</w:t>
            </w: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防逃逸防护</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具备流量防逃逸检测能力，支持数据包完整性校验、碎片重组、AET 检测；支持 URL、HTML、JSON、XML、Base64、Unicode、十六进制、斜杆反转义、Chr 等格式解码，最大解码层级不少于 5 级。</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8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未知威胁检测</w:t>
            </w:r>
          </w:p>
        </w:tc>
        <w:tc>
          <w:tcPr>
            <w:tcW w:w="111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沙箱检测</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内置沙箱检测引擎，支持 120 种以上文件格式，兼容 Windows、Linux 等主流操作系统，支持自定义文件识别规则。</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具备样本静态检测能力，集成防病毒引擎、YARA 规则库、Office 漏洞检测、PE 内嵌文件检测、恶意样本黑名单、威胁情报检测、机器学习检测等能力；支持中文恶意代码标签展示与检索。</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具备样本动态检测能力，可识别 UPX、Aspack、PECompact 等主流加壳程序；支持主流 APT 组织样本行为检测、程序自启动 / 计划任务等持久化行为检测；可监控进程注入、远程线程创建、内存写入、傀儡进程等敏感操作，同时监测文件、进程、网络、注册表全维度行为及隐蔽信道；支持反调试、反虚拟机等对抗行为检测，可识别动作类型不少于 20 种。</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沙箱配置</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支持 FTP、SMTP、SMTPS、SMB、TFTP、HTTP、HTTPS、NFS、POP3、POP3S、IMAP、IMAPS 等协议文件还原；可配置文件过滤大小、检测队列、沙箱截图、检测时长等参数。</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支持按文件格式选配沙箱检测模式，沙箱运行环境可配置多版本运行组件，包含多版本 Python、VC 运行库、.NET 框架、压缩软件、浏览器、PDF 阅读器、Office 办公套件等。</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提供截图证明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内置解压密码字典，压缩文件解压深度不少于 10 层，支持压缩包解密检测。</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提供截图证明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支持文件还原过滤，可按协议、文件名、源目 IP / 端口、MD5、域名、收发件人等维度配置文件放行 / 丢弃规则。</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提供截图证明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支持自定义检测流程，可按文件类型组合静态检测、沙箱检测、告警联动等执行策略。</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提供截图证明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威胁检测</w:t>
            </w: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语义算法</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基于语义分析算法开展检测，不依赖传统特征规则碰撞，搭载 7 种及以上算法模型，可识别 SQL 注入、XSS 跨站、代码注入、反序列化、XML 外部实体、命令注入、Shiro 漏洞攻击等 Web 攻击。</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提供截图证明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入侵检测</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全面入侵检测能力，支持 AD 域漏洞、Kerberos 协议等域渗透攻击检测；支持 ICMP、DNS、HTTP 等隐蔽隧道检测；支持远控木马、APT 后门、Webshell 上传与连接检测；支持 Apache、Nginx、Tomcat 等中间件、通用框架、各类 OA 及网络设备漏洞利用检测；覆盖命令执行、文件上传、目录穿越等常规 Web 攻击；支持虚拟化平台漏洞利用检测。</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脆弱口令</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支持弱口令场景化分析，提供宽松、常规、严格三档检测规则强度；支持导入自定义密码字典，可自定义 Web 登录关键字。</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支持 TELNET、MYSQL、FTP、SMTP、HTTP 等多协议弱口令检测；通过环形图、柱状图分别统计协议弱口令分布、高访问 IP、高访问账号。</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弱口令告警支持多维度筛选，筛选条件包含被访问 IP、协议、账号、攻击源 IP、资产标签、检测方式、流量回放等。</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暴力破解</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支持 HTTP、HTTPS、FTP、SSH、RDP、数据库、远程桌面等多协议暴力破解、密码碰撞、密码喷洒检测；可自定义检测周期与频率阈值，自动统计攻击源、受害资产、爆破成功次数、总爆破次数。</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模块化统计攻击数据，通过柱状图展示高频攻击者，曲线图呈现爆破行为趋势。</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勒索挖矿</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支持勒索、挖矿行为专项检测分析。勒索模块可统计可疑样本传播、风险端口访问、暴力破解等数据，展示威胁级别、源目 IP、告警类型、发生时间等信息。挖矿模块支持币种分布、主机活跃度、挖矿阶段可视化展示，完整识别矿池连接、任务获取、数据通信、挖矿执行等全流程行为。</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可识别主流挖矿木马、各类家族勒索软件。</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钓鱼邮件</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具备钓鱼邮件综合检测能力，可识别伪造发件人、恶意二维码、正文恶意链接、危险附件；支持自动提取邮件附件解密密码并完成自解密。</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通过曲线图统计恶意 / 可疑 / 正常邮件走势，柱状图展示高频受害邮箱，饼图呈现邮件鉴定结果占比。</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僵木蠕</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支持僵尸网络、木马、蠕虫类威胁检测，可识别主流物联网僵尸网络家族；全面检测 PHP、JSP、ASP 等各类 Webshell 及主流 Web 管理工具。</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隐蔽隧道</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基于全流量技术识别 DNS、ICMP、HTTP、TCP、UDP 等协议隧道，可识别市面主流隧道工具并触发告警。</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DGA 域名</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支持 DGA 域名检测，展示域名信息、置信度、受害 IP、访问频次等数据；自动统计 DGA 域名总量、攻击频次、受影响资产规模。</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DDOS 检测</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支持 DDoS 攻击识别与分析，展示攻击时间、攻击源、目标端口、资产信息、协议类型、攻击次数等内容。</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扫描探测</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识别 TCP/UDP 端口扫描、恶意扫描器等行为，统计扫描源 IP、扫描次数、目标资产；通过柱状图展示高频扫描源，曲线图呈现扫描行为趋势。</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违规互联</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监测内网违规外联行为，统计高频外联主机、被访问主机；告警记录违规原因、源目 IP / 端口、命中次数、最近访问时间。</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异常流量</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基于流量大小、数据包长度、TCP 流量占比等多维度阈值识别异常流量；告警包含规则名称、阈值类型、网络协议、命中次数等信息，实时监控流量波动。</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威胁分析</w:t>
            </w: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研判分析</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支持告警报文解析，查看请求头、请求体、响应数据及载荷内容，支持报文信息一键复制；支持原始 PCAP 报文下载与在线分析。</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聚合降噪</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支持多维度告警聚合降噪，可按单条告警、告警 + IP、资产维度完成日志聚合，减少冗余告警。</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AI 研判</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集成 AI 智能分析能力，实现告警自动关联、行为溯源、风险定级，辅助运维人员梳理入侵链路、处置安全事件。</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离线鉴定</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支持 PCAP 数据包离线回放，回放倍速支持 1 倍、2 倍、4 倍、8 倍、16 倍；可查看回放数据包告警详情、恶意域名信息、文件检测结果。</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支持 Web 端手动上传样本开展离线检测，查询文件 MD5、格式、检测结果，支持检测报告与原文件批量导出。</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支持办公文档深度鉴定，提取文件名称、属性、作者、修改记录、页数、字符数等全维度信息。</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针对 PE 程序文件，可提取图标、版本、版权、编译信息、壳特征、内存基址、入口地址、节表、资源表、导入表等详细特征数据。</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威胁狩猎</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支持导入 IP、MD5、域名等私有威胁情报，与历史日志全量碰撞比对，实现威胁线索检索、历史入侵行为追溯分析。</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资产感知</w:t>
            </w: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资产发现</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支持主动探测、被动侦听两种资产识别模式，采集资产端口、服务、Web 应用、操作系统、设备厂商等信息；实时监测资产在线 / 离线状态。</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资产管理</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支持资产信息维护，配置项包含资产名称、分组、类型、内外网属性、标签、系统信息、物理位置、责任人及联系方式等。</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内网配置</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支持内网 IP 单条新增、编辑、删除，支持 IP 网段批量导入，可配置资产属地信息。</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资产标签</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支持自定义资产标签，按资产类型、业务归属、部署位置等维度分类标记，标签与资产台账联动，支撑策略精准下发。</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威胁处置</w:t>
            </w: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联动响应</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支持与全流量取证设备联动溯源；白名单配置维度不少于 10 类；支持告警日志外发，对接协议包含 Syslog、Kafka、FTP、邮件。</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IM 推送</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支持主流办公即时通讯接口对接，实现告警消息推送；可按攻击阶段、事件级别配置推送规则，自定义检测时长、消息间隔，规避告警风暴。</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报表管理</w:t>
            </w: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报表生成</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内置标准化报表模板，支持自定义统计周期，可选 7 天、1 个月、1 季度、1 年等固定周期，支持报表查看与下载。</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报表模板</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覆盖基础统计、深度分析、事件明细、安全巡检、处置记录等多类模板，支持自定义报表维度、统计样式。</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报表格式</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报表支持 Excel、Word、PDF、HTML、CSV、XML 等主流格式导出。</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日志审计</w:t>
            </w: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日志审计</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日志审计:留存检测日志(含文件哈希、处置记录)，支持按时间、资</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产、恶意类型等维度查询统计。</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kern w:val="0"/>
                <w:sz w:val="20"/>
                <w:szCs w:val="20"/>
                <w:highlight w:val="none"/>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1295" w:type="dxa"/>
            <w:vMerge w:val="continue"/>
            <w:tcBorders>
              <w:left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系统配置</w:t>
            </w: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系统维护</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具备用户权限分级、双因素认证、密码策略配置能力；实时监控 CPU、内存、磁盘使用率；支持 Web、远程管理端口自定义修改，可自定义设备名称与标识；支持流量降噪过滤、系统日志一键导出、模块手动 / 自动升级、消息中心管理。</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备份恢复</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支持告警数据、系统配置全量备份与一键恢复，可自选备份模块、设定备份时间范围。</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密码强度</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精细化密码安全管控，包含密码强度等级、有效期、登录 IP 锁定、账号锁定、密码强制更新等策略配置。</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1295" w:type="dxa"/>
            <w:vMerge w:val="continue"/>
            <w:tcBorders>
              <w:left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8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资质类型</w:t>
            </w:r>
          </w:p>
        </w:tc>
        <w:tc>
          <w:tcPr>
            <w:tcW w:w="111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产品资质</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产品符合 GB 42250-2022《信息安全技术 网络安全专用产品安全技术要求》及 APT 安全监测类产品专项规范，具备网络安全专用产品检测证书，可在官方平台查询核验。</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拥有完整软件著作权，产品经过长期迭代验证，可提供软件著作权证书。</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具备国家信息安全漏洞库（CNNVD）兼容性资质。</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通过 IPv6 Ready Logo 认证，满足 IPv6 网络部署要求。</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111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完成主流国产芯片、国产操作系统兼容性适配及认证，适配国产化部署场景。</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0"/>
                <w:szCs w:val="20"/>
                <w:highlight w:val="none"/>
                <w:u w:val="none"/>
                <w:lang w:val="en-US" w:eastAsia="zh-CN" w:bidi="ar"/>
              </w:rPr>
              <w:t>*接口集成</w:t>
            </w: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0"/>
                <w:szCs w:val="20"/>
                <w:highlight w:val="none"/>
                <w:u w:val="none"/>
                <w:lang w:val="en-US" w:eastAsia="zh-CN" w:bidi="ar"/>
              </w:rPr>
              <w:t>*接口集成</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支持按照招标方要求，提供与云盾集成的接口，用于设备控制，并支持设备运行信息、告警信息、安全策略等上传。</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kern w:val="0"/>
                <w:sz w:val="20"/>
                <w:szCs w:val="20"/>
                <w:highlight w:val="none"/>
              </w:rPr>
            </w:pPr>
            <w:r>
              <w:rPr>
                <w:rFonts w:hint="eastAsia" w:ascii="宋体" w:hAnsi="宋体" w:eastAsia="宋体" w:cs="宋体"/>
                <w:i w:val="0"/>
                <w:iCs w:val="0"/>
                <w:color w:val="000000"/>
                <w:kern w:val="0"/>
                <w:sz w:val="20"/>
                <w:szCs w:val="20"/>
                <w:highlight w:val="none"/>
                <w:u w:val="none"/>
                <w:lang w:val="en-US" w:eastAsia="zh-CN" w:bidi="ar"/>
              </w:rPr>
              <w:t>提供加盖原厂公章的技术服务承诺函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互联互通</w:t>
            </w: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互联互通</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产品需适配网络安全互联互通信息语义模型及功能抽象标准，支持与多源异构存量网络安全产品开展信息共享、功能协同；可对接互联互通成套装备与适配平台，对外提供标准化数据共享接口与功能调用能力。</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kern w:val="0"/>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提供有关截图及加盖原厂公章的技术承诺函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全功能CLI</w:t>
            </w: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命令行交互接口</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所供货设备需提供全功能CLI（命令行交互接口），CLI交互能力应可满足检查与配置设备运行状态，检查与设置设备主要功能能力。</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95" w:type="dxa"/>
            <w:vMerge w:val="continue"/>
            <w:tcBorders>
              <w:left w:val="single" w:color="auto" w:sz="4" w:space="0"/>
              <w:right w:val="single" w:color="auto" w:sz="4" w:space="0"/>
            </w:tcBorders>
            <w:shd w:val="clear" w:color="auto" w:fill="auto"/>
            <w:vAlign w:val="center"/>
          </w:tcPr>
          <w:p>
            <w:pPr>
              <w:jc w:val="left"/>
              <w:rPr>
                <w:rFonts w:hint="eastAsia" w:ascii="宋体" w:hAnsi="宋体" w:eastAsia="宋体" w:cs="宋体"/>
                <w:i w:val="0"/>
                <w:iCs w:val="0"/>
                <w:color w:val="000000"/>
                <w:sz w:val="22"/>
                <w:szCs w:val="22"/>
                <w:highlight w:val="none"/>
                <w:u w:val="none"/>
              </w:rPr>
            </w:pPr>
          </w:p>
        </w:tc>
        <w:tc>
          <w:tcPr>
            <w:tcW w:w="817" w:type="dxa"/>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自主可控要求</w:t>
            </w:r>
          </w:p>
        </w:tc>
        <w:tc>
          <w:tcPr>
            <w:tcW w:w="1118"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auto"/>
                <w:kern w:val="2"/>
                <w:sz w:val="21"/>
                <w:szCs w:val="21"/>
                <w:highlight w:val="none"/>
                <w:lang w:val="en-US" w:eastAsia="zh-CN" w:bidi="ar-SA"/>
              </w:rPr>
            </w:pPr>
            <w:r>
              <w:rPr>
                <w:rFonts w:hint="eastAsia" w:hAnsi="宋体" w:cs="宋体"/>
                <w:color w:val="auto"/>
                <w:kern w:val="2"/>
                <w:sz w:val="21"/>
                <w:szCs w:val="21"/>
                <w:highlight w:val="none"/>
                <w:lang w:val="en-US" w:eastAsia="zh-CN" w:bidi="ar-SA"/>
              </w:rPr>
              <w:t>自主可控芯片</w:t>
            </w:r>
          </w:p>
        </w:tc>
        <w:tc>
          <w:tcPr>
            <w:tcW w:w="3845" w:type="dxa"/>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000000"/>
                <w:sz w:val="21"/>
                <w:szCs w:val="21"/>
                <w:highlight w:val="none"/>
                <w:u w:val="none"/>
                <w:lang w:val="en-US" w:eastAsia="zh-CN"/>
              </w:rPr>
              <w:t>*该设备涉及的主要芯片产品（处理器、DRAM、Flash、安全芯片）需要满足自主可控要求。需提供芯片自主可控证明材料及承诺函</w:t>
            </w:r>
          </w:p>
        </w:tc>
        <w:tc>
          <w:tcPr>
            <w:tcW w:w="184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bl>
    <w:p>
      <w:pPr>
        <w:pStyle w:val="7"/>
        <w:tabs>
          <w:tab w:val="left" w:pos="720"/>
          <w:tab w:val="clear" w:pos="0"/>
        </w:tabs>
        <w:rPr>
          <w:rFonts w:hint="eastAsia"/>
          <w:highlight w:val="none"/>
        </w:rPr>
      </w:pPr>
      <w:r>
        <w:rPr>
          <w:rFonts w:hint="eastAsia"/>
          <w:highlight w:val="none"/>
        </w:rPr>
        <w:t>主机安全系统（G01） Agent 授权续期</w:t>
      </w:r>
    </w:p>
    <w:tbl>
      <w:tblPr>
        <w:tblStyle w:val="23"/>
        <w:tblW w:w="8697"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9"/>
        <w:gridCol w:w="789"/>
        <w:gridCol w:w="745"/>
        <w:gridCol w:w="4950"/>
        <w:gridCol w:w="14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一级分类</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二级分类</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三级分类</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招标方要求</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投标方应答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789"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主机安全防护系统</w:t>
            </w:r>
          </w:p>
        </w:tc>
        <w:tc>
          <w:tcPr>
            <w:tcW w:w="7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性能要求</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配置要求</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产品应为国内自主研发产品，</w:t>
            </w:r>
            <w:r>
              <w:rPr>
                <w:rStyle w:val="60"/>
                <w:color w:val="auto"/>
                <w:highlight w:val="none"/>
                <w:lang w:val="en-US" w:eastAsia="zh-CN" w:bidi="ar"/>
              </w:rPr>
              <w:t>提供网络安全专用产品安全检测证书</w:t>
            </w:r>
            <w:r>
              <w:rPr>
                <w:rFonts w:hint="eastAsia" w:hAnsi="宋体" w:cs="宋体"/>
                <w:i w:val="0"/>
                <w:iCs w:val="0"/>
                <w:color w:val="auto"/>
                <w:kern w:val="0"/>
                <w:sz w:val="21"/>
                <w:szCs w:val="21"/>
                <w:highlight w:val="none"/>
                <w:u w:val="none"/>
                <w:lang w:val="en-US" w:eastAsia="zh-Hans" w:bidi="ar"/>
              </w:rPr>
              <w:t>或</w:t>
            </w:r>
            <w:r>
              <w:rPr>
                <w:rFonts w:hint="eastAsia"/>
                <w:color w:val="auto"/>
                <w:kern w:val="0"/>
                <w:sz w:val="21"/>
                <w:szCs w:val="21"/>
                <w:highlight w:val="none"/>
              </w:rPr>
              <w:t>软件著作权</w:t>
            </w:r>
            <w:r>
              <w:rPr>
                <w:rFonts w:hint="eastAsia"/>
                <w:color w:val="auto"/>
                <w:kern w:val="0"/>
                <w:sz w:val="21"/>
                <w:szCs w:val="21"/>
                <w:highlight w:val="none"/>
                <w:lang w:val="en-US" w:eastAsia="zh-Hans"/>
              </w:rPr>
              <w:t>证书</w:t>
            </w:r>
            <w:r>
              <w:rPr>
                <w:rStyle w:val="60"/>
                <w:color w:val="auto"/>
                <w:highlight w:val="none"/>
                <w:lang w:val="en-US" w:eastAsia="zh-CN" w:bidi="ar"/>
              </w:rPr>
              <w:t>。</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系统设计架构要求</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支持B/S和C/S双重架构设计</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节点授权要求</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至少包含</w:t>
            </w:r>
            <w:r>
              <w:rPr>
                <w:rFonts w:hint="eastAsia" w:hAnsi="宋体" w:cs="宋体"/>
                <w:i w:val="0"/>
                <w:iCs w:val="0"/>
                <w:color w:val="auto"/>
                <w:kern w:val="0"/>
                <w:sz w:val="20"/>
                <w:szCs w:val="20"/>
                <w:highlight w:val="none"/>
                <w:u w:val="none"/>
                <w:lang w:val="en-US" w:eastAsia="zh-CN" w:bidi="ar"/>
              </w:rPr>
              <w:t>7717</w:t>
            </w:r>
            <w:r>
              <w:rPr>
                <w:rFonts w:hint="eastAsia" w:ascii="宋体" w:hAnsi="宋体" w:eastAsia="宋体" w:cs="宋体"/>
                <w:i w:val="0"/>
                <w:iCs w:val="0"/>
                <w:color w:val="auto"/>
                <w:kern w:val="0"/>
                <w:sz w:val="20"/>
                <w:szCs w:val="20"/>
                <w:highlight w:val="none"/>
                <w:u w:val="none"/>
                <w:lang w:val="en-US" w:eastAsia="zh-CN" w:bidi="ar"/>
              </w:rPr>
              <w:t>个节点授权</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提供原厂盖章的承诺函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系统兼容性</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Agent与控制中心皆支持IPv6网络部署，主机防护系统所有功能需支持IPv6网络。</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提供原厂盖章承诺函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33"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功能要求</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安全总览</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从安全防护和运维监管两个维度对监控防护数据进行统计展示，包括但不限于服务器类型及Agent安装统计、外部风险类型分布统计、外部风险主机列表、服务器巡检问题类型分布统计、服务器巡检问题主机列表，安全策略防护状况统计等。</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8"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实时监测</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实时展示当前发生的安全事件和日志并进行多维度的数据统计，数据指标包括但不限于服务器状态、事件拦截情况统计、事件危险等级分布、事件类型分布、攻击时间分布等；</w:t>
            </w:r>
          </w:p>
        </w:tc>
        <w:tc>
          <w:tcPr>
            <w:tcW w:w="14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支持对服务器进行一键快速隔离等应急措施；</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支持对安全事件进行快速处置；</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支持对安全日志进行忽略操作。</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事件报警</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支持安全事件和日志的分类列表展示，可以通过多维度的高级筛选和多字段的模糊查询进行快速定位，支持列表的导出；</w:t>
            </w:r>
          </w:p>
        </w:tc>
        <w:tc>
          <w:tcPr>
            <w:tcW w:w="14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支持对服务器进行一键快速隔离等应急措施；</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支持对安全事件进行快速处置；</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支持对安全日志进行忽略操作；</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支持全量日志的多字段模糊查询，有查询历史功能。</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8"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资产梳理</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支持资产数据分类进行展示，支持全量资产的模糊查询操作；资产数据采集基于任务的操作方式，可以支持周期性的定时任务；支持多级组织机构的资产管理，可以为资产指定分组进行管理；</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主机系统防护</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支持对高风险的系统操作行为进行监控和拦截，可以防端口扫描和防暴力破解；</w:t>
            </w:r>
          </w:p>
        </w:tc>
        <w:tc>
          <w:tcPr>
            <w:tcW w:w="14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防护策略中的防护项可以单独设置监控或拦截两种模式，拦截模式会对行为进行拦截并报警，监控模式则只报警不拦截；</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支持x86、arm架构以及Linux、麒麟等主流国产化操作系统，支持多策略机制，可以为不同的服务器群组定制不同的系统防护策略。</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系统堡垒锁</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基于黑名单机制的主体行为防护，防护内容包括危险文件读写防护、危险命令执行防护等；</w:t>
            </w:r>
          </w:p>
        </w:tc>
        <w:tc>
          <w:tcPr>
            <w:tcW w:w="14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可以对每一个主体操作对象单独设置监控或拦截模式，拦截模式会对行为进行拦截并报警，监控模式只报警不拦截；</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restart"/>
            <w:tcBorders>
              <w:top w:val="single" w:color="000000" w:sz="4" w:space="0"/>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r>
              <w:rPr>
                <w:rFonts w:hint="eastAsia" w:hAnsi="宋体" w:cs="宋体"/>
                <w:color w:val="auto"/>
                <w:sz w:val="20"/>
                <w:szCs w:val="20"/>
                <w:highlight w:val="none"/>
              </w:rPr>
              <w:t>应用堡垒锁</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hAnsi="宋体" w:cs="宋体"/>
                <w:color w:val="auto"/>
                <w:kern w:val="0"/>
                <w:sz w:val="20"/>
                <w:szCs w:val="20"/>
                <w:highlight w:val="none"/>
                <w:u w:val="none"/>
                <w:lang w:bidi="ar"/>
              </w:rPr>
            </w:pPr>
            <w:r>
              <w:rPr>
                <w:rFonts w:hint="eastAsia" w:hAnsi="宋体" w:cs="宋体"/>
                <w:color w:val="auto"/>
                <w:kern w:val="0"/>
                <w:sz w:val="20"/>
                <w:szCs w:val="20"/>
                <w:highlight w:val="none"/>
                <w:u w:val="none"/>
                <w:lang w:bidi="ar"/>
              </w:rPr>
              <w:t>基于白名单机制的主、客体可信行为防护，对进程行为进行学习，学习后形成白名单并下发防护</w:t>
            </w:r>
          </w:p>
          <w:p>
            <w:pPr>
              <w:keepNext w:val="0"/>
              <w:keepLines w:val="0"/>
              <w:widowControl/>
              <w:suppressLineNumbers w:val="0"/>
              <w:jc w:val="both"/>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hAnsi="宋体" w:cs="宋体"/>
                <w:color w:val="auto"/>
                <w:kern w:val="0"/>
                <w:sz w:val="20"/>
                <w:szCs w:val="20"/>
                <w:highlight w:val="none"/>
                <w:u w:val="none"/>
                <w:lang w:bidi="ar"/>
              </w:rPr>
              <w:t>支持进程的防护类型进行设置，进程行为类型包括：活动路径、命令执行、外联访问</w:t>
            </w:r>
          </w:p>
        </w:tc>
        <w:tc>
          <w:tcPr>
            <w:tcW w:w="1424" w:type="dxa"/>
            <w:vMerge w:val="restart"/>
            <w:tcBorders>
              <w:top w:val="single" w:color="000000" w:sz="4" w:space="0"/>
              <w:left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hAnsi="宋体" w:cs="宋体"/>
                <w:color w:val="auto"/>
                <w:kern w:val="0"/>
                <w:sz w:val="20"/>
                <w:szCs w:val="20"/>
                <w:highlight w:val="none"/>
                <w:u w:val="none"/>
                <w:lang w:bidi="ar"/>
              </w:rPr>
              <w:t>支持对每一个进程主体设置状态：待学习、学习、监控、拦截、忽略；学习模式监听进程敏感行为，形成初始白名单，学习完毕后切换至防护模式；拦截模式会对行为进行拦截并报警，监控模式则只报警不拦截；忽略模式表示不对该进程进行学习和防护</w:t>
            </w:r>
          </w:p>
        </w:tc>
        <w:tc>
          <w:tcPr>
            <w:tcW w:w="1424" w:type="dxa"/>
            <w:vMerge w:val="continue"/>
            <w:tcBorders>
              <w:left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hAnsi="宋体" w:cs="宋体"/>
                <w:color w:val="auto"/>
                <w:kern w:val="0"/>
                <w:sz w:val="20"/>
                <w:szCs w:val="20"/>
                <w:highlight w:val="none"/>
                <w:u w:val="none"/>
                <w:lang w:bidi="ar"/>
              </w:rPr>
              <w:t>基于白名单机制的主、客体可信行为防护，对进程行为进行学习，学习后形成白名单并下发防护</w:t>
            </w:r>
          </w:p>
        </w:tc>
        <w:tc>
          <w:tcPr>
            <w:tcW w:w="1424" w:type="dxa"/>
            <w:vMerge w:val="continue"/>
            <w:tcBorders>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微隔离访问控制</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支持端口控制级别的细颗粒度主机访问隔离控制；</w:t>
            </w:r>
          </w:p>
        </w:tc>
        <w:tc>
          <w:tcPr>
            <w:tcW w:w="14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支持单台或批量服务器的进站和出站双向控制；</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支持自定义端口组功能。</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一键隔离</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支持单台或批量服务器的单、双向应急隔离控制。</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风险扫描</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支持风险扫描任务，可自定义风险扫描内容，包括但不限于木马、后门、漏洞、弱口令，支持生成并导出风险报告</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部署要求</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采用轻量级Agent部署；</w:t>
            </w:r>
          </w:p>
        </w:tc>
        <w:tc>
          <w:tcPr>
            <w:tcW w:w="14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hAnsi="宋体" w:cs="宋体"/>
                <w:i w:val="0"/>
                <w:iCs w:val="0"/>
                <w:color w:val="auto"/>
                <w:kern w:val="0"/>
                <w:sz w:val="20"/>
                <w:szCs w:val="20"/>
                <w:highlight w:val="none"/>
                <w:u w:val="none"/>
                <w:lang w:val="en-US" w:eastAsia="zh-Hans" w:bidi="ar"/>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支持手动获取安装，也可通过管理控制中心批量远程安装；</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支持x86、ARM等主流服务器架构；</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支持Linux以及主流国产化操作系统；</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支持物理服务器、虚拟机等服务器形态；</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支持Agent进程被终止后，监控与防护功能依然生效，不影响安全防护效果；</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支持IPV6网络部署；</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程序占用的CPU资源低于总CPU资源的5%；内存占用200M以内；存储空间占用150M</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虚拟化平台支持</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支持VMware 、Ctrix、Huawei、H3C等虚拟化厂商平台。</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hAnsi="宋体" w:cs="宋体"/>
                <w:i w:val="0"/>
                <w:iCs w:val="0"/>
                <w:color w:val="auto"/>
                <w:kern w:val="0"/>
                <w:sz w:val="20"/>
                <w:szCs w:val="20"/>
                <w:highlight w:val="none"/>
                <w:u w:val="none"/>
                <w:lang w:val="en-US" w:eastAsia="zh-Hans" w:bidi="ar"/>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操作系统支持</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支持SuSE、Red Hat、Ubuntu、CentOS、debian、Asianux、NeoKylinLinux等常见基于Linux内核的操作系统；</w:t>
            </w:r>
          </w:p>
        </w:tc>
        <w:tc>
          <w:tcPr>
            <w:tcW w:w="14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支持麒麟V10及后续版本操作系统。</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支持RASP插件</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支持IIS、nginx、Apache、Tomcat、Weblogic、WebSphere、东方通、Jboss等主流中间件。</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8"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资产采集</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支持采集的资产数据包括但不限于服务器资产、进程资产、端口资产、账号资产、网络连接资产、数据库资产、软件应用、Web站点、Web应用框架、Web服务、启动服务、安装包、计划任务、环境变量、内核模块等；</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*售后服务</w:t>
            </w:r>
          </w:p>
        </w:tc>
        <w:tc>
          <w:tcPr>
            <w:tcW w:w="7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*售后服务</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整机软硬件5年免费原厂维护、管理软件升级维护及技术支持服务（含特征库、规则库、许可等各种软件限制性的授权服务）。</w:t>
            </w:r>
          </w:p>
        </w:tc>
        <w:tc>
          <w:tcPr>
            <w:tcW w:w="14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提供加盖原厂公章的技术服务承诺函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hAnsi="宋体" w:cs="宋体"/>
                <w:color w:val="auto"/>
                <w:kern w:val="0"/>
                <w:sz w:val="20"/>
                <w:szCs w:val="20"/>
                <w:highlight w:val="none"/>
                <w:u w:val="none"/>
                <w:lang w:bidi="ar"/>
              </w:rPr>
              <w:t>提供第三方权威机构的设备功能能测试报告。</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8"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*接口集成</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*接口集成</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支持按照招标方要求，提供与云盾集成的接口，用于设备控制，并支持设备运行信息、告警信息、安全策略等上传。</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提供加盖原厂公章的技术服务承诺函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8"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互联互通</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互联互通</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产品需适配网络安全互联互通信息语义模型及功能抽象标准，支持与多源异构存量网络安全产品开展信息共享、功能协同；可对接互联互通成套装备与适配平台，对外提供标准化数据共享接口与功能调用能力。</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提供有关截图及加盖原厂公章的技术承诺函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8"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全功能CLI</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命令行交互接口</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CLI交互能力应可满足检查与配置设备运行状态，检查与设置设备主要功能能力。</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8"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自主可控要求</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自主可控要求</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需提供软件物料清单(SBOM)，详细列明软件所包含的所有组件、库、依赖项及其版本、许可证和来源信息，交付的软件不能有高危及以上漏洞、许可证风险，软件部署运行环境须满足以下要求，并提供证明材料；</w:t>
            </w:r>
          </w:p>
          <w:p>
            <w:pPr>
              <w:keepNext w:val="0"/>
              <w:keepLines w:val="0"/>
              <w:widowControl/>
              <w:suppressLineNumbers w:val="0"/>
              <w:jc w:val="lef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（2）软件部署运行环境须满足以下要求：</w:t>
            </w:r>
          </w:p>
          <w:p>
            <w:pPr>
              <w:keepNext w:val="0"/>
              <w:keepLines w:val="0"/>
              <w:widowControl/>
              <w:suppressLineNumbers w:val="0"/>
              <w:jc w:val="lef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1）CPU：该软件兼容通过国家安全可靠测评的 CPU（ARM、X86、MIPS）架构。</w:t>
            </w:r>
          </w:p>
          <w:p>
            <w:pPr>
              <w:keepNext w:val="0"/>
              <w:keepLines w:val="0"/>
              <w:widowControl/>
              <w:suppressLineNumbers w:val="0"/>
              <w:jc w:val="lef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2）操作系统：该软件兼容 UOS、麒麟等通过国家安全可靠测评的桌面和服务器操作系统。</w:t>
            </w:r>
          </w:p>
          <w:p>
            <w:pPr>
              <w:keepNext w:val="0"/>
              <w:keepLines w:val="0"/>
              <w:widowControl/>
              <w:suppressLineNumbers w:val="0"/>
              <w:jc w:val="lef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3）数据库：该软件兼容达梦关系数据库。</w:t>
            </w:r>
          </w:p>
          <w:p>
            <w:pPr>
              <w:keepNext w:val="0"/>
              <w:keepLines w:val="0"/>
              <w:widowControl/>
              <w:suppressLineNumbers w:val="0"/>
              <w:jc w:val="lef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4）应用服务器中间件：该软件兼容中创应用服务器中间件。</w:t>
            </w:r>
          </w:p>
          <w:p>
            <w:pPr>
              <w:keepNext w:val="0"/>
              <w:keepLines w:val="0"/>
              <w:widowControl/>
              <w:suppressLineNumbers w:val="0"/>
              <w:jc w:val="lef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5）浏览器：兼容自主可控终端下的奇安信浏览器、360安全浏览器。</w:t>
            </w:r>
          </w:p>
          <w:p>
            <w:pPr>
              <w:jc w:val="left"/>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rPr>
              <w:t>（3）本项目所采购的软件产品100%为国产自主可控软件，如软件涉及境外厂商开发、境外版权所有、境外主体提供，涉及境外组件、境外模块、境外云服务、境外接口依赖，需做申明。</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bl>
    <w:p>
      <w:pPr>
        <w:pStyle w:val="7"/>
        <w:tabs>
          <w:tab w:val="left" w:pos="720"/>
          <w:tab w:val="clear" w:pos="0"/>
        </w:tabs>
        <w:rPr>
          <w:rFonts w:hint="eastAsia"/>
          <w:highlight w:val="none"/>
        </w:rPr>
      </w:pPr>
      <w:r>
        <w:rPr>
          <w:rFonts w:hint="eastAsia"/>
          <w:highlight w:val="none"/>
        </w:rPr>
        <w:t>主机安全系统（G01） Agent 授权新增</w:t>
      </w:r>
    </w:p>
    <w:tbl>
      <w:tblPr>
        <w:tblStyle w:val="23"/>
        <w:tblW w:w="8697"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9"/>
        <w:gridCol w:w="789"/>
        <w:gridCol w:w="745"/>
        <w:gridCol w:w="4950"/>
        <w:gridCol w:w="14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7" w:hRule="atLeast"/>
        </w:trPr>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一级分类</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二级分类</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三级分类</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招标方要求</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投标方应答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789"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主机安全防护系统</w:t>
            </w:r>
          </w:p>
        </w:tc>
        <w:tc>
          <w:tcPr>
            <w:tcW w:w="7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性能要求</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配置要求</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产品应为国内自主研发产品，</w:t>
            </w:r>
            <w:r>
              <w:rPr>
                <w:rStyle w:val="60"/>
                <w:color w:val="auto"/>
                <w:highlight w:val="none"/>
                <w:lang w:val="en-US" w:eastAsia="zh-CN" w:bidi="ar"/>
              </w:rPr>
              <w:t>提供网络安全专用产品安全检测证书</w:t>
            </w:r>
            <w:r>
              <w:rPr>
                <w:rFonts w:hint="eastAsia" w:hAnsi="宋体" w:cs="宋体"/>
                <w:i w:val="0"/>
                <w:iCs w:val="0"/>
                <w:color w:val="auto"/>
                <w:kern w:val="0"/>
                <w:sz w:val="21"/>
                <w:szCs w:val="21"/>
                <w:highlight w:val="none"/>
                <w:u w:val="none"/>
                <w:lang w:val="en-US" w:eastAsia="zh-Hans" w:bidi="ar"/>
              </w:rPr>
              <w:t>或</w:t>
            </w:r>
            <w:r>
              <w:rPr>
                <w:rFonts w:hint="eastAsia"/>
                <w:color w:val="auto"/>
                <w:kern w:val="0"/>
                <w:sz w:val="21"/>
                <w:szCs w:val="21"/>
                <w:highlight w:val="none"/>
              </w:rPr>
              <w:t>软件著作权</w:t>
            </w:r>
            <w:r>
              <w:rPr>
                <w:rFonts w:hint="eastAsia"/>
                <w:color w:val="auto"/>
                <w:kern w:val="0"/>
                <w:sz w:val="21"/>
                <w:szCs w:val="21"/>
                <w:highlight w:val="none"/>
                <w:lang w:val="en-US" w:eastAsia="zh-Hans"/>
              </w:rPr>
              <w:t>证书</w:t>
            </w:r>
            <w:r>
              <w:rPr>
                <w:rStyle w:val="60"/>
                <w:color w:val="auto"/>
                <w:highlight w:val="none"/>
                <w:lang w:val="en-US" w:eastAsia="zh-CN" w:bidi="ar"/>
              </w:rPr>
              <w:t>。</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系统设计架构要求</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支持B/S和C/S双重架构设计</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节点授权要求</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至少包含</w:t>
            </w:r>
            <w:r>
              <w:rPr>
                <w:rFonts w:hint="eastAsia" w:hAnsi="宋体" w:cs="宋体"/>
                <w:i w:val="0"/>
                <w:iCs w:val="0"/>
                <w:color w:val="auto"/>
                <w:kern w:val="0"/>
                <w:sz w:val="20"/>
                <w:szCs w:val="20"/>
                <w:highlight w:val="none"/>
                <w:u w:val="none"/>
                <w:lang w:val="en-US" w:eastAsia="zh-CN" w:bidi="ar"/>
              </w:rPr>
              <w:t>8097</w:t>
            </w:r>
            <w:r>
              <w:rPr>
                <w:rFonts w:hint="eastAsia" w:ascii="宋体" w:hAnsi="宋体" w:eastAsia="宋体" w:cs="宋体"/>
                <w:i w:val="0"/>
                <w:iCs w:val="0"/>
                <w:color w:val="auto"/>
                <w:kern w:val="0"/>
                <w:sz w:val="20"/>
                <w:szCs w:val="20"/>
                <w:highlight w:val="none"/>
                <w:u w:val="none"/>
                <w:lang w:val="en-US" w:eastAsia="zh-CN" w:bidi="ar"/>
              </w:rPr>
              <w:t>个节点授权</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提供原厂盖章的承诺函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系统兼容性</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Agent与控制中心皆支持IPv6网络部署，主机防护系统所有功能需支持IPv6网络。</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提供原厂盖章承诺函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33"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功能要求</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安全总览</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从安全防护和运维监管两个维度对监控防护数据进行统计展示，包括但不限于服务器类型及Agent安装统计、外部风险类型分布统计、外部风险主机列表、服务器巡检问题类型分布统计、服务器巡检问题主机列表，安全策略防护状况统计等。</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8"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实时监测</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实时展示当前发生的安全事件和日志并进行多维度的数据统计，数据指标包括但不限于服务器状态、事件拦截情况统计、事件危险等级分布、事件类型分布、攻击时间分布等；</w:t>
            </w:r>
          </w:p>
        </w:tc>
        <w:tc>
          <w:tcPr>
            <w:tcW w:w="14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支持对服务器进行一键快速隔离等应急措施；</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支持对安全事件进行快速处置；</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支持对安全日志进行忽略操作。</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事件报警</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支持安全事件和日志的分类列表展示，可以通过多维度的高级筛选和多字段的模糊查询进行快速定位，支持列表的导出；</w:t>
            </w:r>
          </w:p>
        </w:tc>
        <w:tc>
          <w:tcPr>
            <w:tcW w:w="14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支持对服务器进行一键快速隔离等应急措施；</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支持对安全事件进行快速处置；</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支持对安全日志进行忽略操作；</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支持全量日志的多字段模糊查询，有查询历史功能。</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8"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资产梳理</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支持资产数据分类进行展示，支持全量资产的模糊查询操作；资产数据采集基于任务的操作方式，可以支持周期性的定时任务；支持多级组织机构的资产管理，可以为资产指定分组进行管理；</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主机系统防护</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支持对高风险的系统操作行为进行监控和拦截，可以防端口扫描和防暴力破解；</w:t>
            </w:r>
          </w:p>
        </w:tc>
        <w:tc>
          <w:tcPr>
            <w:tcW w:w="14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防护策略中的防护项可以单独设置监控或拦截两种模式，拦截模式会对行为进行拦截并报警，监控模式则只报警不拦截；</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支持x86、arm架构以及Linux、麒麟等主流国产化操作系统，支持多策略机制，可以为不同的服务器群组定制不同的系统防护策略。</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系统堡垒锁</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基于黑名单机制的主体行为防护，防护内容包括危险文件读写防护、危险命令执行防护等；</w:t>
            </w:r>
          </w:p>
        </w:tc>
        <w:tc>
          <w:tcPr>
            <w:tcW w:w="14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可以对每一个主体操作对象单独设置监控或拦截模式，拦截模式会对行为进行拦截并报警，监控模式只报警不拦截；</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restart"/>
            <w:tcBorders>
              <w:top w:val="single" w:color="000000" w:sz="4" w:space="0"/>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r>
              <w:rPr>
                <w:rFonts w:hint="eastAsia" w:hAnsi="宋体" w:cs="宋体"/>
                <w:color w:val="auto"/>
                <w:sz w:val="20"/>
                <w:szCs w:val="20"/>
                <w:highlight w:val="none"/>
              </w:rPr>
              <w:t>应用堡垒锁</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hAnsi="宋体" w:cs="宋体"/>
                <w:color w:val="auto"/>
                <w:kern w:val="0"/>
                <w:sz w:val="20"/>
                <w:szCs w:val="20"/>
                <w:highlight w:val="none"/>
                <w:u w:val="none"/>
                <w:lang w:bidi="ar"/>
              </w:rPr>
            </w:pPr>
            <w:r>
              <w:rPr>
                <w:rFonts w:hint="eastAsia" w:hAnsi="宋体" w:cs="宋体"/>
                <w:color w:val="auto"/>
                <w:kern w:val="0"/>
                <w:sz w:val="20"/>
                <w:szCs w:val="20"/>
                <w:highlight w:val="none"/>
                <w:u w:val="none"/>
                <w:lang w:bidi="ar"/>
              </w:rPr>
              <w:t>基于白名单机制的主、客体可信行为防护，对进程行为进行学习，学习后形成白名单并下发防护</w:t>
            </w:r>
          </w:p>
          <w:p>
            <w:pPr>
              <w:keepNext w:val="0"/>
              <w:keepLines w:val="0"/>
              <w:widowControl/>
              <w:suppressLineNumbers w:val="0"/>
              <w:jc w:val="both"/>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hAnsi="宋体" w:cs="宋体"/>
                <w:color w:val="auto"/>
                <w:kern w:val="0"/>
                <w:sz w:val="20"/>
                <w:szCs w:val="20"/>
                <w:highlight w:val="none"/>
                <w:u w:val="none"/>
                <w:lang w:bidi="ar"/>
              </w:rPr>
              <w:t>支持进程的防护类型进行设置，进程行为类型包括：活动路径、命令执行、外联访问</w:t>
            </w:r>
          </w:p>
        </w:tc>
        <w:tc>
          <w:tcPr>
            <w:tcW w:w="1424" w:type="dxa"/>
            <w:vMerge w:val="restart"/>
            <w:tcBorders>
              <w:top w:val="single" w:color="000000" w:sz="4" w:space="0"/>
              <w:left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hAnsi="宋体" w:cs="宋体"/>
                <w:color w:val="auto"/>
                <w:kern w:val="0"/>
                <w:sz w:val="20"/>
                <w:szCs w:val="20"/>
                <w:highlight w:val="none"/>
                <w:u w:val="none"/>
                <w:lang w:bidi="ar"/>
              </w:rPr>
              <w:t>支持对每一个进程主体设置状态：待学习、学习、监控、拦截、忽略；学习模式监听进程敏感行为，形成初始白名单，学习完毕后切换至防护模式；拦截模式会对行为进行拦截并报警，监控模式则只报警不拦截；忽略模式表示不对该进程进行学习和防护</w:t>
            </w:r>
          </w:p>
        </w:tc>
        <w:tc>
          <w:tcPr>
            <w:tcW w:w="1424" w:type="dxa"/>
            <w:vMerge w:val="continue"/>
            <w:tcBorders>
              <w:left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hAnsi="宋体" w:cs="宋体"/>
                <w:color w:val="auto"/>
                <w:kern w:val="0"/>
                <w:sz w:val="20"/>
                <w:szCs w:val="20"/>
                <w:highlight w:val="none"/>
                <w:u w:val="none"/>
                <w:lang w:bidi="ar"/>
              </w:rPr>
              <w:t>基于白名单机制的主、客体可信行为防护，对进程行为进行学习，学习后形成白名单并下发防护</w:t>
            </w:r>
          </w:p>
        </w:tc>
        <w:tc>
          <w:tcPr>
            <w:tcW w:w="1424" w:type="dxa"/>
            <w:vMerge w:val="continue"/>
            <w:tcBorders>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微隔离访问控制</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支持端口控制级别的细颗粒度主机访问隔离控制；</w:t>
            </w:r>
          </w:p>
        </w:tc>
        <w:tc>
          <w:tcPr>
            <w:tcW w:w="14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支持单台或批量服务器的进站和出站双向控制；</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支持自定义端口组功能。</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一键隔离</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支持单台或批量服务器的单、双向应急隔离控制。</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风险扫描</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支持风险扫描任务，可自定义风险扫描内容，包括但不限于木马、后门、漏洞、弱口令，支持生成并导出风险报告</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部署要求</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采用轻量级Agent部署；</w:t>
            </w:r>
          </w:p>
        </w:tc>
        <w:tc>
          <w:tcPr>
            <w:tcW w:w="14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hAnsi="宋体" w:cs="宋体"/>
                <w:i w:val="0"/>
                <w:iCs w:val="0"/>
                <w:color w:val="auto"/>
                <w:kern w:val="0"/>
                <w:sz w:val="20"/>
                <w:szCs w:val="20"/>
                <w:highlight w:val="none"/>
                <w:u w:val="none"/>
                <w:lang w:val="en-US" w:eastAsia="zh-Hans" w:bidi="ar"/>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支持手动获取安装，也可通过管理控制中心批量远程安装；</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支持x86、ARM等主流服务器架构；</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支持Linux以及主流国产化操作系统；</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支持物理服务器、虚拟机等服务器形态；</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支持Agent进程被终止后，监控与防护功能依然生效，不影响安全防护效果；</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支持IPV6网络部署；</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程序占用的CPU资源低于总CPU资源的5%；内存占用200M以内；存储空间占用150M</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虚拟化平台支持</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支持VMware 、Ctrix、Huawei、H3C等虚拟化厂商平台。</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hAnsi="宋体" w:cs="宋体"/>
                <w:i w:val="0"/>
                <w:iCs w:val="0"/>
                <w:color w:val="auto"/>
                <w:kern w:val="0"/>
                <w:sz w:val="20"/>
                <w:szCs w:val="20"/>
                <w:highlight w:val="none"/>
                <w:u w:val="none"/>
                <w:lang w:val="en-US" w:eastAsia="zh-Hans" w:bidi="ar"/>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操作系统支持</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支持SuSE、Red Hat、Ubuntu、CentOS、debian、Asianux、NeoKylinLinux等常见基于Linux内核的操作系统；</w:t>
            </w:r>
          </w:p>
        </w:tc>
        <w:tc>
          <w:tcPr>
            <w:tcW w:w="14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支持麒麟V10及后续版本操作系统。</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支持RASP插件</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支持IIS、nginx、Apache、Tomcat、Weblogic、WebSphere、东方通、Jboss等主流中间件。</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8"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资产采集</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支持采集的资产数据包括但不限于服务器资产、进程资产、端口资产、账号资产、网络连接资产、数据库资产、软件应用、Web站点、Web应用框架、Web服务、启动服务、安装包、计划任务、环境变量、内核模块等；</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2"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*售后服务</w:t>
            </w:r>
          </w:p>
        </w:tc>
        <w:tc>
          <w:tcPr>
            <w:tcW w:w="7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*售后服务</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整机软硬件5年免费原厂维护、管理软件升级维护及技术支持服务（含特征库、规则库、许可等各种软件限制性的授权服务）。</w:t>
            </w:r>
          </w:p>
        </w:tc>
        <w:tc>
          <w:tcPr>
            <w:tcW w:w="14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提供加盖原厂公章的技术服务承诺函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hAnsi="宋体" w:cs="宋体"/>
                <w:color w:val="auto"/>
                <w:kern w:val="0"/>
                <w:sz w:val="20"/>
                <w:szCs w:val="20"/>
                <w:highlight w:val="none"/>
                <w:u w:val="none"/>
                <w:lang w:bidi="ar"/>
              </w:rPr>
              <w:t>提供第三方权威机构的设备功能能测试报告。</w:t>
            </w:r>
          </w:p>
        </w:tc>
        <w:tc>
          <w:tcPr>
            <w:tcW w:w="14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8"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*接口集成</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*接口集成</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支持按照招标方要求，提供与云盾集成的接口，用于设备控制，并支持设备运行信息、告警信息、安全策略等上传。</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提供加盖原厂公章的技术服务承诺函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8"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互联互通</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互联互通</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产品需适配网络安全互联互通信息语义模型及功能抽象标准，支持与多源异构存量网络安全产品开展信息共享、功能协同；可对接互联互通成套装备与适配平台，对外提供标准化数据共享接口与功能调用能力。</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提供有关截图及加盖原厂公章的技术承诺函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8" w:hRule="atLeast"/>
        </w:trPr>
        <w:tc>
          <w:tcPr>
            <w:tcW w:w="789"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全功能CLI</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命令行交互接口</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所供货设备需提供全功能CLI（命令行交互接口），CLI交互能力应可满足检查与配置设备运行状态，检查与设置设备主要功能能力。</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8" w:hRule="atLeast"/>
        </w:trPr>
        <w:tc>
          <w:tcPr>
            <w:tcW w:w="789"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0"/>
                <w:szCs w:val="20"/>
                <w:highlight w:val="none"/>
                <w:u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自主可控要求</w:t>
            </w:r>
          </w:p>
        </w:tc>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自主可控要求</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需提供软件物料清单(SBOM)，详细列明软件所包含的所有组件、库、依赖项及其版本、许可证和来源信息，交付的软件不能有高危及以上漏洞、许可证风险，软件部署运行环境须满足以下要求，并提供证明材料；</w:t>
            </w:r>
          </w:p>
          <w:p>
            <w:pPr>
              <w:keepNext w:val="0"/>
              <w:keepLines w:val="0"/>
              <w:widowControl/>
              <w:suppressLineNumbers w:val="0"/>
              <w:jc w:val="lef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（2）软件部署运行环境须满足以下要求：</w:t>
            </w:r>
          </w:p>
          <w:p>
            <w:pPr>
              <w:keepNext w:val="0"/>
              <w:keepLines w:val="0"/>
              <w:widowControl/>
              <w:suppressLineNumbers w:val="0"/>
              <w:jc w:val="lef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1）CPU：该软件兼容通过国家安全可靠测评的 CPU（ARM、X86、MIPS）架构。</w:t>
            </w:r>
          </w:p>
          <w:p>
            <w:pPr>
              <w:keepNext w:val="0"/>
              <w:keepLines w:val="0"/>
              <w:widowControl/>
              <w:suppressLineNumbers w:val="0"/>
              <w:jc w:val="lef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2）操作系统：该软件兼容 UOS、麒麟等通过国家安全可靠测评的桌面和服务器操作系统。</w:t>
            </w:r>
          </w:p>
          <w:p>
            <w:pPr>
              <w:keepNext w:val="0"/>
              <w:keepLines w:val="0"/>
              <w:widowControl/>
              <w:suppressLineNumbers w:val="0"/>
              <w:jc w:val="lef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3）数据库：该软件兼容达梦关系数据库。</w:t>
            </w:r>
          </w:p>
          <w:p>
            <w:pPr>
              <w:keepNext w:val="0"/>
              <w:keepLines w:val="0"/>
              <w:widowControl/>
              <w:suppressLineNumbers w:val="0"/>
              <w:jc w:val="lef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4）应用服务器中间件：该软件兼容中创应用服务器中间件。</w:t>
            </w:r>
          </w:p>
          <w:p>
            <w:pPr>
              <w:keepNext w:val="0"/>
              <w:keepLines w:val="0"/>
              <w:widowControl/>
              <w:suppressLineNumbers w:val="0"/>
              <w:jc w:val="lef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5）浏览器：兼容自主可控终端下的奇安信浏览器、360安全浏览器。</w:t>
            </w:r>
          </w:p>
          <w:p>
            <w:pPr>
              <w:jc w:val="left"/>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rPr>
              <w:t>（3）本项目所采购的软件产品100%为国产自主可控软件，如软件涉及境外厂商开发、境外版权所有、境外主体提供，涉及境外组件、境外模块、境外云服务、境外接口依赖，需做申明。</w:t>
            </w:r>
          </w:p>
        </w:tc>
        <w:tc>
          <w:tcPr>
            <w:tcW w:w="14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bl>
    <w:p>
      <w:pPr>
        <w:rPr>
          <w:rFonts w:hint="default" w:eastAsia="宋体"/>
          <w:highlight w:val="none"/>
          <w:lang w:val="en-US" w:eastAsia="zh-CN"/>
        </w:rPr>
      </w:pPr>
    </w:p>
    <w:p>
      <w:pPr>
        <w:pStyle w:val="7"/>
        <w:tabs>
          <w:tab w:val="left" w:pos="720"/>
          <w:tab w:val="clear" w:pos="0"/>
        </w:tabs>
        <w:rPr>
          <w:rFonts w:hint="eastAsia"/>
          <w:highlight w:val="none"/>
        </w:rPr>
      </w:pPr>
      <w:r>
        <w:rPr>
          <w:rFonts w:hint="eastAsia"/>
          <w:highlight w:val="none"/>
        </w:rPr>
        <w:t>多端数字特征溯源组件系统</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8"/>
        <w:gridCol w:w="844"/>
        <w:gridCol w:w="1040"/>
        <w:gridCol w:w="3539"/>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tcPr>
          <w:p>
            <w:pPr>
              <w:rPr>
                <w:rFonts w:hint="eastAsia" w:eastAsia="宋体"/>
                <w:highlight w:val="none"/>
                <w:vertAlign w:val="baseline"/>
                <w:lang w:val="en-US" w:eastAsia="zh-CN"/>
              </w:rPr>
            </w:pPr>
            <w:r>
              <w:rPr>
                <w:rFonts w:hint="eastAsia"/>
                <w:highlight w:val="none"/>
                <w:vertAlign w:val="baseline"/>
                <w:lang w:val="en-US" w:eastAsia="zh-CN"/>
              </w:rPr>
              <w:t>类别</w:t>
            </w:r>
          </w:p>
        </w:tc>
        <w:tc>
          <w:tcPr>
            <w:tcW w:w="1884" w:type="dxa"/>
            <w:gridSpan w:val="2"/>
          </w:tcPr>
          <w:p>
            <w:pPr>
              <w:rPr>
                <w:rFonts w:hint="eastAsia" w:eastAsia="宋体"/>
                <w:highlight w:val="none"/>
                <w:vertAlign w:val="baseline"/>
                <w:lang w:val="en-US" w:eastAsia="zh-CN"/>
              </w:rPr>
            </w:pPr>
            <w:r>
              <w:rPr>
                <w:rFonts w:hint="eastAsia"/>
                <w:highlight w:val="none"/>
                <w:vertAlign w:val="baseline"/>
                <w:lang w:val="en-US" w:eastAsia="zh-CN"/>
              </w:rPr>
              <w:t>项目</w:t>
            </w:r>
          </w:p>
        </w:tc>
        <w:tc>
          <w:tcPr>
            <w:tcW w:w="3539" w:type="dxa"/>
          </w:tcPr>
          <w:p>
            <w:pPr>
              <w:rPr>
                <w:rFonts w:hint="default" w:eastAsia="宋体"/>
                <w:highlight w:val="none"/>
                <w:vertAlign w:val="baseline"/>
                <w:lang w:val="en-US" w:eastAsia="zh-CN"/>
              </w:rPr>
            </w:pPr>
            <w:r>
              <w:rPr>
                <w:rFonts w:hint="eastAsia"/>
                <w:highlight w:val="none"/>
                <w:vertAlign w:val="baseline"/>
                <w:lang w:val="en-US" w:eastAsia="zh-CN"/>
              </w:rPr>
              <w:t>招标方要求</w:t>
            </w:r>
          </w:p>
        </w:tc>
        <w:tc>
          <w:tcPr>
            <w:tcW w:w="2131" w:type="dxa"/>
          </w:tcPr>
          <w:p>
            <w:pPr>
              <w:rPr>
                <w:rFonts w:hint="default" w:eastAsia="宋体"/>
                <w:highlight w:val="none"/>
                <w:vertAlign w:val="baseline"/>
                <w:lang w:val="en-US" w:eastAsia="zh-CN"/>
              </w:rPr>
            </w:pPr>
            <w:r>
              <w:rPr>
                <w:rFonts w:hint="eastAsia"/>
                <w:highlight w:val="none"/>
                <w:vertAlign w:val="baseline"/>
                <w:lang w:val="en-US" w:eastAsia="zh-CN"/>
              </w:rPr>
              <w:t>投标方应答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Merge w:val="restart"/>
          </w:tcPr>
          <w:p>
            <w:pPr>
              <w:rPr>
                <w:rFonts w:hint="eastAsia"/>
                <w:highlight w:val="none"/>
                <w:vertAlign w:val="baseline"/>
              </w:rPr>
            </w:pPr>
            <w:r>
              <w:rPr>
                <w:rFonts w:hint="eastAsia"/>
                <w:highlight w:val="none"/>
                <w:vertAlign w:val="baseline"/>
              </w:rPr>
              <w:t>多端数字特征溯源组件系统</w:t>
            </w:r>
          </w:p>
        </w:tc>
        <w:tc>
          <w:tcPr>
            <w:tcW w:w="1884" w:type="dxa"/>
            <w:gridSpan w:val="2"/>
            <w:vMerge w:val="restart"/>
          </w:tcPr>
          <w:p>
            <w:pPr>
              <w:textAlignment w:val="center"/>
              <w:rPr>
                <w:rFonts w:hint="default" w:asciiTheme="minorEastAsia" w:hAnsiTheme="minorEastAsia" w:eastAsiaTheme="minorEastAsia" w:cstheme="minorEastAsia"/>
                <w:kern w:val="0"/>
                <w:sz w:val="20"/>
                <w:szCs w:val="20"/>
                <w:highlight w:val="none"/>
                <w:lang w:val="en-US" w:eastAsia="zh-CN"/>
              </w:rPr>
            </w:pPr>
            <w:r>
              <w:rPr>
                <w:rFonts w:hint="eastAsia" w:asciiTheme="minorEastAsia" w:hAnsiTheme="minorEastAsia" w:eastAsiaTheme="minorEastAsia" w:cstheme="minorEastAsia"/>
                <w:kern w:val="0"/>
                <w:sz w:val="20"/>
                <w:szCs w:val="20"/>
                <w:highlight w:val="none"/>
                <w:lang w:val="en-US" w:eastAsia="zh-CN"/>
              </w:rPr>
              <w:t>配置要求</w:t>
            </w:r>
          </w:p>
        </w:tc>
        <w:tc>
          <w:tcPr>
            <w:tcW w:w="3539" w:type="dxa"/>
          </w:tcPr>
          <w:p>
            <w:pPr>
              <w:textAlignment w:val="center"/>
              <w:rPr>
                <w:rFonts w:hint="eastAsia" w:asciiTheme="minorEastAsia" w:hAnsiTheme="minorEastAsia" w:eastAsiaTheme="minorEastAsia" w:cstheme="minorEastAsia"/>
                <w:kern w:val="0"/>
                <w:sz w:val="20"/>
                <w:szCs w:val="20"/>
                <w:highlight w:val="none"/>
              </w:rPr>
            </w:pPr>
            <w:r>
              <w:rPr>
                <w:rFonts w:hint="eastAsia" w:asciiTheme="minorEastAsia" w:hAnsiTheme="minorEastAsia" w:eastAsiaTheme="minorEastAsia" w:cstheme="minorEastAsia"/>
                <w:kern w:val="0"/>
                <w:sz w:val="20"/>
                <w:szCs w:val="20"/>
                <w:highlight w:val="none"/>
              </w:rPr>
              <w:t>标准机架式</w:t>
            </w:r>
            <w:r>
              <w:rPr>
                <w:rFonts w:hint="eastAsia" w:asciiTheme="minorEastAsia" w:hAnsiTheme="minorEastAsia" w:eastAsiaTheme="minorEastAsia" w:cstheme="minorEastAsia"/>
                <w:kern w:val="0"/>
                <w:sz w:val="20"/>
                <w:szCs w:val="20"/>
                <w:highlight w:val="none"/>
                <w:lang w:val="en-US" w:eastAsia="zh-CN"/>
              </w:rPr>
              <w:t>2U</w:t>
            </w:r>
            <w:r>
              <w:rPr>
                <w:rFonts w:hint="eastAsia" w:asciiTheme="minorEastAsia" w:hAnsiTheme="minorEastAsia" w:eastAsiaTheme="minorEastAsia" w:cstheme="minorEastAsia"/>
                <w:kern w:val="0"/>
                <w:sz w:val="20"/>
                <w:szCs w:val="20"/>
                <w:highlight w:val="none"/>
              </w:rPr>
              <w:t>硬件设备，提供双电源。</w:t>
            </w:r>
          </w:p>
        </w:tc>
        <w:tc>
          <w:tcPr>
            <w:tcW w:w="2131" w:type="dxa"/>
          </w:tcPr>
          <w:p>
            <w:pPr>
              <w:rPr>
                <w:rFonts w:hint="eastAsia"/>
                <w:highlight w:val="none"/>
                <w:vertAlign w:val="baseline"/>
              </w:rPr>
            </w:pPr>
            <w:r>
              <w:rPr>
                <w:rFonts w:hint="eastAsia" w:asciiTheme="minorEastAsia" w:hAnsiTheme="minorEastAsia" w:eastAsiaTheme="minorEastAsia" w:cstheme="minorEastAsia"/>
                <w:kern w:val="0"/>
                <w:sz w:val="20"/>
                <w:szCs w:val="20"/>
                <w:highlight w:val="none"/>
              </w:rPr>
              <w:t>提供有关证明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Merge w:val="continue"/>
          </w:tcPr>
          <w:p>
            <w:pPr>
              <w:rPr>
                <w:rFonts w:hint="eastAsia"/>
                <w:highlight w:val="none"/>
                <w:vertAlign w:val="baseline"/>
              </w:rPr>
            </w:pPr>
          </w:p>
        </w:tc>
        <w:tc>
          <w:tcPr>
            <w:tcW w:w="1884" w:type="dxa"/>
            <w:gridSpan w:val="2"/>
            <w:vMerge w:val="continue"/>
          </w:tcPr>
          <w:p>
            <w:pPr>
              <w:textAlignment w:val="center"/>
              <w:rPr>
                <w:rFonts w:hint="eastAsia" w:asciiTheme="minorEastAsia" w:hAnsiTheme="minorEastAsia" w:eastAsiaTheme="minorEastAsia" w:cstheme="minorEastAsia"/>
                <w:kern w:val="0"/>
                <w:sz w:val="20"/>
                <w:szCs w:val="20"/>
                <w:highlight w:val="none"/>
              </w:rPr>
            </w:pPr>
          </w:p>
        </w:tc>
        <w:tc>
          <w:tcPr>
            <w:tcW w:w="3539" w:type="dxa"/>
          </w:tcPr>
          <w:p>
            <w:pPr>
              <w:textAlignment w:val="center"/>
              <w:rPr>
                <w:rFonts w:hint="default" w:asciiTheme="minorEastAsia" w:hAnsiTheme="minorEastAsia" w:eastAsiaTheme="minorEastAsia" w:cstheme="minorEastAsia"/>
                <w:kern w:val="0"/>
                <w:sz w:val="20"/>
                <w:szCs w:val="20"/>
                <w:highlight w:val="none"/>
                <w:lang w:val="en-US" w:eastAsia="zh-CN"/>
              </w:rPr>
            </w:pPr>
            <w:r>
              <w:rPr>
                <w:rFonts w:hint="eastAsia" w:asciiTheme="minorEastAsia" w:hAnsiTheme="minorEastAsia" w:eastAsiaTheme="minorEastAsia" w:cstheme="minorEastAsia"/>
                <w:kern w:val="0"/>
                <w:sz w:val="20"/>
                <w:szCs w:val="20"/>
                <w:highlight w:val="none"/>
                <w:lang w:val="en-US" w:eastAsia="zh-CN"/>
              </w:rPr>
              <w:t>CPU≥64核</w:t>
            </w:r>
          </w:p>
        </w:tc>
        <w:tc>
          <w:tcPr>
            <w:tcW w:w="2131" w:type="dxa"/>
          </w:tcPr>
          <w:p>
            <w:pPr>
              <w:rPr>
                <w:rFonts w:hint="eastAsia"/>
                <w:highlight w:val="none"/>
                <w:vertAlign w:val="baseline"/>
              </w:rPr>
            </w:pPr>
            <w:r>
              <w:rPr>
                <w:rFonts w:hint="eastAsia" w:asciiTheme="minorEastAsia" w:hAnsiTheme="minorEastAsia" w:eastAsiaTheme="minorEastAsia" w:cstheme="minorEastAsia"/>
                <w:kern w:val="0"/>
                <w:sz w:val="20"/>
                <w:szCs w:val="20"/>
                <w:highlight w:val="none"/>
              </w:rPr>
              <w:t>提供有关证明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Merge w:val="continue"/>
          </w:tcPr>
          <w:p>
            <w:pPr>
              <w:rPr>
                <w:rFonts w:hint="eastAsia"/>
                <w:highlight w:val="none"/>
                <w:vertAlign w:val="baseline"/>
              </w:rPr>
            </w:pPr>
          </w:p>
        </w:tc>
        <w:tc>
          <w:tcPr>
            <w:tcW w:w="1884" w:type="dxa"/>
            <w:gridSpan w:val="2"/>
            <w:vMerge w:val="continue"/>
          </w:tcPr>
          <w:p>
            <w:pPr>
              <w:textAlignment w:val="center"/>
              <w:rPr>
                <w:rFonts w:hint="eastAsia" w:asciiTheme="minorEastAsia" w:hAnsiTheme="minorEastAsia" w:eastAsiaTheme="minorEastAsia" w:cstheme="minorEastAsia"/>
                <w:kern w:val="0"/>
                <w:sz w:val="20"/>
                <w:szCs w:val="20"/>
                <w:highlight w:val="none"/>
              </w:rPr>
            </w:pPr>
          </w:p>
        </w:tc>
        <w:tc>
          <w:tcPr>
            <w:tcW w:w="3539" w:type="dxa"/>
          </w:tcPr>
          <w:p>
            <w:pPr>
              <w:textAlignment w:val="center"/>
              <w:rPr>
                <w:rFonts w:hint="default" w:asciiTheme="minorEastAsia" w:hAnsiTheme="minorEastAsia" w:eastAsiaTheme="minorEastAsia" w:cstheme="minorEastAsia"/>
                <w:kern w:val="0"/>
                <w:sz w:val="20"/>
                <w:szCs w:val="20"/>
                <w:highlight w:val="none"/>
                <w:lang w:val="en-US" w:eastAsia="zh-CN"/>
              </w:rPr>
            </w:pPr>
            <w:r>
              <w:rPr>
                <w:rFonts w:hint="eastAsia" w:asciiTheme="minorEastAsia" w:hAnsiTheme="minorEastAsia" w:eastAsiaTheme="minorEastAsia" w:cstheme="minorEastAsia"/>
                <w:kern w:val="0"/>
                <w:sz w:val="20"/>
                <w:szCs w:val="20"/>
                <w:highlight w:val="none"/>
                <w:lang w:val="en-US" w:eastAsia="zh-CN"/>
              </w:rPr>
              <w:t>内存≥96G，使用DDR4颗粒</w:t>
            </w:r>
          </w:p>
        </w:tc>
        <w:tc>
          <w:tcPr>
            <w:tcW w:w="2131" w:type="dxa"/>
          </w:tcPr>
          <w:p>
            <w:pPr>
              <w:rPr>
                <w:rFonts w:hint="eastAsia"/>
                <w:highlight w:val="none"/>
                <w:vertAlign w:val="baseline"/>
              </w:rPr>
            </w:pPr>
            <w:r>
              <w:rPr>
                <w:rFonts w:hint="eastAsia" w:asciiTheme="minorEastAsia" w:hAnsiTheme="minorEastAsia" w:eastAsiaTheme="minorEastAsia" w:cstheme="minorEastAsia"/>
                <w:kern w:val="0"/>
                <w:sz w:val="20"/>
                <w:szCs w:val="20"/>
                <w:highlight w:val="none"/>
              </w:rPr>
              <w:t>提供有关证明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Merge w:val="continue"/>
          </w:tcPr>
          <w:p>
            <w:pPr>
              <w:rPr>
                <w:rFonts w:hint="eastAsia"/>
                <w:highlight w:val="none"/>
                <w:vertAlign w:val="baseline"/>
              </w:rPr>
            </w:pPr>
          </w:p>
        </w:tc>
        <w:tc>
          <w:tcPr>
            <w:tcW w:w="1884" w:type="dxa"/>
            <w:gridSpan w:val="2"/>
            <w:vMerge w:val="continue"/>
          </w:tcPr>
          <w:p>
            <w:pPr>
              <w:textAlignment w:val="center"/>
              <w:rPr>
                <w:rFonts w:hint="eastAsia" w:asciiTheme="minorEastAsia" w:hAnsiTheme="minorEastAsia" w:eastAsiaTheme="minorEastAsia" w:cstheme="minorEastAsia"/>
                <w:kern w:val="0"/>
                <w:sz w:val="20"/>
                <w:szCs w:val="20"/>
                <w:highlight w:val="none"/>
              </w:rPr>
            </w:pPr>
          </w:p>
        </w:tc>
        <w:tc>
          <w:tcPr>
            <w:tcW w:w="3539" w:type="dxa"/>
          </w:tcPr>
          <w:p>
            <w:pPr>
              <w:textAlignment w:val="center"/>
              <w:rPr>
                <w:rFonts w:hint="default" w:asciiTheme="minorEastAsia" w:hAnsiTheme="minorEastAsia" w:eastAsiaTheme="minorEastAsia" w:cstheme="minorEastAsia"/>
                <w:kern w:val="0"/>
                <w:sz w:val="20"/>
                <w:szCs w:val="20"/>
                <w:highlight w:val="none"/>
                <w:lang w:val="en-US" w:eastAsia="zh-CN"/>
              </w:rPr>
            </w:pPr>
            <w:r>
              <w:rPr>
                <w:rFonts w:hint="eastAsia" w:asciiTheme="minorEastAsia" w:hAnsiTheme="minorEastAsia" w:eastAsiaTheme="minorEastAsia" w:cstheme="minorEastAsia"/>
                <w:kern w:val="0"/>
                <w:sz w:val="20"/>
                <w:szCs w:val="20"/>
                <w:highlight w:val="none"/>
                <w:lang w:val="en-US" w:eastAsia="zh-CN"/>
              </w:rPr>
              <w:t>硬盘≥4TB，使用SATA</w:t>
            </w:r>
          </w:p>
        </w:tc>
        <w:tc>
          <w:tcPr>
            <w:tcW w:w="2131" w:type="dxa"/>
          </w:tcPr>
          <w:p>
            <w:pPr>
              <w:rPr>
                <w:rFonts w:hint="eastAsia"/>
                <w:highlight w:val="none"/>
                <w:vertAlign w:val="baseline"/>
              </w:rPr>
            </w:pPr>
            <w:r>
              <w:rPr>
                <w:rFonts w:hint="eastAsia" w:asciiTheme="minorEastAsia" w:hAnsiTheme="minorEastAsia" w:eastAsiaTheme="minorEastAsia" w:cstheme="minorEastAsia"/>
                <w:kern w:val="0"/>
                <w:sz w:val="20"/>
                <w:szCs w:val="20"/>
                <w:highlight w:val="none"/>
              </w:rPr>
              <w:t>提供有关证明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Merge w:val="continue"/>
          </w:tcPr>
          <w:p>
            <w:pPr>
              <w:rPr>
                <w:rFonts w:hint="eastAsia"/>
                <w:highlight w:val="none"/>
                <w:vertAlign w:val="baseline"/>
              </w:rPr>
            </w:pPr>
          </w:p>
        </w:tc>
        <w:tc>
          <w:tcPr>
            <w:tcW w:w="1884" w:type="dxa"/>
            <w:gridSpan w:val="2"/>
            <w:vMerge w:val="continue"/>
          </w:tcPr>
          <w:p>
            <w:pPr>
              <w:textAlignment w:val="center"/>
              <w:rPr>
                <w:rFonts w:hint="eastAsia" w:asciiTheme="minorEastAsia" w:hAnsiTheme="minorEastAsia" w:eastAsiaTheme="minorEastAsia" w:cstheme="minorEastAsia"/>
                <w:kern w:val="0"/>
                <w:sz w:val="20"/>
                <w:szCs w:val="20"/>
                <w:highlight w:val="none"/>
              </w:rPr>
            </w:pPr>
          </w:p>
        </w:tc>
        <w:tc>
          <w:tcPr>
            <w:tcW w:w="3539" w:type="dxa"/>
          </w:tcPr>
          <w:p>
            <w:pPr>
              <w:textAlignment w:val="center"/>
              <w:rPr>
                <w:rFonts w:hint="eastAsia" w:asciiTheme="minorEastAsia" w:hAnsiTheme="minorEastAsia" w:eastAsiaTheme="minorEastAsia" w:cstheme="minorEastAsia"/>
                <w:kern w:val="0"/>
                <w:sz w:val="20"/>
                <w:szCs w:val="20"/>
                <w:highlight w:val="none"/>
                <w:lang w:val="en-US" w:eastAsia="zh-CN"/>
              </w:rPr>
            </w:pPr>
            <w:r>
              <w:rPr>
                <w:rFonts w:hint="eastAsia" w:asciiTheme="minorEastAsia" w:hAnsiTheme="minorEastAsia" w:eastAsiaTheme="minorEastAsia" w:cstheme="minorEastAsia"/>
                <w:kern w:val="0"/>
                <w:sz w:val="20"/>
                <w:szCs w:val="20"/>
                <w:highlight w:val="none"/>
              </w:rPr>
              <w:t>*业务口要求：</w:t>
            </w:r>
            <w:r>
              <w:rPr>
                <w:rFonts w:hint="eastAsia" w:asciiTheme="minorEastAsia" w:hAnsiTheme="minorEastAsia" w:eastAsiaTheme="minorEastAsia" w:cstheme="minorEastAsia"/>
                <w:kern w:val="0"/>
                <w:sz w:val="20"/>
                <w:szCs w:val="20"/>
                <w:highlight w:val="none"/>
                <w:lang w:eastAsia="zh-CN"/>
              </w:rPr>
              <w:t>不少于千兆电口4个，万兆光口2个</w:t>
            </w:r>
          </w:p>
        </w:tc>
        <w:tc>
          <w:tcPr>
            <w:tcW w:w="2131" w:type="dxa"/>
          </w:tcPr>
          <w:p>
            <w:pPr>
              <w:rPr>
                <w:rFonts w:hint="eastAsia"/>
                <w:highlight w:val="none"/>
                <w:vertAlign w:val="baseline"/>
              </w:rPr>
            </w:pPr>
            <w:r>
              <w:rPr>
                <w:rFonts w:hint="eastAsia" w:asciiTheme="minorEastAsia" w:hAnsiTheme="minorEastAsia" w:eastAsiaTheme="minorEastAsia" w:cstheme="minorEastAsia"/>
                <w:kern w:val="0"/>
                <w:sz w:val="20"/>
                <w:szCs w:val="20"/>
                <w:highlight w:val="none"/>
              </w:rPr>
              <w:t>请注明提供的端口类型和数量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5" w:hRule="atLeast"/>
        </w:trPr>
        <w:tc>
          <w:tcPr>
            <w:tcW w:w="968" w:type="dxa"/>
            <w:vMerge w:val="continue"/>
          </w:tcPr>
          <w:p>
            <w:pPr>
              <w:rPr>
                <w:rFonts w:hint="eastAsia"/>
                <w:highlight w:val="none"/>
                <w:vertAlign w:val="baseline"/>
              </w:rPr>
            </w:pPr>
          </w:p>
        </w:tc>
        <w:tc>
          <w:tcPr>
            <w:tcW w:w="1884" w:type="dxa"/>
            <w:gridSpan w:val="2"/>
            <w:vMerge w:val="restart"/>
          </w:tcPr>
          <w:p>
            <w:pPr>
              <w:textAlignment w:val="center"/>
              <w:rPr>
                <w:rFonts w:hint="default" w:asciiTheme="minorEastAsia" w:hAnsiTheme="minorEastAsia" w:eastAsiaTheme="minorEastAsia" w:cstheme="minorEastAsia"/>
                <w:kern w:val="0"/>
                <w:sz w:val="20"/>
                <w:szCs w:val="20"/>
                <w:highlight w:val="none"/>
                <w:lang w:val="en-US" w:eastAsia="zh-CN"/>
              </w:rPr>
            </w:pPr>
            <w:r>
              <w:rPr>
                <w:rFonts w:hint="eastAsia" w:asciiTheme="minorEastAsia" w:hAnsiTheme="minorEastAsia" w:eastAsiaTheme="minorEastAsia" w:cstheme="minorEastAsia"/>
                <w:kern w:val="0"/>
                <w:sz w:val="20"/>
                <w:szCs w:val="20"/>
                <w:highlight w:val="none"/>
                <w:lang w:val="en-US" w:eastAsia="zh-CN"/>
              </w:rPr>
              <w:t>性能要求</w:t>
            </w:r>
          </w:p>
        </w:tc>
        <w:tc>
          <w:tcPr>
            <w:tcW w:w="3539" w:type="dxa"/>
          </w:tcPr>
          <w:p>
            <w:pPr>
              <w:textAlignment w:val="center"/>
              <w:rPr>
                <w:rFonts w:hint="eastAsia" w:asciiTheme="minorEastAsia" w:hAnsiTheme="minorEastAsia" w:eastAsiaTheme="minorEastAsia" w:cstheme="minorEastAsia"/>
                <w:kern w:val="0"/>
                <w:sz w:val="20"/>
                <w:szCs w:val="20"/>
                <w:highlight w:val="none"/>
              </w:rPr>
            </w:pPr>
            <w:r>
              <w:rPr>
                <w:rFonts w:hint="eastAsia" w:asciiTheme="minorEastAsia" w:hAnsiTheme="minorEastAsia" w:eastAsiaTheme="minorEastAsia" w:cstheme="minorEastAsia"/>
                <w:kern w:val="0"/>
                <w:sz w:val="20"/>
                <w:szCs w:val="20"/>
                <w:highlight w:val="none"/>
              </w:rPr>
              <w:t>网页隐形水印支持-不同角度拍摄（20°倾斜 / 40°倾斜 / 60°倾斜）</w:t>
            </w:r>
          </w:p>
        </w:tc>
        <w:tc>
          <w:tcPr>
            <w:tcW w:w="2131" w:type="dxa"/>
            <w:vAlign w:val="center"/>
          </w:tcPr>
          <w:p>
            <w:pPr>
              <w:textAlignment w:val="center"/>
              <w:rPr>
                <w:rFonts w:hint="eastAsia"/>
                <w:highlight w:val="none"/>
                <w:vertAlign w:val="baseline"/>
              </w:rPr>
            </w:pPr>
            <w:r>
              <w:rPr>
                <w:rFonts w:hint="eastAsia" w:asciiTheme="minorEastAsia" w:hAnsiTheme="minorEastAsia" w:eastAsiaTheme="minorEastAsia" w:cstheme="minorEastAsia"/>
                <w:kern w:val="0"/>
                <w:sz w:val="20"/>
                <w:szCs w:val="20"/>
                <w:highlight w:val="none"/>
              </w:rPr>
              <w:t>请提供性能测试报告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Merge w:val="continue"/>
          </w:tcPr>
          <w:p>
            <w:pPr>
              <w:rPr>
                <w:rFonts w:hint="eastAsia"/>
                <w:highlight w:val="none"/>
                <w:vertAlign w:val="baseline"/>
              </w:rPr>
            </w:pPr>
          </w:p>
        </w:tc>
        <w:tc>
          <w:tcPr>
            <w:tcW w:w="1884" w:type="dxa"/>
            <w:gridSpan w:val="2"/>
            <w:vMerge w:val="continue"/>
          </w:tcPr>
          <w:p>
            <w:pPr>
              <w:textAlignment w:val="center"/>
              <w:rPr>
                <w:rFonts w:hint="eastAsia" w:asciiTheme="minorEastAsia" w:hAnsiTheme="minorEastAsia" w:eastAsiaTheme="minorEastAsia" w:cstheme="minorEastAsia"/>
                <w:kern w:val="0"/>
                <w:sz w:val="20"/>
                <w:szCs w:val="20"/>
                <w:highlight w:val="none"/>
                <w:lang w:val="en-US" w:eastAsia="zh-CN"/>
              </w:rPr>
            </w:pPr>
          </w:p>
        </w:tc>
        <w:tc>
          <w:tcPr>
            <w:tcW w:w="3539" w:type="dxa"/>
          </w:tcPr>
          <w:p>
            <w:pPr>
              <w:textAlignment w:val="center"/>
              <w:rPr>
                <w:rFonts w:hint="eastAsia" w:asciiTheme="minorEastAsia" w:hAnsiTheme="minorEastAsia" w:eastAsiaTheme="minorEastAsia" w:cstheme="minorEastAsia"/>
                <w:kern w:val="0"/>
                <w:sz w:val="20"/>
                <w:szCs w:val="20"/>
                <w:highlight w:val="none"/>
              </w:rPr>
            </w:pPr>
            <w:r>
              <w:rPr>
                <w:rFonts w:hint="eastAsia" w:asciiTheme="minorEastAsia" w:hAnsiTheme="minorEastAsia" w:eastAsiaTheme="minorEastAsia" w:cstheme="minorEastAsia"/>
                <w:kern w:val="0"/>
                <w:sz w:val="20"/>
                <w:szCs w:val="20"/>
                <w:highlight w:val="none"/>
              </w:rPr>
              <w:t>溯源取证小于2分钟，溯源</w:t>
            </w:r>
            <w:r>
              <w:rPr>
                <w:rFonts w:hint="eastAsia" w:asciiTheme="minorEastAsia" w:hAnsiTheme="minorEastAsia" w:eastAsiaTheme="minorEastAsia" w:cstheme="minorEastAsia"/>
                <w:kern w:val="0"/>
                <w:sz w:val="20"/>
                <w:szCs w:val="20"/>
                <w:highlight w:val="none"/>
                <w:lang w:val="en-US" w:eastAsia="zh-CN"/>
              </w:rPr>
              <w:t>结果</w:t>
            </w:r>
            <w:r>
              <w:rPr>
                <w:rFonts w:hint="eastAsia" w:asciiTheme="minorEastAsia" w:hAnsiTheme="minorEastAsia" w:eastAsiaTheme="minorEastAsia" w:cstheme="minorEastAsia"/>
                <w:kern w:val="0"/>
                <w:sz w:val="20"/>
                <w:szCs w:val="20"/>
                <w:highlight w:val="none"/>
              </w:rPr>
              <w:t>包含人员信息+设备信息+文档信息+时间</w:t>
            </w:r>
          </w:p>
        </w:tc>
        <w:tc>
          <w:tcPr>
            <w:tcW w:w="2131" w:type="dxa"/>
            <w:vAlign w:val="center"/>
          </w:tcPr>
          <w:p>
            <w:pPr>
              <w:textAlignment w:val="center"/>
              <w:rPr>
                <w:rFonts w:hint="eastAsia"/>
                <w:highlight w:val="none"/>
                <w:vertAlign w:val="baseline"/>
              </w:rPr>
            </w:pPr>
            <w:r>
              <w:rPr>
                <w:rFonts w:hint="eastAsia" w:asciiTheme="minorEastAsia" w:hAnsiTheme="minorEastAsia" w:eastAsiaTheme="minorEastAsia" w:cstheme="minorEastAsia"/>
                <w:kern w:val="0"/>
                <w:sz w:val="20"/>
                <w:szCs w:val="20"/>
                <w:highlight w:val="none"/>
              </w:rPr>
              <w:t>请提供性能测试报告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Merge w:val="continue"/>
          </w:tcPr>
          <w:p>
            <w:pPr>
              <w:rPr>
                <w:rFonts w:hint="eastAsia"/>
                <w:highlight w:val="none"/>
                <w:vertAlign w:val="baseline"/>
              </w:rPr>
            </w:pPr>
          </w:p>
        </w:tc>
        <w:tc>
          <w:tcPr>
            <w:tcW w:w="1884" w:type="dxa"/>
            <w:gridSpan w:val="2"/>
            <w:vMerge w:val="continue"/>
          </w:tcPr>
          <w:p>
            <w:pPr>
              <w:textAlignment w:val="center"/>
              <w:rPr>
                <w:rFonts w:hint="eastAsia" w:asciiTheme="minorEastAsia" w:hAnsiTheme="minorEastAsia" w:eastAsiaTheme="minorEastAsia" w:cstheme="minorEastAsia"/>
                <w:kern w:val="0"/>
                <w:sz w:val="20"/>
                <w:szCs w:val="20"/>
                <w:highlight w:val="none"/>
                <w:lang w:val="en-US" w:eastAsia="zh-CN"/>
              </w:rPr>
            </w:pPr>
          </w:p>
        </w:tc>
        <w:tc>
          <w:tcPr>
            <w:tcW w:w="3539" w:type="dxa"/>
          </w:tcPr>
          <w:p>
            <w:pPr>
              <w:textAlignment w:val="center"/>
              <w:rPr>
                <w:rFonts w:hint="eastAsia" w:asciiTheme="minorEastAsia" w:hAnsiTheme="minorEastAsia" w:eastAsiaTheme="minorEastAsia" w:cstheme="minorEastAsia"/>
                <w:kern w:val="0"/>
                <w:sz w:val="20"/>
                <w:szCs w:val="20"/>
                <w:highlight w:val="none"/>
              </w:rPr>
            </w:pPr>
            <w:r>
              <w:rPr>
                <w:rFonts w:hint="eastAsia" w:asciiTheme="minorEastAsia" w:hAnsiTheme="minorEastAsia" w:eastAsiaTheme="minorEastAsia" w:cstheme="minorEastAsia"/>
                <w:kern w:val="0"/>
                <w:sz w:val="20"/>
                <w:szCs w:val="20"/>
                <w:highlight w:val="none"/>
              </w:rPr>
              <w:t>水印生成速度：5000行/s</w:t>
            </w:r>
          </w:p>
        </w:tc>
        <w:tc>
          <w:tcPr>
            <w:tcW w:w="2131" w:type="dxa"/>
            <w:vAlign w:val="center"/>
          </w:tcPr>
          <w:p>
            <w:pPr>
              <w:textAlignment w:val="center"/>
              <w:rPr>
                <w:rFonts w:hint="eastAsia"/>
                <w:highlight w:val="none"/>
                <w:vertAlign w:val="baseline"/>
              </w:rPr>
            </w:pPr>
            <w:r>
              <w:rPr>
                <w:rFonts w:hint="eastAsia" w:asciiTheme="minorEastAsia" w:hAnsiTheme="minorEastAsia" w:eastAsiaTheme="minorEastAsia" w:cstheme="minorEastAsia"/>
                <w:kern w:val="0"/>
                <w:sz w:val="20"/>
                <w:szCs w:val="20"/>
                <w:highlight w:val="none"/>
              </w:rPr>
              <w:t>请提供性能测试报告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Merge w:val="continue"/>
          </w:tcPr>
          <w:p>
            <w:pPr>
              <w:rPr>
                <w:rFonts w:hint="eastAsia"/>
                <w:highlight w:val="none"/>
                <w:vertAlign w:val="baseline"/>
              </w:rPr>
            </w:pPr>
          </w:p>
        </w:tc>
        <w:tc>
          <w:tcPr>
            <w:tcW w:w="1884" w:type="dxa"/>
            <w:gridSpan w:val="2"/>
            <w:vMerge w:val="continue"/>
          </w:tcPr>
          <w:p>
            <w:pPr>
              <w:textAlignment w:val="center"/>
              <w:rPr>
                <w:rFonts w:hint="eastAsia" w:asciiTheme="minorEastAsia" w:hAnsiTheme="minorEastAsia" w:eastAsiaTheme="minorEastAsia" w:cstheme="minorEastAsia"/>
                <w:kern w:val="0"/>
                <w:sz w:val="20"/>
                <w:szCs w:val="20"/>
                <w:highlight w:val="none"/>
              </w:rPr>
            </w:pPr>
          </w:p>
        </w:tc>
        <w:tc>
          <w:tcPr>
            <w:tcW w:w="3539" w:type="dxa"/>
          </w:tcPr>
          <w:p>
            <w:pPr>
              <w:textAlignment w:val="center"/>
              <w:rPr>
                <w:rFonts w:hint="eastAsia" w:asciiTheme="minorEastAsia" w:hAnsiTheme="minorEastAsia" w:eastAsiaTheme="minorEastAsia" w:cstheme="minorEastAsia"/>
                <w:kern w:val="0"/>
                <w:sz w:val="20"/>
                <w:szCs w:val="20"/>
                <w:highlight w:val="none"/>
              </w:rPr>
            </w:pPr>
            <w:r>
              <w:rPr>
                <w:rFonts w:hint="eastAsia" w:asciiTheme="minorEastAsia" w:hAnsiTheme="minorEastAsia" w:eastAsiaTheme="minorEastAsia" w:cstheme="minorEastAsia"/>
                <w:kern w:val="0"/>
                <w:sz w:val="20"/>
                <w:szCs w:val="20"/>
                <w:highlight w:val="none"/>
              </w:rPr>
              <w:t>水印溯源速度：8000行/s</w:t>
            </w:r>
          </w:p>
        </w:tc>
        <w:tc>
          <w:tcPr>
            <w:tcW w:w="2131" w:type="dxa"/>
            <w:vAlign w:val="center"/>
          </w:tcPr>
          <w:p>
            <w:pPr>
              <w:textAlignment w:val="center"/>
              <w:rPr>
                <w:rFonts w:hint="eastAsia"/>
                <w:highlight w:val="none"/>
                <w:vertAlign w:val="baseline"/>
              </w:rPr>
            </w:pPr>
            <w:r>
              <w:rPr>
                <w:rFonts w:hint="eastAsia" w:asciiTheme="minorEastAsia" w:hAnsiTheme="minorEastAsia" w:eastAsiaTheme="minorEastAsia" w:cstheme="minorEastAsia"/>
                <w:kern w:val="0"/>
                <w:sz w:val="20"/>
                <w:szCs w:val="20"/>
                <w:highlight w:val="none"/>
              </w:rPr>
              <w:t>请提供性能测试报告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Merge w:val="continue"/>
          </w:tcPr>
          <w:p>
            <w:pPr>
              <w:rPr>
                <w:rFonts w:hint="eastAsia"/>
                <w:highlight w:val="none"/>
                <w:vertAlign w:val="baseline"/>
              </w:rPr>
            </w:pPr>
          </w:p>
        </w:tc>
        <w:tc>
          <w:tcPr>
            <w:tcW w:w="844" w:type="dxa"/>
            <w:vMerge w:val="restart"/>
          </w:tcPr>
          <w:p>
            <w:pPr>
              <w:textAlignment w:val="center"/>
              <w:rPr>
                <w:rFonts w:hint="default" w:asciiTheme="minorEastAsia" w:hAnsiTheme="minorEastAsia" w:eastAsiaTheme="minorEastAsia" w:cstheme="minorEastAsia"/>
                <w:kern w:val="0"/>
                <w:sz w:val="20"/>
                <w:szCs w:val="20"/>
                <w:highlight w:val="none"/>
                <w:lang w:val="en-US" w:eastAsia="zh-CN"/>
              </w:rPr>
            </w:pPr>
            <w:r>
              <w:rPr>
                <w:rFonts w:hint="eastAsia" w:asciiTheme="minorEastAsia" w:hAnsiTheme="minorEastAsia" w:eastAsiaTheme="minorEastAsia" w:cstheme="minorEastAsia"/>
                <w:kern w:val="0"/>
                <w:sz w:val="20"/>
                <w:szCs w:val="20"/>
                <w:highlight w:val="none"/>
                <w:lang w:val="en-US" w:eastAsia="zh-CN"/>
              </w:rPr>
              <w:t>功能要求</w:t>
            </w:r>
          </w:p>
        </w:tc>
        <w:tc>
          <w:tcPr>
            <w:tcW w:w="1040" w:type="dxa"/>
            <w:vAlign w:val="top"/>
          </w:tcPr>
          <w:p>
            <w:pPr>
              <w:textAlignment w:val="center"/>
              <w:rPr>
                <w:rFonts w:hint="default" w:asciiTheme="minorEastAsia" w:hAnsiTheme="minorEastAsia" w:eastAsiaTheme="minorEastAsia" w:cstheme="minorEastAsia"/>
                <w:kern w:val="0"/>
                <w:sz w:val="20"/>
                <w:szCs w:val="20"/>
                <w:highlight w:val="none"/>
                <w:lang w:val="en-US" w:eastAsia="zh-CN"/>
              </w:rPr>
            </w:pPr>
            <w:r>
              <w:rPr>
                <w:rFonts w:hint="eastAsia" w:asciiTheme="minorEastAsia" w:hAnsiTheme="minorEastAsia" w:eastAsiaTheme="minorEastAsia" w:cstheme="minorEastAsia"/>
                <w:kern w:val="0"/>
                <w:sz w:val="20"/>
                <w:szCs w:val="20"/>
                <w:highlight w:val="none"/>
                <w:lang w:val="en-US" w:eastAsia="zh-CN"/>
              </w:rPr>
              <w:t>网页文档下载水印管控</w:t>
            </w:r>
          </w:p>
        </w:tc>
        <w:tc>
          <w:tcPr>
            <w:tcW w:w="3539" w:type="dxa"/>
            <w:vAlign w:val="top"/>
          </w:tcPr>
          <w:p>
            <w:pPr>
              <w:textAlignment w:val="center"/>
              <w:rPr>
                <w:rFonts w:hint="eastAsia" w:asciiTheme="minorEastAsia" w:hAnsiTheme="minorEastAsia" w:eastAsiaTheme="minorEastAsia" w:cstheme="minorEastAsia"/>
                <w:kern w:val="0"/>
                <w:sz w:val="20"/>
                <w:szCs w:val="20"/>
                <w:highlight w:val="none"/>
              </w:rPr>
            </w:pPr>
            <w:r>
              <w:rPr>
                <w:rFonts w:hint="eastAsia" w:asciiTheme="minorEastAsia" w:hAnsiTheme="minorEastAsia" w:eastAsiaTheme="minorEastAsia" w:cstheme="minorEastAsia"/>
                <w:kern w:val="0"/>
                <w:sz w:val="20"/>
                <w:szCs w:val="20"/>
                <w:highlight w:val="none"/>
                <w:lang w:val="en-US" w:eastAsia="zh-CN"/>
              </w:rPr>
              <w:t>针对通过浏览器访问网页下载文件， 从局域网共享目录下载文件到终端本地的行为进行监测， 对文件内容进行扫描， 根据命中的敏感级别进行放行下载、 加密下载、 内嵌水印下载</w:t>
            </w:r>
          </w:p>
        </w:tc>
        <w:tc>
          <w:tcPr>
            <w:tcW w:w="2131" w:type="dxa"/>
          </w:tcPr>
          <w:p>
            <w:pPr>
              <w:rPr>
                <w:rFonts w:hint="eastAsia"/>
                <w:highlight w:val="none"/>
                <w:vertAlign w:val="baseline"/>
              </w:rPr>
            </w:pPr>
            <w:r>
              <w:rPr>
                <w:rFonts w:hint="eastAsia" w:asciiTheme="minorEastAsia" w:hAnsiTheme="minorEastAsia" w:eastAsiaTheme="minorEastAsia" w:cstheme="minorEastAsia"/>
                <w:kern w:val="0"/>
                <w:sz w:val="20"/>
                <w:szCs w:val="20"/>
                <w:highlight w:val="none"/>
              </w:rPr>
              <w:t>提供截图证明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Merge w:val="continue"/>
          </w:tcPr>
          <w:p>
            <w:pPr>
              <w:rPr>
                <w:rFonts w:hint="eastAsia"/>
                <w:highlight w:val="none"/>
                <w:vertAlign w:val="baseline"/>
              </w:rPr>
            </w:pPr>
          </w:p>
        </w:tc>
        <w:tc>
          <w:tcPr>
            <w:tcW w:w="844" w:type="dxa"/>
            <w:vMerge w:val="continue"/>
          </w:tcPr>
          <w:p>
            <w:pPr>
              <w:textAlignment w:val="center"/>
              <w:rPr>
                <w:rFonts w:hint="eastAsia" w:asciiTheme="minorEastAsia" w:hAnsiTheme="minorEastAsia" w:eastAsiaTheme="minorEastAsia" w:cstheme="minorEastAsia"/>
                <w:kern w:val="0"/>
                <w:sz w:val="20"/>
                <w:szCs w:val="20"/>
                <w:highlight w:val="none"/>
              </w:rPr>
            </w:pPr>
          </w:p>
        </w:tc>
        <w:tc>
          <w:tcPr>
            <w:tcW w:w="1040" w:type="dxa"/>
            <w:vAlign w:val="top"/>
          </w:tcPr>
          <w:p>
            <w:pPr>
              <w:textAlignment w:val="center"/>
              <w:rPr>
                <w:rFonts w:hint="default" w:asciiTheme="minorEastAsia" w:hAnsiTheme="minorEastAsia" w:eastAsiaTheme="minorEastAsia" w:cstheme="minorEastAsia"/>
                <w:kern w:val="0"/>
                <w:sz w:val="20"/>
                <w:szCs w:val="20"/>
                <w:highlight w:val="none"/>
                <w:lang w:val="en-US" w:eastAsia="zh-CN"/>
              </w:rPr>
            </w:pPr>
            <w:r>
              <w:rPr>
                <w:rFonts w:hint="eastAsia" w:asciiTheme="minorEastAsia" w:hAnsiTheme="minorEastAsia" w:eastAsiaTheme="minorEastAsia" w:cstheme="minorEastAsia"/>
                <w:kern w:val="0"/>
                <w:sz w:val="20"/>
                <w:szCs w:val="20"/>
                <w:highlight w:val="none"/>
                <w:lang w:val="en-US" w:eastAsia="zh-CN"/>
              </w:rPr>
              <w:t>水印策略管理</w:t>
            </w:r>
          </w:p>
        </w:tc>
        <w:tc>
          <w:tcPr>
            <w:tcW w:w="3539" w:type="dxa"/>
            <w:vAlign w:val="top"/>
          </w:tcPr>
          <w:p>
            <w:pPr>
              <w:textAlignment w:val="center"/>
              <w:rPr>
                <w:rFonts w:hint="eastAsia" w:asciiTheme="minorEastAsia" w:hAnsiTheme="minorEastAsia" w:eastAsiaTheme="minorEastAsia" w:cstheme="minorEastAsia"/>
                <w:kern w:val="0"/>
                <w:sz w:val="20"/>
                <w:szCs w:val="20"/>
                <w:highlight w:val="none"/>
              </w:rPr>
            </w:pPr>
            <w:r>
              <w:rPr>
                <w:rFonts w:hint="eastAsia" w:asciiTheme="minorEastAsia" w:hAnsiTheme="minorEastAsia" w:eastAsiaTheme="minorEastAsia" w:cstheme="minorEastAsia"/>
                <w:kern w:val="0"/>
                <w:sz w:val="20"/>
                <w:szCs w:val="20"/>
                <w:highlight w:val="none"/>
                <w:lang w:val="en-US" w:eastAsia="zh-CN"/>
              </w:rPr>
              <w:t>支持水印策略管理，可配置水印强度，支持配置水印内容包括的信息和自定义信息， 支持配置文字的字体类型， 颜色、 位置、 间距、 自定义换行、 时间信息格式</w:t>
            </w:r>
          </w:p>
        </w:tc>
        <w:tc>
          <w:tcPr>
            <w:tcW w:w="2131" w:type="dxa"/>
          </w:tcPr>
          <w:p>
            <w:pPr>
              <w:rPr>
                <w:rFonts w:hint="eastAsia"/>
                <w:highlight w:val="none"/>
                <w:vertAlign w:val="baseline"/>
              </w:rPr>
            </w:pPr>
            <w:r>
              <w:rPr>
                <w:rFonts w:hint="eastAsia" w:asciiTheme="minorEastAsia" w:hAnsiTheme="minorEastAsia" w:eastAsiaTheme="minorEastAsia" w:cstheme="minorEastAsia"/>
                <w:kern w:val="0"/>
                <w:sz w:val="20"/>
                <w:szCs w:val="20"/>
                <w:highlight w:val="none"/>
              </w:rPr>
              <w:t>提供截图证明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Merge w:val="continue"/>
          </w:tcPr>
          <w:p>
            <w:pPr>
              <w:rPr>
                <w:rFonts w:hint="eastAsia"/>
                <w:highlight w:val="none"/>
                <w:vertAlign w:val="baseline"/>
              </w:rPr>
            </w:pPr>
          </w:p>
        </w:tc>
        <w:tc>
          <w:tcPr>
            <w:tcW w:w="844" w:type="dxa"/>
            <w:vMerge w:val="continue"/>
          </w:tcPr>
          <w:p>
            <w:pPr>
              <w:textAlignment w:val="center"/>
              <w:rPr>
                <w:rFonts w:hint="eastAsia" w:asciiTheme="minorEastAsia" w:hAnsiTheme="minorEastAsia" w:eastAsiaTheme="minorEastAsia" w:cstheme="minorEastAsia"/>
                <w:kern w:val="0"/>
                <w:sz w:val="20"/>
                <w:szCs w:val="20"/>
                <w:highlight w:val="none"/>
              </w:rPr>
            </w:pPr>
          </w:p>
        </w:tc>
        <w:tc>
          <w:tcPr>
            <w:tcW w:w="1040" w:type="dxa"/>
            <w:vAlign w:val="top"/>
          </w:tcPr>
          <w:p>
            <w:pPr>
              <w:textAlignment w:val="center"/>
              <w:rPr>
                <w:rFonts w:hint="eastAsia" w:asciiTheme="minorEastAsia" w:hAnsiTheme="minorEastAsia" w:eastAsiaTheme="minorEastAsia" w:cstheme="minorEastAsia"/>
                <w:kern w:val="0"/>
                <w:sz w:val="20"/>
                <w:szCs w:val="20"/>
                <w:highlight w:val="none"/>
                <w:lang w:val="en-US" w:eastAsia="zh-CN"/>
              </w:rPr>
            </w:pPr>
            <w:r>
              <w:rPr>
                <w:rFonts w:hint="eastAsia" w:asciiTheme="minorEastAsia" w:hAnsiTheme="minorEastAsia" w:eastAsiaTheme="minorEastAsia" w:cstheme="minorEastAsia"/>
                <w:kern w:val="0"/>
                <w:sz w:val="20"/>
                <w:szCs w:val="20"/>
                <w:highlight w:val="none"/>
                <w:lang w:val="en-US" w:eastAsia="zh-CN"/>
              </w:rPr>
              <w:t>水印溯源管理</w:t>
            </w:r>
          </w:p>
        </w:tc>
        <w:tc>
          <w:tcPr>
            <w:tcW w:w="3539" w:type="dxa"/>
            <w:vAlign w:val="top"/>
          </w:tcPr>
          <w:p>
            <w:pPr>
              <w:textAlignment w:val="center"/>
              <w:rPr>
                <w:rFonts w:hint="eastAsia" w:asciiTheme="minorEastAsia" w:hAnsiTheme="minorEastAsia" w:eastAsiaTheme="minorEastAsia" w:cstheme="minorEastAsia"/>
                <w:kern w:val="0"/>
                <w:sz w:val="20"/>
                <w:szCs w:val="20"/>
                <w:highlight w:val="none"/>
              </w:rPr>
            </w:pPr>
            <w:r>
              <w:rPr>
                <w:rFonts w:hint="eastAsia" w:asciiTheme="minorEastAsia" w:hAnsiTheme="minorEastAsia" w:eastAsiaTheme="minorEastAsia" w:cstheme="minorEastAsia"/>
                <w:kern w:val="0"/>
                <w:sz w:val="20"/>
                <w:szCs w:val="20"/>
                <w:highlight w:val="none"/>
                <w:lang w:val="en-US" w:eastAsia="zh-CN"/>
              </w:rPr>
              <w:t>支持水印溯源管理，可通过文件上传功能，完成网页水印的取证</w:t>
            </w:r>
          </w:p>
        </w:tc>
        <w:tc>
          <w:tcPr>
            <w:tcW w:w="2131" w:type="dxa"/>
          </w:tcPr>
          <w:p>
            <w:pPr>
              <w:rPr>
                <w:rFonts w:hint="eastAsia"/>
                <w:highlight w:val="none"/>
                <w:vertAlign w:val="baseline"/>
              </w:rPr>
            </w:pPr>
            <w:r>
              <w:rPr>
                <w:rFonts w:hint="eastAsia" w:asciiTheme="minorEastAsia" w:hAnsiTheme="minorEastAsia" w:eastAsiaTheme="minorEastAsia" w:cstheme="minorEastAsia"/>
                <w:kern w:val="0"/>
                <w:sz w:val="20"/>
                <w:szCs w:val="20"/>
                <w:highlight w:val="none"/>
              </w:rPr>
              <w:t>提供截图证明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Merge w:val="continue"/>
          </w:tcPr>
          <w:p>
            <w:pPr>
              <w:rPr>
                <w:rFonts w:hint="eastAsia"/>
                <w:highlight w:val="none"/>
                <w:vertAlign w:val="baseline"/>
              </w:rPr>
            </w:pPr>
          </w:p>
        </w:tc>
        <w:tc>
          <w:tcPr>
            <w:tcW w:w="844" w:type="dxa"/>
          </w:tcPr>
          <w:p>
            <w:pPr>
              <w:textAlignment w:val="center"/>
              <w:rPr>
                <w:rFonts w:hint="eastAsia" w:asciiTheme="minorEastAsia" w:hAnsiTheme="minorEastAsia" w:eastAsiaTheme="minorEastAsia" w:cstheme="minorEastAsia"/>
                <w:kern w:val="0"/>
                <w:sz w:val="20"/>
                <w:szCs w:val="20"/>
                <w:highlight w:val="none"/>
              </w:rPr>
            </w:pPr>
            <w:r>
              <w:rPr>
                <w:rFonts w:hint="eastAsia" w:ascii="宋体" w:hAnsi="宋体" w:eastAsia="宋体" w:cs="宋体"/>
                <w:i w:val="0"/>
                <w:iCs w:val="0"/>
                <w:color w:val="000000"/>
                <w:kern w:val="0"/>
                <w:sz w:val="20"/>
                <w:szCs w:val="20"/>
                <w:highlight w:val="none"/>
                <w:u w:val="none"/>
                <w:lang w:val="en-US" w:eastAsia="zh-CN" w:bidi="ar"/>
              </w:rPr>
              <w:t>*接口集成</w:t>
            </w:r>
          </w:p>
        </w:tc>
        <w:tc>
          <w:tcPr>
            <w:tcW w:w="1040" w:type="dxa"/>
            <w:vAlign w:val="top"/>
          </w:tcPr>
          <w:p>
            <w:pPr>
              <w:textAlignment w:val="center"/>
              <w:rPr>
                <w:rFonts w:hint="eastAsia" w:asciiTheme="minorEastAsia" w:hAnsiTheme="minorEastAsia" w:eastAsiaTheme="minorEastAsia" w:cstheme="minorEastAsia"/>
                <w:kern w:val="0"/>
                <w:sz w:val="20"/>
                <w:szCs w:val="20"/>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*接口集成</w:t>
            </w:r>
          </w:p>
        </w:tc>
        <w:tc>
          <w:tcPr>
            <w:tcW w:w="3539" w:type="dxa"/>
            <w:vAlign w:val="top"/>
          </w:tcPr>
          <w:p>
            <w:pPr>
              <w:textAlignment w:val="center"/>
              <w:rPr>
                <w:rFonts w:hint="eastAsia" w:asciiTheme="minorEastAsia" w:hAnsiTheme="minorEastAsia" w:eastAsiaTheme="minorEastAsia" w:cstheme="minorEastAsia"/>
                <w:kern w:val="0"/>
                <w:sz w:val="20"/>
                <w:szCs w:val="20"/>
                <w:highlight w:val="none"/>
                <w:lang w:val="en-US" w:eastAsia="zh-CN"/>
              </w:rPr>
            </w:pPr>
            <w:r>
              <w:rPr>
                <w:rFonts w:hint="eastAsia" w:ascii="宋体" w:hAnsi="宋体" w:eastAsia="宋体" w:cs="宋体"/>
                <w:i w:val="0"/>
                <w:iCs w:val="0"/>
                <w:color w:val="000000"/>
                <w:kern w:val="0"/>
                <w:sz w:val="20"/>
                <w:szCs w:val="20"/>
                <w:highlight w:val="none"/>
                <w:u w:val="none"/>
                <w:lang w:val="en-US" w:eastAsia="zh-CN" w:bidi="ar"/>
              </w:rPr>
              <w:t>支持按照招标方要求，提供与云盾集成的接口，用于设备控制，并支持设备运行信息、告警信息、安全策略等上传。</w:t>
            </w:r>
          </w:p>
        </w:tc>
        <w:tc>
          <w:tcPr>
            <w:tcW w:w="2131" w:type="dxa"/>
          </w:tcPr>
          <w:p>
            <w:pPr>
              <w:rPr>
                <w:rFonts w:hint="eastAsia" w:asciiTheme="minorEastAsia" w:hAnsiTheme="minorEastAsia" w:eastAsiaTheme="minorEastAsia" w:cstheme="minorEastAsia"/>
                <w:kern w:val="0"/>
                <w:sz w:val="20"/>
                <w:szCs w:val="20"/>
                <w:highlight w:val="none"/>
              </w:rPr>
            </w:pPr>
            <w:r>
              <w:rPr>
                <w:rFonts w:hint="eastAsia" w:ascii="宋体" w:hAnsi="宋体" w:eastAsia="宋体" w:cs="宋体"/>
                <w:i w:val="0"/>
                <w:iCs w:val="0"/>
                <w:color w:val="000000"/>
                <w:kern w:val="0"/>
                <w:sz w:val="20"/>
                <w:szCs w:val="20"/>
                <w:highlight w:val="none"/>
                <w:u w:val="none"/>
                <w:lang w:val="en-US" w:eastAsia="zh-CN" w:bidi="ar"/>
              </w:rPr>
              <w:t>提供加盖原厂公章的技术服务承诺函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Merge w:val="continue"/>
          </w:tcPr>
          <w:p>
            <w:pPr>
              <w:rPr>
                <w:rFonts w:hint="eastAsia"/>
                <w:highlight w:val="none"/>
                <w:vertAlign w:val="baseline"/>
              </w:rPr>
            </w:pPr>
          </w:p>
        </w:tc>
        <w:tc>
          <w:tcPr>
            <w:tcW w:w="844" w:type="dxa"/>
          </w:tcPr>
          <w:p>
            <w:pP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互联互通</w:t>
            </w:r>
          </w:p>
        </w:tc>
        <w:tc>
          <w:tcPr>
            <w:tcW w:w="1040" w:type="dxa"/>
            <w:vAlign w:val="top"/>
          </w:tcPr>
          <w:p>
            <w:pP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互联互通</w:t>
            </w:r>
          </w:p>
        </w:tc>
        <w:tc>
          <w:tcPr>
            <w:tcW w:w="3539" w:type="dxa"/>
            <w:vAlign w:val="top"/>
          </w:tcPr>
          <w:p>
            <w:pP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产品需适配网络安全互联互通信息语义模型及功能抽象标准，支持与多源异构存量网络安全产品开展信息共享、功能协同；可对接互联互通成套装备与适配平台，对外提供标准化数据共享接口与功能调用能力。</w:t>
            </w:r>
          </w:p>
        </w:tc>
        <w:tc>
          <w:tcPr>
            <w:tcW w:w="2131" w:type="dxa"/>
          </w:tcPr>
          <w:p>
            <w:pP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提供有关截图及加盖原厂公章的技术承诺函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Merge w:val="continue"/>
          </w:tcPr>
          <w:p>
            <w:pPr>
              <w:rPr>
                <w:rFonts w:hint="eastAsia"/>
                <w:highlight w:val="none"/>
                <w:vertAlign w:val="baseline"/>
              </w:rPr>
            </w:pPr>
          </w:p>
        </w:tc>
        <w:tc>
          <w:tcPr>
            <w:tcW w:w="844"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全功能CLI</w:t>
            </w:r>
          </w:p>
        </w:tc>
        <w:tc>
          <w:tcPr>
            <w:tcW w:w="1040"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命令行交互接口</w:t>
            </w:r>
          </w:p>
        </w:tc>
        <w:tc>
          <w:tcPr>
            <w:tcW w:w="3539" w:type="dxa"/>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所供货设备需提供全功能CLI（命令行交互接口），CLI交互能力应可满足检查与配置设备运行状态，检查与设置设备主要功能能力。</w:t>
            </w:r>
          </w:p>
        </w:tc>
        <w:tc>
          <w:tcPr>
            <w:tcW w:w="2131" w:type="dxa"/>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提供有关截图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dxa"/>
            <w:vMerge w:val="continue"/>
          </w:tcPr>
          <w:p>
            <w:pPr>
              <w:rPr>
                <w:rFonts w:hint="eastAsia"/>
                <w:highlight w:val="none"/>
                <w:vertAlign w:val="baseline"/>
              </w:rPr>
            </w:pPr>
          </w:p>
        </w:tc>
        <w:tc>
          <w:tcPr>
            <w:tcW w:w="844" w:type="dxa"/>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自主可控要求</w:t>
            </w:r>
          </w:p>
        </w:tc>
        <w:tc>
          <w:tcPr>
            <w:tcW w:w="1040" w:type="dxa"/>
            <w:shd w:val="clear" w:color="auto" w:fill="auto"/>
            <w:vAlign w:val="center"/>
          </w:tcPr>
          <w:p>
            <w:pPr>
              <w:jc w:val="both"/>
              <w:rPr>
                <w:rFonts w:hint="eastAsia" w:ascii="宋体" w:hAnsi="宋体" w:eastAsia="宋体" w:cs="宋体"/>
                <w:color w:val="auto"/>
                <w:kern w:val="2"/>
                <w:sz w:val="21"/>
                <w:szCs w:val="21"/>
                <w:highlight w:val="none"/>
                <w:lang w:val="en-US" w:eastAsia="zh-CN" w:bidi="ar-SA"/>
              </w:rPr>
            </w:pPr>
            <w:r>
              <w:rPr>
                <w:rFonts w:hint="eastAsia" w:hAnsi="宋体" w:cs="宋体"/>
                <w:color w:val="auto"/>
                <w:kern w:val="2"/>
                <w:sz w:val="21"/>
                <w:szCs w:val="21"/>
                <w:highlight w:val="none"/>
                <w:lang w:val="en-US" w:eastAsia="zh-CN" w:bidi="ar-SA"/>
              </w:rPr>
              <w:t>自主可控芯片</w:t>
            </w:r>
          </w:p>
        </w:tc>
        <w:tc>
          <w:tcPr>
            <w:tcW w:w="3539" w:type="dxa"/>
            <w:shd w:val="clear" w:color="auto" w:fill="auto"/>
            <w:vAlign w:val="center"/>
          </w:tcPr>
          <w:p>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000000"/>
                <w:sz w:val="21"/>
                <w:szCs w:val="21"/>
                <w:highlight w:val="none"/>
                <w:u w:val="none"/>
                <w:lang w:val="en-US" w:eastAsia="zh-CN"/>
              </w:rPr>
              <w:t>*该设备涉及的主要芯片产品（处理器、DRAM、Flash、安全芯片）需要满足自主可控要求。需提供芯片自主可控证明材料及承诺函</w:t>
            </w:r>
          </w:p>
        </w:tc>
        <w:tc>
          <w:tcPr>
            <w:tcW w:w="2131" w:type="dxa"/>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bl>
    <w:p>
      <w:pPr>
        <w:pStyle w:val="7"/>
        <w:tabs>
          <w:tab w:val="left" w:pos="720"/>
          <w:tab w:val="clear" w:pos="0"/>
        </w:tabs>
        <w:rPr>
          <w:rFonts w:hint="eastAsia"/>
          <w:highlight w:val="none"/>
        </w:rPr>
      </w:pPr>
      <w:r>
        <w:rPr>
          <w:rFonts w:hint="eastAsia"/>
          <w:highlight w:val="none"/>
        </w:rPr>
        <w:t>基线核查设备</w:t>
      </w:r>
    </w:p>
    <w:tbl>
      <w:tblPr>
        <w:tblStyle w:val="23"/>
        <w:tblW w:w="8733"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96"/>
        <w:gridCol w:w="787"/>
        <w:gridCol w:w="830"/>
        <w:gridCol w:w="4730"/>
        <w:gridCol w:w="15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一级分类</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二级分类</w:t>
            </w:r>
          </w:p>
        </w:tc>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三级分类</w:t>
            </w:r>
          </w:p>
        </w:tc>
        <w:tc>
          <w:tcPr>
            <w:tcW w:w="47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招标方要求</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投标方应答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79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highlight w:val="none"/>
                <w:u w:val="none"/>
                <w:lang w:val="en-US"/>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基线核查设备</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基本要求</w:t>
            </w:r>
          </w:p>
        </w:tc>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color w:val="auto"/>
                <w:kern w:val="0"/>
                <w:sz w:val="20"/>
                <w:szCs w:val="20"/>
                <w:highlight w:val="none"/>
                <w:lang w:val="en-US" w:eastAsia="zh-CN"/>
              </w:rPr>
              <w:t>基本</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要求</w:t>
            </w:r>
          </w:p>
        </w:tc>
        <w:tc>
          <w:tcPr>
            <w:tcW w:w="47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color w:val="000000"/>
                <w:kern w:val="0"/>
                <w:sz w:val="20"/>
                <w:szCs w:val="20"/>
                <w:highlight w:val="none"/>
                <w:u w:val="none"/>
                <w:lang w:bidi="ar"/>
              </w:rPr>
              <w:t>*产品应为国内自主研发产品，提供网络安全专用产品安全检测证书。</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提供有关证明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4" w:hRule="atLeast"/>
        </w:trPr>
        <w:tc>
          <w:tcPr>
            <w:tcW w:w="796" w:type="dxa"/>
            <w:vMerge w:val="continue"/>
            <w:tcBorders>
              <w:left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0"/>
                <w:szCs w:val="20"/>
                <w:highlight w:val="none"/>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部署要求</w:t>
            </w:r>
          </w:p>
        </w:tc>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部署要求</w:t>
            </w:r>
          </w:p>
        </w:tc>
        <w:tc>
          <w:tcPr>
            <w:tcW w:w="47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支持单级部署和多级部署；</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采用轻量级Agent部署；</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支持手动获取安装调试，也可通过管理控制中心批量远程安装调试；</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支持x86、ARM等主流服务器架构；</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支持Linux以及麒麟V10等主流国产化操作系统；</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支持物理服务器、虚拟机等服务器形态；</w:t>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控制中心和Agent端皆支持IPV6网络部署与通信；</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796" w:type="dxa"/>
            <w:vMerge w:val="continue"/>
            <w:tcBorders>
              <w:left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0"/>
                <w:szCs w:val="20"/>
                <w:highlight w:val="none"/>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授权要求</w:t>
            </w:r>
          </w:p>
        </w:tc>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授权要求</w:t>
            </w:r>
          </w:p>
        </w:tc>
        <w:tc>
          <w:tcPr>
            <w:tcW w:w="47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至少包含5000个授权</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提供原厂盖章的承诺函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796" w:type="dxa"/>
            <w:vMerge w:val="continue"/>
            <w:tcBorders>
              <w:left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0"/>
                <w:szCs w:val="20"/>
                <w:highlight w:val="none"/>
                <w:u w:val="none"/>
              </w:rPr>
            </w:pPr>
          </w:p>
        </w:tc>
        <w:tc>
          <w:tcPr>
            <w:tcW w:w="7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功能要求</w:t>
            </w:r>
          </w:p>
        </w:tc>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资产管理</w:t>
            </w:r>
          </w:p>
        </w:tc>
        <w:tc>
          <w:tcPr>
            <w:tcW w:w="47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支持对网络中的管理对象资产进行管理。除基本资产信息外，用户还可以按照自定义维度展示，实现资产的可视化。</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796" w:type="dxa"/>
            <w:vMerge w:val="continue"/>
            <w:tcBorders>
              <w:left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0"/>
                <w:szCs w:val="20"/>
                <w:highlight w:val="none"/>
                <w:u w:val="none"/>
              </w:rPr>
            </w:pPr>
          </w:p>
        </w:tc>
        <w:tc>
          <w:tcPr>
            <w:tcW w:w="7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Theme="minorEastAsia" w:hAnsiTheme="minorEastAsia" w:eastAsiaTheme="minorEastAsia" w:cstheme="minorEastAsia"/>
                <w:i w:val="0"/>
                <w:iCs w:val="0"/>
                <w:color w:val="000000"/>
                <w:sz w:val="20"/>
                <w:szCs w:val="20"/>
                <w:highlight w:val="none"/>
                <w:u w:val="none"/>
              </w:rPr>
            </w:pPr>
          </w:p>
        </w:tc>
        <w:tc>
          <w:tcPr>
            <w:tcW w:w="8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核查扫描</w:t>
            </w:r>
          </w:p>
        </w:tc>
        <w:tc>
          <w:tcPr>
            <w:tcW w:w="47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支持Linux、常见中间件的基线仓库及基线扫描能力；</w:t>
            </w:r>
          </w:p>
        </w:tc>
        <w:tc>
          <w:tcPr>
            <w:tcW w:w="15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796" w:type="dxa"/>
            <w:vMerge w:val="continue"/>
            <w:tcBorders>
              <w:left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0"/>
                <w:szCs w:val="20"/>
                <w:highlight w:val="none"/>
                <w:u w:val="none"/>
              </w:rPr>
            </w:pPr>
          </w:p>
        </w:tc>
        <w:tc>
          <w:tcPr>
            <w:tcW w:w="7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Theme="minorEastAsia" w:hAnsiTheme="minorEastAsia" w:eastAsiaTheme="minorEastAsia" w:cstheme="minorEastAsia"/>
                <w:i w:val="0"/>
                <w:iCs w:val="0"/>
                <w:color w:val="000000"/>
                <w:sz w:val="20"/>
                <w:szCs w:val="20"/>
                <w:highlight w:val="none"/>
                <w:u w:val="none"/>
              </w:rPr>
            </w:pPr>
          </w:p>
        </w:tc>
        <w:tc>
          <w:tcPr>
            <w:tcW w:w="8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Theme="minorEastAsia" w:hAnsiTheme="minorEastAsia" w:eastAsiaTheme="minorEastAsia" w:cstheme="minorEastAsia"/>
                <w:i w:val="0"/>
                <w:iCs w:val="0"/>
                <w:color w:val="000000"/>
                <w:sz w:val="20"/>
                <w:szCs w:val="20"/>
                <w:highlight w:val="none"/>
                <w:u w:val="none"/>
              </w:rPr>
            </w:pPr>
          </w:p>
        </w:tc>
        <w:tc>
          <w:tcPr>
            <w:tcW w:w="47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支持主流国产化操作系统及常见国产化中间件的基线仓库及基线扫描能力。</w:t>
            </w:r>
          </w:p>
        </w:tc>
        <w:tc>
          <w:tcPr>
            <w:tcW w:w="15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Theme="minorEastAsia" w:hAnsiTheme="minorEastAsia" w:eastAsiaTheme="minorEastAsia" w:cstheme="minorEastAsia"/>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796" w:type="dxa"/>
            <w:vMerge w:val="continue"/>
            <w:tcBorders>
              <w:left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0"/>
                <w:szCs w:val="20"/>
                <w:highlight w:val="none"/>
                <w:u w:val="none"/>
              </w:rPr>
            </w:pPr>
          </w:p>
        </w:tc>
        <w:tc>
          <w:tcPr>
            <w:tcW w:w="7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Theme="minorEastAsia" w:hAnsiTheme="minorEastAsia" w:eastAsiaTheme="minorEastAsia" w:cstheme="minorEastAsia"/>
                <w:i w:val="0"/>
                <w:iCs w:val="0"/>
                <w:color w:val="000000"/>
                <w:sz w:val="20"/>
                <w:szCs w:val="20"/>
                <w:highlight w:val="none"/>
                <w:u w:val="none"/>
              </w:rPr>
            </w:pPr>
          </w:p>
        </w:tc>
        <w:tc>
          <w:tcPr>
            <w:tcW w:w="8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多核查任务形式</w:t>
            </w:r>
          </w:p>
        </w:tc>
        <w:tc>
          <w:tcPr>
            <w:tcW w:w="47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支持多种方式的核查任务管理，包括但不限于立即扫描、定时扫描、周期扫描、离线扫描、代理核查等。</w:t>
            </w:r>
          </w:p>
        </w:tc>
        <w:tc>
          <w:tcPr>
            <w:tcW w:w="15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796" w:type="dxa"/>
            <w:vMerge w:val="continue"/>
            <w:tcBorders>
              <w:left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0"/>
                <w:szCs w:val="20"/>
                <w:highlight w:val="none"/>
                <w:u w:val="none"/>
              </w:rPr>
            </w:pPr>
          </w:p>
        </w:tc>
        <w:tc>
          <w:tcPr>
            <w:tcW w:w="7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Theme="minorEastAsia" w:hAnsiTheme="minorEastAsia" w:eastAsiaTheme="minorEastAsia" w:cstheme="minorEastAsia"/>
                <w:i w:val="0"/>
                <w:iCs w:val="0"/>
                <w:color w:val="000000"/>
                <w:sz w:val="20"/>
                <w:szCs w:val="20"/>
                <w:highlight w:val="none"/>
                <w:u w:val="none"/>
              </w:rPr>
            </w:pPr>
          </w:p>
        </w:tc>
        <w:tc>
          <w:tcPr>
            <w:tcW w:w="8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Theme="minorEastAsia" w:hAnsiTheme="minorEastAsia" w:eastAsiaTheme="minorEastAsia" w:cstheme="minorEastAsia"/>
                <w:i w:val="0"/>
                <w:iCs w:val="0"/>
                <w:color w:val="000000"/>
                <w:sz w:val="20"/>
                <w:szCs w:val="20"/>
                <w:highlight w:val="none"/>
                <w:u w:val="none"/>
              </w:rPr>
            </w:pPr>
          </w:p>
        </w:tc>
        <w:tc>
          <w:tcPr>
            <w:tcW w:w="47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支持跨设备类型组合的核查策略，可依据不同的规范要求或检查重点自定义核查策略，依据策略中的设备类型匹配到核查对象来完成核查作业。</w:t>
            </w:r>
          </w:p>
        </w:tc>
        <w:tc>
          <w:tcPr>
            <w:tcW w:w="15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Theme="minorEastAsia" w:hAnsiTheme="minorEastAsia" w:eastAsiaTheme="minorEastAsia" w:cstheme="minorEastAsia"/>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796" w:type="dxa"/>
            <w:vMerge w:val="continue"/>
            <w:tcBorders>
              <w:left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0"/>
                <w:szCs w:val="20"/>
                <w:highlight w:val="none"/>
                <w:u w:val="none"/>
              </w:rPr>
            </w:pPr>
          </w:p>
        </w:tc>
        <w:tc>
          <w:tcPr>
            <w:tcW w:w="7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Theme="minorEastAsia" w:hAnsiTheme="minorEastAsia" w:eastAsiaTheme="minorEastAsia" w:cstheme="minorEastAsia"/>
                <w:i w:val="0"/>
                <w:iCs w:val="0"/>
                <w:color w:val="000000"/>
                <w:sz w:val="20"/>
                <w:szCs w:val="20"/>
                <w:highlight w:val="none"/>
                <w:u w:val="none"/>
              </w:rPr>
            </w:pPr>
          </w:p>
        </w:tc>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系统管理</w:t>
            </w:r>
          </w:p>
        </w:tc>
        <w:tc>
          <w:tcPr>
            <w:tcW w:w="47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支持丰富的配置管理功能，包括自身安全配置、系统运行参数配置等。支持系统自身运行监控与告警、系统日志记录等功能。</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796" w:type="dxa"/>
            <w:vMerge w:val="continue"/>
            <w:tcBorders>
              <w:left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0"/>
                <w:szCs w:val="20"/>
                <w:highlight w:val="none"/>
                <w:u w:val="none"/>
              </w:rPr>
            </w:pPr>
          </w:p>
        </w:tc>
        <w:tc>
          <w:tcPr>
            <w:tcW w:w="7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Theme="minorEastAsia" w:hAnsiTheme="minorEastAsia" w:eastAsiaTheme="minorEastAsia" w:cstheme="minorEastAsia"/>
                <w:i w:val="0"/>
                <w:iCs w:val="0"/>
                <w:color w:val="000000"/>
                <w:sz w:val="20"/>
                <w:szCs w:val="20"/>
                <w:highlight w:val="none"/>
                <w:u w:val="none"/>
              </w:rPr>
            </w:pPr>
          </w:p>
        </w:tc>
        <w:tc>
          <w:tcPr>
            <w:tcW w:w="8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用户及权限管理</w:t>
            </w:r>
          </w:p>
        </w:tc>
        <w:tc>
          <w:tcPr>
            <w:tcW w:w="47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系统支持三权分立的设计，内置系统管理员、用户管理员和审计管理员；</w:t>
            </w:r>
          </w:p>
        </w:tc>
        <w:tc>
          <w:tcPr>
            <w:tcW w:w="15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1" w:hRule="atLeast"/>
        </w:trPr>
        <w:tc>
          <w:tcPr>
            <w:tcW w:w="796" w:type="dxa"/>
            <w:vMerge w:val="continue"/>
            <w:tcBorders>
              <w:left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0"/>
                <w:szCs w:val="20"/>
                <w:highlight w:val="none"/>
                <w:u w:val="none"/>
              </w:rPr>
            </w:pPr>
          </w:p>
        </w:tc>
        <w:tc>
          <w:tcPr>
            <w:tcW w:w="7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Theme="minorEastAsia" w:hAnsiTheme="minorEastAsia" w:eastAsiaTheme="minorEastAsia" w:cstheme="minorEastAsia"/>
                <w:i w:val="0"/>
                <w:iCs w:val="0"/>
                <w:color w:val="000000"/>
                <w:sz w:val="20"/>
                <w:szCs w:val="20"/>
                <w:highlight w:val="none"/>
                <w:u w:val="none"/>
              </w:rPr>
            </w:pPr>
          </w:p>
        </w:tc>
        <w:tc>
          <w:tcPr>
            <w:tcW w:w="8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Theme="minorEastAsia" w:hAnsiTheme="minorEastAsia" w:eastAsiaTheme="minorEastAsia" w:cstheme="minorEastAsia"/>
                <w:i w:val="0"/>
                <w:iCs w:val="0"/>
                <w:color w:val="000000"/>
                <w:sz w:val="20"/>
                <w:szCs w:val="20"/>
                <w:highlight w:val="none"/>
                <w:u w:val="none"/>
              </w:rPr>
            </w:pPr>
          </w:p>
        </w:tc>
        <w:tc>
          <w:tcPr>
            <w:tcW w:w="47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支持对用户进行集中管理，对用户可以访问的资源进行细致的权限划分，具备安全可靠的分级及分类用户管理功能，支持用户的身份认证、授权、用户口令修改等功能。</w:t>
            </w:r>
          </w:p>
        </w:tc>
        <w:tc>
          <w:tcPr>
            <w:tcW w:w="15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Theme="minorEastAsia" w:hAnsiTheme="minorEastAsia" w:eastAsiaTheme="minorEastAsia" w:cstheme="minorEastAsia"/>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796" w:type="dxa"/>
            <w:vMerge w:val="continue"/>
            <w:tcBorders>
              <w:left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0"/>
                <w:szCs w:val="20"/>
                <w:highlight w:val="none"/>
                <w:u w:val="none"/>
              </w:rPr>
            </w:pPr>
          </w:p>
        </w:tc>
        <w:tc>
          <w:tcPr>
            <w:tcW w:w="7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Theme="minorEastAsia" w:hAnsiTheme="minorEastAsia" w:eastAsiaTheme="minorEastAsia" w:cstheme="minorEastAsia"/>
                <w:i w:val="0"/>
                <w:iCs w:val="0"/>
                <w:color w:val="000000"/>
                <w:sz w:val="20"/>
                <w:szCs w:val="20"/>
                <w:highlight w:val="none"/>
                <w:u w:val="none"/>
              </w:rPr>
            </w:pPr>
          </w:p>
        </w:tc>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基线库设计</w:t>
            </w:r>
          </w:p>
        </w:tc>
        <w:tc>
          <w:tcPr>
            <w:tcW w:w="47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支持多种操作系统、中间件、组件合规基线定制化配置</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796" w:type="dxa"/>
            <w:vMerge w:val="continue"/>
            <w:tcBorders>
              <w:left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0"/>
                <w:szCs w:val="20"/>
                <w:highlight w:val="none"/>
                <w:u w:val="none"/>
              </w:rPr>
            </w:pPr>
          </w:p>
        </w:tc>
        <w:tc>
          <w:tcPr>
            <w:tcW w:w="7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*售后服务</w:t>
            </w:r>
          </w:p>
        </w:tc>
        <w:tc>
          <w:tcPr>
            <w:tcW w:w="8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*售后服务</w:t>
            </w:r>
          </w:p>
        </w:tc>
        <w:tc>
          <w:tcPr>
            <w:tcW w:w="47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整机软硬件5年免费原厂维护、管理软件升级维护及技术支持服务（含特征库、规则库、许可等各种软件限制性的授权服务）。</w:t>
            </w:r>
          </w:p>
        </w:tc>
        <w:tc>
          <w:tcPr>
            <w:tcW w:w="15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提供加盖原厂公章的技术服务承诺函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796" w:type="dxa"/>
            <w:vMerge w:val="continue"/>
            <w:tcBorders>
              <w:left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0"/>
                <w:szCs w:val="20"/>
                <w:highlight w:val="none"/>
                <w:u w:val="none"/>
              </w:rPr>
            </w:pPr>
          </w:p>
        </w:tc>
        <w:tc>
          <w:tcPr>
            <w:tcW w:w="7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0"/>
                <w:szCs w:val="20"/>
                <w:highlight w:val="none"/>
                <w:u w:val="none"/>
              </w:rPr>
            </w:pPr>
          </w:p>
        </w:tc>
        <w:tc>
          <w:tcPr>
            <w:tcW w:w="8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0"/>
                <w:szCs w:val="20"/>
                <w:highlight w:val="none"/>
                <w:u w:val="none"/>
              </w:rPr>
            </w:pPr>
          </w:p>
        </w:tc>
        <w:tc>
          <w:tcPr>
            <w:tcW w:w="47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color w:val="000000"/>
                <w:kern w:val="0"/>
                <w:sz w:val="20"/>
                <w:szCs w:val="20"/>
                <w:highlight w:val="none"/>
                <w:u w:val="none"/>
                <w:lang w:bidi="ar"/>
              </w:rPr>
              <w:t>提供第三方权威机构的功能能测试报告。</w:t>
            </w:r>
          </w:p>
        </w:tc>
        <w:tc>
          <w:tcPr>
            <w:tcW w:w="15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Theme="minorEastAsia" w:hAnsiTheme="minorEastAsia" w:eastAsiaTheme="minorEastAsia" w:cstheme="minorEastAsia"/>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7" w:hRule="atLeast"/>
        </w:trPr>
        <w:tc>
          <w:tcPr>
            <w:tcW w:w="796" w:type="dxa"/>
            <w:vMerge w:val="continue"/>
            <w:tcBorders>
              <w:left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0"/>
                <w:szCs w:val="20"/>
                <w:highlight w:val="none"/>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*接口集成</w:t>
            </w:r>
          </w:p>
        </w:tc>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*接口集成</w:t>
            </w:r>
          </w:p>
        </w:tc>
        <w:tc>
          <w:tcPr>
            <w:tcW w:w="47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0"/>
                <w:szCs w:val="20"/>
                <w:highlight w:val="none"/>
                <w:u w:val="none"/>
                <w:lang w:val="en-US" w:eastAsia="zh-Hans"/>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支持按照招标方要求，提供与云盾集成的接口，用于设备控制，并支持设备运行信息、告警信息、安全策略等上传。</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提供加盖原厂公章的技术服务承诺函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7" w:hRule="atLeast"/>
        </w:trPr>
        <w:tc>
          <w:tcPr>
            <w:tcW w:w="796" w:type="dxa"/>
            <w:vMerge w:val="continue"/>
            <w:tcBorders>
              <w:left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0"/>
                <w:szCs w:val="20"/>
                <w:highlight w:val="none"/>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互联互通</w:t>
            </w:r>
          </w:p>
        </w:tc>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互联互通</w:t>
            </w:r>
          </w:p>
        </w:tc>
        <w:tc>
          <w:tcPr>
            <w:tcW w:w="47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产品需适配网络安全互联互通信息语义模型及功能抽象标准，支持与多源异构存量网络安全产品开展信息共享、功能协同；可对接互联互通成套装备与适配平台，对外提供标准化数据共享接口与功能调用能力。</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提供有关截图及加盖原厂公章的技术承诺函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7" w:hRule="atLeast"/>
        </w:trPr>
        <w:tc>
          <w:tcPr>
            <w:tcW w:w="796" w:type="dxa"/>
            <w:vMerge w:val="continue"/>
            <w:tcBorders>
              <w:left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0"/>
                <w:szCs w:val="20"/>
                <w:highlight w:val="none"/>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全功能CLI</w:t>
            </w:r>
          </w:p>
        </w:tc>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命令行交互接口</w:t>
            </w:r>
          </w:p>
        </w:tc>
        <w:tc>
          <w:tcPr>
            <w:tcW w:w="47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所供货设备需提供全功能CLI（命令行交互接口），CLI交互能力应可满足检查与配置设备运行状态，检查与设置设备主要功能能力。</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提供有关截图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7" w:hRule="atLeast"/>
        </w:trPr>
        <w:tc>
          <w:tcPr>
            <w:tcW w:w="796" w:type="dxa"/>
            <w:vMerge w:val="continue"/>
            <w:tcBorders>
              <w:left w:val="single" w:color="000000" w:sz="4" w:space="0"/>
              <w:right w:val="single" w:color="000000" w:sz="4" w:space="0"/>
            </w:tcBorders>
            <w:shd w:val="clear" w:color="auto" w:fill="auto"/>
            <w:vAlign w:val="center"/>
          </w:tcPr>
          <w:p>
            <w:pPr>
              <w:jc w:val="center"/>
              <w:rPr>
                <w:rFonts w:hint="eastAsia" w:asciiTheme="minorEastAsia" w:hAnsiTheme="minorEastAsia" w:eastAsiaTheme="minorEastAsia" w:cstheme="minorEastAsia"/>
                <w:i w:val="0"/>
                <w:iCs w:val="0"/>
                <w:color w:val="000000"/>
                <w:sz w:val="20"/>
                <w:szCs w:val="20"/>
                <w:highlight w:val="none"/>
                <w:u w:val="none"/>
              </w:rPr>
            </w:pPr>
          </w:p>
        </w:tc>
        <w:tc>
          <w:tcPr>
            <w:tcW w:w="787"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i w:val="0"/>
                <w:iCs w:val="0"/>
                <w:color w:val="000000"/>
                <w:kern w:val="0"/>
                <w:sz w:val="20"/>
                <w:szCs w:val="20"/>
                <w:highlight w:val="none"/>
                <w:u w:val="none"/>
                <w:lang w:val="en-US" w:eastAsia="zh-CN" w:bidi="ar"/>
              </w:rPr>
              <w:t>自主可控要求</w:t>
            </w:r>
          </w:p>
        </w:tc>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hint="eastAsia" w:ascii="宋体" w:hAnsi="宋体" w:eastAsia="宋体" w:cs="宋体"/>
                <w:color w:val="auto"/>
                <w:kern w:val="2"/>
                <w:sz w:val="21"/>
                <w:szCs w:val="21"/>
                <w:highlight w:val="none"/>
                <w:lang w:val="en-US" w:eastAsia="zh-CN" w:bidi="ar-SA"/>
              </w:rPr>
            </w:pPr>
            <w:r>
              <w:rPr>
                <w:rFonts w:hint="eastAsia" w:hAnsi="宋体" w:cs="宋体"/>
                <w:color w:val="auto"/>
                <w:kern w:val="2"/>
                <w:sz w:val="21"/>
                <w:szCs w:val="21"/>
                <w:highlight w:val="none"/>
                <w:lang w:val="en-US" w:eastAsia="zh-CN" w:bidi="ar-SA"/>
              </w:rPr>
              <w:t>自主可控芯片</w:t>
            </w:r>
          </w:p>
        </w:tc>
        <w:tc>
          <w:tcPr>
            <w:tcW w:w="47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000000"/>
                <w:sz w:val="21"/>
                <w:szCs w:val="21"/>
                <w:highlight w:val="none"/>
                <w:u w:val="none"/>
                <w:lang w:val="en-US" w:eastAsia="zh-CN"/>
              </w:rPr>
              <w:t>*该设备涉及的主要芯片产品（处理器、DRAM、Flash、安全芯片）需要满足自主可控要求。需提供芯片自主可控证明材料及承诺函</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20"/>
                <w:szCs w:val="20"/>
                <w:highlight w:val="none"/>
                <w:u w:val="none"/>
                <w:lang w:val="en-US" w:eastAsia="zh-CN" w:bidi="ar"/>
              </w:rPr>
            </w:pPr>
            <w:r>
              <w:rPr>
                <w:rFonts w:hint="eastAsia" w:asciiTheme="minorEastAsia" w:hAnsiTheme="minorEastAsia" w:eastAsiaTheme="minorEastAsia" w:cstheme="minorEastAsia"/>
                <w:kern w:val="0"/>
                <w:sz w:val="20"/>
                <w:szCs w:val="20"/>
                <w:highlight w:val="none"/>
              </w:rPr>
              <w:t>提供有关证明</w:t>
            </w:r>
          </w:p>
        </w:tc>
      </w:tr>
    </w:tbl>
    <w:p>
      <w:pPr>
        <w:pStyle w:val="2"/>
        <w:rPr>
          <w:rFonts w:hint="eastAsia"/>
        </w:rPr>
      </w:pPr>
    </w:p>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pPr>
        <w:pStyle w:val="4"/>
        <w:rPr>
          <w:rFonts w:ascii="宋体" w:hAnsi="宋体" w:eastAsia="宋体" w:cs="Times New Roman"/>
          <w:color w:val="000000"/>
          <w:sz w:val="24"/>
          <w:szCs w:val="24"/>
          <w:highlight w:val="none"/>
        </w:rPr>
      </w:pPr>
      <w:bookmarkStart w:id="98" w:name="_Toc25580939"/>
      <w:bookmarkEnd w:id="98"/>
      <w:bookmarkStart w:id="99" w:name="_Toc97626744"/>
      <w:bookmarkStart w:id="100" w:name="_Toc1501724171"/>
      <w:bookmarkStart w:id="101" w:name="_Toc100654296"/>
      <w:bookmarkStart w:id="102" w:name="_Toc24407"/>
      <w:bookmarkStart w:id="103" w:name="_Toc2007"/>
      <w:bookmarkStart w:id="104" w:name="_Toc31261"/>
      <w:bookmarkStart w:id="105" w:name="_Toc1166"/>
      <w:r>
        <w:rPr>
          <w:rFonts w:hint="eastAsia"/>
          <w:highlight w:val="none"/>
        </w:rPr>
        <w:t>售后服务</w:t>
      </w:r>
      <w:bookmarkEnd w:id="99"/>
      <w:bookmarkEnd w:id="100"/>
      <w:bookmarkEnd w:id="101"/>
      <w:r>
        <w:rPr>
          <w:rFonts w:hint="eastAsia"/>
          <w:highlight w:val="none"/>
          <w:lang w:val="en-US" w:eastAsia="zh-CN"/>
        </w:rPr>
        <w:t>要求</w:t>
      </w:r>
      <w:bookmarkEnd w:id="102"/>
      <w:bookmarkEnd w:id="103"/>
      <w:bookmarkEnd w:id="104"/>
      <w:bookmarkEnd w:id="105"/>
    </w:p>
    <w:bookmarkEnd w:id="82"/>
    <w:bookmarkEnd w:id="83"/>
    <w:bookmarkEnd w:id="84"/>
    <w:p>
      <w:pPr>
        <w:pStyle w:val="5"/>
        <w:rPr>
          <w:highlight w:val="none"/>
        </w:rPr>
      </w:pPr>
      <w:bookmarkStart w:id="106" w:name="_Toc23736"/>
      <w:bookmarkStart w:id="107" w:name="_Toc25961"/>
      <w:bookmarkStart w:id="108" w:name="_Toc26391"/>
      <w:bookmarkStart w:id="109" w:name="_Toc19943"/>
      <w:bookmarkStart w:id="110" w:name="_Toc304475635"/>
      <w:r>
        <w:rPr>
          <w:rFonts w:hint="eastAsia"/>
          <w:highlight w:val="none"/>
          <w:lang w:val="en-US" w:eastAsia="zh-CN"/>
        </w:rPr>
        <w:t>质量保证要求</w:t>
      </w:r>
      <w:bookmarkEnd w:id="106"/>
      <w:bookmarkEnd w:id="107"/>
      <w:bookmarkEnd w:id="108"/>
    </w:p>
    <w:p>
      <w:pPr>
        <w:pStyle w:val="57"/>
        <w:numPr>
          <w:ilvl w:val="0"/>
          <w:numId w:val="3"/>
        </w:numPr>
        <w:spacing w:before="164" w:beforeLines="50" w:after="164" w:afterLines="50" w:line="360" w:lineRule="auto"/>
        <w:ind w:firstLine="480" w:firstLineChars="200"/>
        <w:outlineLvl w:val="9"/>
        <w:rPr>
          <w:rFonts w:hint="eastAsia"/>
          <w:color w:val="000000"/>
          <w:sz w:val="24"/>
          <w:szCs w:val="24"/>
          <w:highlight w:val="none"/>
        </w:rPr>
      </w:pPr>
      <w:r>
        <w:rPr>
          <w:rFonts w:hint="eastAsia"/>
          <w:color w:val="000000"/>
          <w:sz w:val="24"/>
          <w:szCs w:val="24"/>
          <w:highlight w:val="none"/>
        </w:rPr>
        <w:t>投标方提供的产品的质保期为硬件5年</w:t>
      </w:r>
      <w:r>
        <w:rPr>
          <w:rFonts w:hint="eastAsia"/>
          <w:color w:val="000000"/>
          <w:sz w:val="24"/>
          <w:szCs w:val="24"/>
          <w:highlight w:val="none"/>
          <w:lang w:val="en-US" w:eastAsia="zh-CN"/>
        </w:rPr>
        <w:t>/</w:t>
      </w:r>
      <w:r>
        <w:rPr>
          <w:rFonts w:hint="eastAsia"/>
          <w:color w:val="000000"/>
          <w:sz w:val="24"/>
          <w:szCs w:val="24"/>
          <w:highlight w:val="none"/>
        </w:rPr>
        <w:t>软件为5年，从</w:t>
      </w:r>
      <w:r>
        <w:rPr>
          <w:rFonts w:hint="eastAsia"/>
          <w:color w:val="000000"/>
          <w:sz w:val="24"/>
          <w:szCs w:val="24"/>
          <w:highlight w:val="none"/>
          <w:lang w:val="en-US" w:eastAsia="zh-CN"/>
        </w:rPr>
        <w:t>项目竣工验收</w:t>
      </w:r>
      <w:r>
        <w:rPr>
          <w:rFonts w:hint="eastAsia"/>
          <w:color w:val="000000"/>
          <w:sz w:val="24"/>
          <w:szCs w:val="24"/>
          <w:highlight w:val="none"/>
        </w:rPr>
        <w:t>之日算起。在质保期满后，招标方将根据合同约定确认投标方设备质量保证合格并履行合同相关约定条款。</w:t>
      </w:r>
    </w:p>
    <w:p>
      <w:pPr>
        <w:pStyle w:val="57"/>
        <w:numPr>
          <w:ilvl w:val="0"/>
          <w:numId w:val="3"/>
        </w:numPr>
        <w:spacing w:before="164" w:beforeLines="50" w:after="164" w:afterLines="50" w:line="360" w:lineRule="auto"/>
        <w:ind w:firstLine="480" w:firstLineChars="200"/>
        <w:outlineLvl w:val="9"/>
        <w:rPr>
          <w:color w:val="000000"/>
          <w:sz w:val="24"/>
          <w:szCs w:val="24"/>
          <w:highlight w:val="none"/>
        </w:rPr>
      </w:pPr>
      <w:r>
        <w:rPr>
          <w:color w:val="000000"/>
          <w:sz w:val="24"/>
          <w:szCs w:val="24"/>
          <w:highlight w:val="none"/>
        </w:rPr>
        <w:t>质保期间，因</w:t>
      </w:r>
      <w:r>
        <w:rPr>
          <w:rFonts w:hint="eastAsia"/>
          <w:color w:val="000000"/>
          <w:sz w:val="24"/>
          <w:szCs w:val="24"/>
          <w:highlight w:val="none"/>
          <w:lang w:val="en-US" w:eastAsia="zh-CN"/>
        </w:rPr>
        <w:t>产品</w:t>
      </w:r>
      <w:r>
        <w:rPr>
          <w:color w:val="000000"/>
          <w:sz w:val="24"/>
          <w:szCs w:val="24"/>
          <w:highlight w:val="none"/>
        </w:rPr>
        <w:t>质量问题而发生损坏，或不能正常工作时，投标方应免费为招标方修理或更换零部件。</w:t>
      </w:r>
    </w:p>
    <w:p>
      <w:pPr>
        <w:pStyle w:val="57"/>
        <w:numPr>
          <w:ilvl w:val="0"/>
          <w:numId w:val="3"/>
        </w:numPr>
        <w:spacing w:before="164" w:beforeLines="50" w:after="164" w:afterLines="50" w:line="360" w:lineRule="auto"/>
        <w:ind w:firstLine="480" w:firstLineChars="200"/>
        <w:outlineLvl w:val="9"/>
        <w:rPr>
          <w:color w:val="000000"/>
          <w:sz w:val="24"/>
          <w:szCs w:val="24"/>
          <w:highlight w:val="none"/>
        </w:rPr>
      </w:pPr>
      <w:r>
        <w:rPr>
          <w:rFonts w:hint="eastAsia"/>
          <w:color w:val="000000"/>
          <w:sz w:val="24"/>
          <w:szCs w:val="24"/>
          <w:highlight w:val="none"/>
        </w:rPr>
        <w:t>质保期内的设备例行维护、故障处置</w:t>
      </w:r>
      <w:r>
        <w:rPr>
          <w:rFonts w:hint="eastAsia"/>
          <w:color w:val="000000"/>
          <w:sz w:val="24"/>
          <w:szCs w:val="24"/>
          <w:highlight w:val="none"/>
          <w:lang w:eastAsia="zh-CN"/>
        </w:rPr>
        <w:t>、</w:t>
      </w:r>
      <w:r>
        <w:rPr>
          <w:rFonts w:hint="eastAsia"/>
          <w:color w:val="000000"/>
          <w:sz w:val="24"/>
          <w:szCs w:val="24"/>
          <w:highlight w:val="none"/>
          <w:lang w:val="en-US" w:eastAsia="zh-CN"/>
        </w:rPr>
        <w:t>技术督导</w:t>
      </w:r>
      <w:r>
        <w:rPr>
          <w:rFonts w:hint="eastAsia"/>
          <w:color w:val="000000"/>
          <w:sz w:val="24"/>
          <w:szCs w:val="24"/>
          <w:highlight w:val="none"/>
        </w:rPr>
        <w:t>等服务由</w:t>
      </w:r>
      <w:r>
        <w:rPr>
          <w:rFonts w:hint="eastAsia"/>
          <w:color w:val="auto"/>
          <w:sz w:val="24"/>
          <w:szCs w:val="24"/>
          <w:highlight w:val="none"/>
        </w:rPr>
        <w:t>投标方</w:t>
      </w:r>
      <w:r>
        <w:rPr>
          <w:rFonts w:hint="eastAsia"/>
          <w:color w:val="000000"/>
          <w:sz w:val="24"/>
          <w:szCs w:val="24"/>
          <w:highlight w:val="none"/>
        </w:rPr>
        <w:t>提供。</w:t>
      </w:r>
    </w:p>
    <w:p>
      <w:pPr>
        <w:pStyle w:val="57"/>
        <w:numPr>
          <w:ilvl w:val="0"/>
          <w:numId w:val="3"/>
        </w:numPr>
        <w:spacing w:before="164" w:after="164" w:line="360" w:lineRule="auto"/>
        <w:ind w:firstLine="480" w:firstLineChars="200"/>
        <w:outlineLvl w:val="9"/>
        <w:rPr>
          <w:rFonts w:ascii="宋体" w:hAnsi="宋体" w:eastAsia="宋体" w:cs="Times New Roman"/>
          <w:color w:val="000000"/>
          <w:sz w:val="24"/>
          <w:szCs w:val="24"/>
          <w:highlight w:val="none"/>
        </w:rPr>
      </w:pPr>
      <w:r>
        <w:rPr>
          <w:rFonts w:hint="eastAsia"/>
          <w:color w:val="000000"/>
          <w:sz w:val="24"/>
          <w:szCs w:val="24"/>
          <w:highlight w:val="none"/>
        </w:rPr>
        <w:t>在质保期内，</w:t>
      </w:r>
      <w:r>
        <w:rPr>
          <w:rFonts w:hint="eastAsia" w:ascii="宋体" w:hAnsi="宋体" w:eastAsia="宋体" w:cs="宋体"/>
          <w:color w:val="auto"/>
          <w:sz w:val="24"/>
          <w:szCs w:val="32"/>
          <w:highlight w:val="none"/>
          <w:lang w:val="en-US" w:eastAsia="zh-CN"/>
        </w:rPr>
        <w:t>设备</w:t>
      </w:r>
      <w:r>
        <w:rPr>
          <w:rFonts w:hint="eastAsia" w:ascii="宋体" w:hAnsi="宋体" w:eastAsia="宋体" w:cs="宋体"/>
          <w:color w:val="auto"/>
          <w:sz w:val="24"/>
          <w:szCs w:val="32"/>
          <w:highlight w:val="none"/>
        </w:rPr>
        <w:t>出现故障，且无法短时间内修复，</w:t>
      </w:r>
      <w:r>
        <w:rPr>
          <w:rFonts w:hint="eastAsia" w:ascii="宋体" w:hAnsi="宋体" w:eastAsia="宋体" w:cs="宋体"/>
          <w:color w:val="auto"/>
          <w:sz w:val="24"/>
          <w:szCs w:val="32"/>
          <w:highlight w:val="none"/>
          <w:lang w:eastAsia="zh-CN"/>
        </w:rPr>
        <w:t>投标方</w:t>
      </w:r>
      <w:r>
        <w:rPr>
          <w:rFonts w:hint="eastAsia" w:ascii="宋体" w:hAnsi="宋体" w:eastAsia="宋体" w:cs="宋体"/>
          <w:color w:val="auto"/>
          <w:sz w:val="24"/>
          <w:szCs w:val="32"/>
          <w:highlight w:val="none"/>
        </w:rPr>
        <w:t>应免费提供</w:t>
      </w:r>
      <w:r>
        <w:rPr>
          <w:rFonts w:hint="eastAsia" w:cs="宋体"/>
          <w:color w:val="auto"/>
          <w:sz w:val="24"/>
          <w:szCs w:val="32"/>
          <w:highlight w:val="none"/>
          <w:lang w:val="en-US" w:eastAsia="zh-CN"/>
        </w:rPr>
        <w:t>替代</w:t>
      </w:r>
      <w:r>
        <w:rPr>
          <w:rFonts w:hint="eastAsia" w:ascii="宋体" w:hAnsi="宋体" w:eastAsia="宋体" w:cs="宋体"/>
          <w:color w:val="auto"/>
          <w:sz w:val="24"/>
          <w:szCs w:val="32"/>
          <w:highlight w:val="none"/>
        </w:rPr>
        <w:t>设备并承担所发生的一切费用直至故障修复为止，</w:t>
      </w:r>
      <w:r>
        <w:rPr>
          <w:rFonts w:hint="eastAsia" w:cs="宋体"/>
          <w:color w:val="auto"/>
          <w:sz w:val="24"/>
          <w:szCs w:val="32"/>
          <w:highlight w:val="none"/>
          <w:lang w:val="en-US" w:eastAsia="zh-CN"/>
        </w:rPr>
        <w:t>替代</w:t>
      </w:r>
      <w:r>
        <w:rPr>
          <w:rFonts w:hint="eastAsia" w:ascii="宋体" w:hAnsi="宋体" w:eastAsia="宋体" w:cs="宋体"/>
          <w:color w:val="auto"/>
          <w:sz w:val="24"/>
          <w:szCs w:val="32"/>
          <w:highlight w:val="none"/>
        </w:rPr>
        <w:t>设备须在2</w:t>
      </w:r>
      <w:r>
        <w:rPr>
          <w:rFonts w:hint="eastAsia" w:cs="宋体"/>
          <w:color w:val="auto"/>
          <w:sz w:val="24"/>
          <w:szCs w:val="32"/>
          <w:highlight w:val="none"/>
          <w:lang w:val="en-US" w:eastAsia="zh-CN"/>
        </w:rPr>
        <w:t>日</w:t>
      </w:r>
      <w:r>
        <w:rPr>
          <w:rFonts w:hint="eastAsia" w:ascii="宋体" w:hAnsi="宋体" w:eastAsia="宋体" w:cs="宋体"/>
          <w:color w:val="auto"/>
          <w:sz w:val="24"/>
          <w:szCs w:val="32"/>
          <w:highlight w:val="none"/>
        </w:rPr>
        <w:t>内到达现场投入使用。</w:t>
      </w:r>
    </w:p>
    <w:p>
      <w:pPr>
        <w:pStyle w:val="57"/>
        <w:numPr>
          <w:ilvl w:val="0"/>
          <w:numId w:val="3"/>
        </w:numPr>
        <w:spacing w:before="164" w:after="164" w:line="360" w:lineRule="auto"/>
        <w:ind w:firstLine="480" w:firstLineChars="200"/>
        <w:outlineLvl w:val="9"/>
        <w:rPr>
          <w:rFonts w:ascii="宋体" w:hAnsi="宋体" w:eastAsia="宋体" w:cs="Times New Roman"/>
          <w:color w:val="000000"/>
          <w:sz w:val="24"/>
          <w:szCs w:val="24"/>
          <w:highlight w:val="none"/>
        </w:rPr>
      </w:pPr>
      <w:r>
        <w:rPr>
          <w:rFonts w:hint="eastAsia"/>
          <w:color w:val="000000"/>
          <w:sz w:val="24"/>
          <w:szCs w:val="24"/>
          <w:highlight w:val="none"/>
        </w:rPr>
        <w:t>在质保期内，</w:t>
      </w:r>
      <w:r>
        <w:rPr>
          <w:rFonts w:hint="eastAsia" w:ascii="宋体" w:hAnsi="宋体" w:eastAsia="宋体" w:cs="宋体"/>
          <w:color w:val="auto"/>
          <w:sz w:val="24"/>
          <w:szCs w:val="32"/>
          <w:highlight w:val="none"/>
        </w:rPr>
        <w:t>免费进行必要的软件更新和版本升级。当</w:t>
      </w:r>
      <w:r>
        <w:rPr>
          <w:rFonts w:hint="eastAsia" w:ascii="宋体" w:hAnsi="宋体" w:eastAsia="宋体" w:cs="宋体"/>
          <w:color w:val="auto"/>
          <w:sz w:val="24"/>
          <w:szCs w:val="32"/>
          <w:highlight w:val="none"/>
          <w:lang w:eastAsia="zh-CN"/>
        </w:rPr>
        <w:t>招标方</w:t>
      </w:r>
      <w:r>
        <w:rPr>
          <w:rFonts w:hint="eastAsia" w:ascii="宋体" w:hAnsi="宋体" w:eastAsia="宋体" w:cs="宋体"/>
          <w:color w:val="auto"/>
          <w:sz w:val="24"/>
          <w:szCs w:val="32"/>
          <w:highlight w:val="none"/>
        </w:rPr>
        <w:t>准备对</w:t>
      </w:r>
      <w:r>
        <w:rPr>
          <w:rFonts w:hint="eastAsia" w:ascii="宋体" w:hAnsi="宋体" w:eastAsia="宋体" w:cs="宋体"/>
          <w:color w:val="auto"/>
          <w:sz w:val="24"/>
          <w:szCs w:val="32"/>
          <w:highlight w:val="none"/>
          <w:lang w:eastAsia="zh-CN"/>
        </w:rPr>
        <w:t>交付设备</w:t>
      </w:r>
      <w:r>
        <w:rPr>
          <w:rFonts w:hint="eastAsia" w:ascii="宋体" w:hAnsi="宋体" w:eastAsia="宋体" w:cs="宋体"/>
          <w:color w:val="auto"/>
          <w:sz w:val="24"/>
          <w:szCs w:val="32"/>
          <w:highlight w:val="none"/>
        </w:rPr>
        <w:t>进行升级或扩容时，须提供咨询服务，并提交相关方案。</w:t>
      </w:r>
    </w:p>
    <w:p>
      <w:pPr>
        <w:pStyle w:val="57"/>
        <w:numPr>
          <w:ilvl w:val="0"/>
          <w:numId w:val="3"/>
        </w:numPr>
        <w:spacing w:before="164" w:after="164" w:line="360" w:lineRule="auto"/>
        <w:ind w:firstLine="480" w:firstLineChars="200"/>
        <w:outlineLvl w:val="9"/>
        <w:rPr>
          <w:rFonts w:hint="eastAsia" w:ascii="宋体" w:hAnsi="宋体" w:eastAsia="宋体" w:cs="宋体"/>
          <w:color w:val="auto"/>
          <w:sz w:val="24"/>
          <w:szCs w:val="32"/>
          <w:highlight w:val="none"/>
        </w:rPr>
      </w:pPr>
      <w:r>
        <w:rPr>
          <w:rFonts w:hint="eastAsia"/>
          <w:color w:val="000000"/>
          <w:sz w:val="24"/>
          <w:szCs w:val="24"/>
          <w:highlight w:val="none"/>
        </w:rPr>
        <w:t>在质保期内，</w:t>
      </w:r>
      <w:r>
        <w:rPr>
          <w:rFonts w:hint="eastAsia" w:ascii="宋体" w:hAnsi="宋体" w:eastAsia="宋体" w:cs="宋体"/>
          <w:color w:val="auto"/>
          <w:sz w:val="24"/>
          <w:szCs w:val="32"/>
          <w:highlight w:val="none"/>
        </w:rPr>
        <w:t>当</w:t>
      </w:r>
      <w:r>
        <w:rPr>
          <w:rFonts w:hint="eastAsia" w:ascii="宋体" w:hAnsi="宋体" w:eastAsia="宋体" w:cs="宋体"/>
          <w:color w:val="auto"/>
          <w:sz w:val="24"/>
          <w:szCs w:val="32"/>
          <w:highlight w:val="none"/>
          <w:lang w:eastAsia="zh-CN"/>
        </w:rPr>
        <w:t>招标方</w:t>
      </w:r>
      <w:r>
        <w:rPr>
          <w:rFonts w:hint="eastAsia" w:ascii="宋体" w:hAnsi="宋体" w:eastAsia="宋体" w:cs="宋体"/>
          <w:color w:val="auto"/>
          <w:sz w:val="24"/>
          <w:szCs w:val="32"/>
          <w:highlight w:val="none"/>
        </w:rPr>
        <w:t>的</w:t>
      </w:r>
      <w:r>
        <w:rPr>
          <w:rFonts w:hint="eastAsia" w:ascii="宋体" w:hAnsi="宋体" w:eastAsia="宋体" w:cs="宋体"/>
          <w:color w:val="auto"/>
          <w:sz w:val="24"/>
          <w:szCs w:val="32"/>
          <w:highlight w:val="none"/>
          <w:lang w:val="en-US" w:eastAsia="zh-CN"/>
        </w:rPr>
        <w:t>设备使用</w:t>
      </w:r>
      <w:r>
        <w:rPr>
          <w:rFonts w:hint="eastAsia" w:ascii="宋体" w:hAnsi="宋体" w:eastAsia="宋体" w:cs="宋体"/>
          <w:color w:val="auto"/>
          <w:sz w:val="24"/>
          <w:szCs w:val="32"/>
          <w:highlight w:val="none"/>
        </w:rPr>
        <w:t>环境发生变化时，为保证系统的正常运行，</w:t>
      </w:r>
      <w:r>
        <w:rPr>
          <w:rFonts w:hint="eastAsia" w:ascii="宋体" w:hAnsi="宋体" w:eastAsia="宋体" w:cs="宋体"/>
          <w:color w:val="auto"/>
          <w:sz w:val="24"/>
          <w:szCs w:val="32"/>
          <w:highlight w:val="none"/>
          <w:lang w:eastAsia="zh-CN"/>
        </w:rPr>
        <w:t>投标方</w:t>
      </w:r>
      <w:r>
        <w:rPr>
          <w:rFonts w:hint="eastAsia" w:ascii="宋体" w:hAnsi="宋体" w:eastAsia="宋体" w:cs="宋体"/>
          <w:color w:val="auto"/>
          <w:sz w:val="24"/>
          <w:szCs w:val="32"/>
          <w:highlight w:val="none"/>
        </w:rPr>
        <w:t>须提供相关服务。</w:t>
      </w:r>
    </w:p>
    <w:p>
      <w:pPr>
        <w:pStyle w:val="5"/>
        <w:rPr>
          <w:rFonts w:ascii="宋体" w:eastAsia="宋体" w:cs="宋体" w:hAnsiTheme="minorEastAsia"/>
          <w:b/>
          <w:bCs/>
          <w:kern w:val="2"/>
          <w:sz w:val="30"/>
          <w:szCs w:val="28"/>
          <w:highlight w:val="none"/>
          <w:lang w:val="en-US" w:eastAsia="zh-CN" w:bidi="ar-SA"/>
        </w:rPr>
      </w:pPr>
      <w:bookmarkStart w:id="111" w:name="_Toc28594"/>
      <w:bookmarkStart w:id="112" w:name="_Toc16374"/>
      <w:bookmarkStart w:id="113" w:name="_Toc23937"/>
      <w:r>
        <w:rPr>
          <w:rFonts w:hint="eastAsia" w:cs="宋体"/>
          <w:b/>
          <w:bCs/>
          <w:kern w:val="2"/>
          <w:sz w:val="30"/>
          <w:szCs w:val="28"/>
          <w:highlight w:val="none"/>
          <w:lang w:val="en-US" w:eastAsia="zh-CN" w:bidi="ar-SA"/>
        </w:rPr>
        <w:t>维护服务要求</w:t>
      </w:r>
      <w:bookmarkEnd w:id="111"/>
      <w:bookmarkEnd w:id="112"/>
      <w:bookmarkEnd w:id="113"/>
    </w:p>
    <w:p>
      <w:pPr>
        <w:pStyle w:val="57"/>
        <w:keepNext w:val="0"/>
        <w:keepLines w:val="0"/>
        <w:pageBreakBefore w:val="0"/>
        <w:widowControl/>
        <w:numPr>
          <w:ilvl w:val="3"/>
          <w:numId w:val="0"/>
        </w:numPr>
        <w:kinsoku/>
        <w:wordWrap/>
        <w:overflowPunct/>
        <w:topLinePunct w:val="0"/>
        <w:autoSpaceDE/>
        <w:autoSpaceDN/>
        <w:bidi w:val="0"/>
        <w:adjustRightInd/>
        <w:snapToGrid w:val="0"/>
        <w:spacing w:before="164" w:beforeLines="50" w:after="164" w:afterLines="50"/>
        <w:ind w:leftChars="0" w:firstLine="480" w:firstLineChars="200"/>
        <w:textAlignment w:val="auto"/>
        <w:outlineLvl w:val="9"/>
        <w:rPr>
          <w:color w:val="000000"/>
          <w:sz w:val="24"/>
          <w:szCs w:val="24"/>
          <w:highlight w:val="none"/>
        </w:rPr>
      </w:pPr>
      <w:r>
        <w:rPr>
          <w:rFonts w:hint="eastAsia"/>
          <w:color w:val="000000"/>
          <w:sz w:val="24"/>
          <w:szCs w:val="24"/>
          <w:highlight w:val="none"/>
          <w:lang w:val="en-US" w:eastAsia="zh-CN"/>
        </w:rPr>
        <w:t>1、</w:t>
      </w:r>
      <w:r>
        <w:rPr>
          <w:rFonts w:hint="eastAsia"/>
          <w:color w:val="000000"/>
          <w:sz w:val="24"/>
          <w:szCs w:val="24"/>
          <w:highlight w:val="none"/>
        </w:rPr>
        <w:t>硬件维护</w:t>
      </w:r>
    </w:p>
    <w:p>
      <w:pPr>
        <w:pStyle w:val="56"/>
        <w:keepNext w:val="0"/>
        <w:keepLines w:val="0"/>
        <w:pageBreakBefore w:val="0"/>
        <w:widowControl/>
        <w:numPr>
          <w:ilvl w:val="0"/>
          <w:numId w:val="4"/>
        </w:numPr>
        <w:kinsoku/>
        <w:wordWrap/>
        <w:overflowPunct/>
        <w:topLinePunct w:val="0"/>
        <w:autoSpaceDE w:val="0"/>
        <w:autoSpaceDN w:val="0"/>
        <w:bidi w:val="0"/>
        <w:adjustRightInd/>
        <w:snapToGrid w:val="0"/>
        <w:spacing w:before="164" w:beforeLines="50" w:after="164" w:afterLines="50" w:line="360" w:lineRule="auto"/>
        <w:ind w:left="0" w:leftChars="0" w:firstLine="425" w:firstLineChars="0"/>
        <w:textAlignment w:val="auto"/>
        <w:rPr>
          <w:color w:val="000000"/>
          <w:sz w:val="24"/>
          <w:szCs w:val="24"/>
          <w:highlight w:val="none"/>
        </w:rPr>
      </w:pPr>
      <w:r>
        <w:rPr>
          <w:rFonts w:hint="eastAsia"/>
          <w:color w:val="000000"/>
          <w:sz w:val="24"/>
          <w:szCs w:val="24"/>
          <w:highlight w:val="none"/>
        </w:rPr>
        <w:t>投标方应负责自</w:t>
      </w:r>
      <w:r>
        <w:rPr>
          <w:rFonts w:hint="eastAsia"/>
          <w:color w:val="000000"/>
          <w:sz w:val="24"/>
          <w:szCs w:val="24"/>
          <w:highlight w:val="none"/>
          <w:lang w:val="en-US" w:eastAsia="zh-CN"/>
        </w:rPr>
        <w:t>项目竣工验收</w:t>
      </w:r>
      <w:r>
        <w:rPr>
          <w:rFonts w:hint="eastAsia"/>
          <w:color w:val="000000"/>
          <w:sz w:val="24"/>
          <w:szCs w:val="24"/>
          <w:highlight w:val="none"/>
        </w:rPr>
        <w:t>之日起5年的硬件免费保修服务；</w:t>
      </w:r>
    </w:p>
    <w:p>
      <w:pPr>
        <w:pStyle w:val="56"/>
        <w:keepNext w:val="0"/>
        <w:keepLines w:val="0"/>
        <w:pageBreakBefore w:val="0"/>
        <w:widowControl/>
        <w:numPr>
          <w:ilvl w:val="0"/>
          <w:numId w:val="4"/>
        </w:numPr>
        <w:kinsoku/>
        <w:wordWrap/>
        <w:overflowPunct/>
        <w:topLinePunct w:val="0"/>
        <w:autoSpaceDE w:val="0"/>
        <w:autoSpaceDN w:val="0"/>
        <w:bidi w:val="0"/>
        <w:adjustRightInd/>
        <w:snapToGrid w:val="0"/>
        <w:spacing w:before="164" w:beforeLines="50" w:after="164" w:afterLines="50" w:line="360" w:lineRule="auto"/>
        <w:ind w:left="0" w:leftChars="0" w:firstLine="425" w:firstLineChars="0"/>
        <w:textAlignment w:val="auto"/>
        <w:rPr>
          <w:color w:val="000000"/>
          <w:sz w:val="24"/>
          <w:szCs w:val="24"/>
          <w:highlight w:val="none"/>
        </w:rPr>
      </w:pPr>
      <w:r>
        <w:rPr>
          <w:rFonts w:hint="eastAsia"/>
          <w:color w:val="000000"/>
          <w:sz w:val="24"/>
          <w:szCs w:val="24"/>
          <w:highlight w:val="none"/>
        </w:rPr>
        <w:t>投标方应提供7×24小时的技术支持服务，制定相对固定的技术负责人及联络电话、传真号码、</w:t>
      </w:r>
      <w:r>
        <w:rPr>
          <w:color w:val="000000"/>
          <w:sz w:val="24"/>
          <w:szCs w:val="24"/>
          <w:highlight w:val="none"/>
        </w:rPr>
        <w:t>e-mail</w:t>
      </w:r>
      <w:r>
        <w:rPr>
          <w:rFonts w:hint="eastAsia"/>
          <w:color w:val="000000"/>
          <w:sz w:val="24"/>
          <w:szCs w:val="24"/>
          <w:highlight w:val="none"/>
        </w:rPr>
        <w:t>地址等；</w:t>
      </w:r>
    </w:p>
    <w:p>
      <w:pPr>
        <w:pStyle w:val="56"/>
        <w:keepNext w:val="0"/>
        <w:keepLines w:val="0"/>
        <w:pageBreakBefore w:val="0"/>
        <w:widowControl/>
        <w:numPr>
          <w:ilvl w:val="0"/>
          <w:numId w:val="4"/>
        </w:numPr>
        <w:kinsoku/>
        <w:wordWrap/>
        <w:overflowPunct/>
        <w:topLinePunct w:val="0"/>
        <w:autoSpaceDE w:val="0"/>
        <w:autoSpaceDN w:val="0"/>
        <w:bidi w:val="0"/>
        <w:adjustRightInd/>
        <w:snapToGrid w:val="0"/>
        <w:spacing w:before="164" w:beforeLines="50" w:after="164" w:afterLines="50" w:line="360" w:lineRule="auto"/>
        <w:ind w:left="0" w:leftChars="0" w:firstLine="425" w:firstLineChars="0"/>
        <w:textAlignment w:val="auto"/>
        <w:rPr>
          <w:color w:val="000000"/>
          <w:sz w:val="24"/>
          <w:szCs w:val="24"/>
          <w:highlight w:val="none"/>
        </w:rPr>
      </w:pPr>
      <w:r>
        <w:rPr>
          <w:rFonts w:hint="eastAsia"/>
          <w:color w:val="000000"/>
          <w:sz w:val="24"/>
          <w:szCs w:val="24"/>
          <w:highlight w:val="none"/>
          <w:lang w:val="en-US" w:eastAsia="zh-CN"/>
        </w:rPr>
        <w:t>质保</w:t>
      </w:r>
      <w:r>
        <w:rPr>
          <w:rFonts w:hint="eastAsia"/>
          <w:color w:val="000000"/>
          <w:sz w:val="24"/>
          <w:szCs w:val="24"/>
          <w:highlight w:val="none"/>
        </w:rPr>
        <w:t>期内硬件故障时，所提供的替代硬件设备的性能应等于</w:t>
      </w:r>
      <w:r>
        <w:rPr>
          <w:rFonts w:hint="eastAsia"/>
          <w:color w:val="000000"/>
          <w:sz w:val="24"/>
          <w:szCs w:val="24"/>
          <w:highlight w:val="none"/>
          <w:lang w:val="en-US" w:eastAsia="zh-CN"/>
        </w:rPr>
        <w:t>或</w:t>
      </w:r>
      <w:r>
        <w:rPr>
          <w:rFonts w:hint="eastAsia"/>
          <w:color w:val="000000"/>
          <w:sz w:val="24"/>
          <w:szCs w:val="24"/>
          <w:highlight w:val="none"/>
        </w:rPr>
        <w:t>高于原产品的性能；</w:t>
      </w:r>
    </w:p>
    <w:p>
      <w:pPr>
        <w:pStyle w:val="56"/>
        <w:keepNext w:val="0"/>
        <w:keepLines w:val="0"/>
        <w:pageBreakBefore w:val="0"/>
        <w:widowControl/>
        <w:numPr>
          <w:ilvl w:val="0"/>
          <w:numId w:val="4"/>
        </w:numPr>
        <w:kinsoku/>
        <w:wordWrap/>
        <w:overflowPunct/>
        <w:topLinePunct w:val="0"/>
        <w:autoSpaceDE w:val="0"/>
        <w:autoSpaceDN w:val="0"/>
        <w:bidi w:val="0"/>
        <w:adjustRightInd/>
        <w:snapToGrid w:val="0"/>
        <w:spacing w:before="164" w:beforeLines="50" w:after="164" w:afterLines="50" w:line="360" w:lineRule="auto"/>
        <w:ind w:left="0" w:leftChars="0" w:firstLine="425" w:firstLineChars="0"/>
        <w:textAlignment w:val="auto"/>
        <w:rPr>
          <w:color w:val="000000"/>
          <w:sz w:val="24"/>
          <w:szCs w:val="24"/>
          <w:highlight w:val="none"/>
        </w:rPr>
      </w:pPr>
      <w:r>
        <w:rPr>
          <w:rFonts w:hint="eastAsia"/>
          <w:color w:val="000000"/>
          <w:sz w:val="24"/>
          <w:szCs w:val="24"/>
          <w:highlight w:val="none"/>
        </w:rPr>
        <w:t>48小时内故障应得以解决。</w:t>
      </w:r>
    </w:p>
    <w:p>
      <w:pPr>
        <w:pStyle w:val="57"/>
        <w:keepNext w:val="0"/>
        <w:keepLines w:val="0"/>
        <w:pageBreakBefore w:val="0"/>
        <w:widowControl/>
        <w:numPr>
          <w:ilvl w:val="3"/>
          <w:numId w:val="0"/>
        </w:numPr>
        <w:kinsoku/>
        <w:wordWrap/>
        <w:overflowPunct/>
        <w:topLinePunct w:val="0"/>
        <w:autoSpaceDE/>
        <w:autoSpaceDN/>
        <w:bidi w:val="0"/>
        <w:adjustRightInd/>
        <w:snapToGrid w:val="0"/>
        <w:spacing w:before="164" w:beforeLines="50" w:after="164" w:afterLines="50"/>
        <w:ind w:leftChars="0" w:firstLine="480" w:firstLineChars="200"/>
        <w:textAlignment w:val="auto"/>
        <w:outlineLvl w:val="9"/>
        <w:rPr>
          <w:rFonts w:hint="eastAsia"/>
          <w:color w:val="000000"/>
          <w:sz w:val="24"/>
          <w:szCs w:val="24"/>
          <w:highlight w:val="none"/>
          <w:lang w:val="en-US" w:eastAsia="zh-CN"/>
        </w:rPr>
      </w:pPr>
      <w:r>
        <w:rPr>
          <w:rFonts w:hint="eastAsia"/>
          <w:color w:val="000000"/>
          <w:sz w:val="24"/>
          <w:szCs w:val="24"/>
          <w:highlight w:val="none"/>
          <w:lang w:val="en-US" w:eastAsia="zh-CN"/>
        </w:rPr>
        <w:t>2、软件维护</w:t>
      </w:r>
    </w:p>
    <w:p>
      <w:pPr>
        <w:pStyle w:val="56"/>
        <w:keepNext w:val="0"/>
        <w:keepLines w:val="0"/>
        <w:pageBreakBefore w:val="0"/>
        <w:widowControl/>
        <w:numPr>
          <w:ilvl w:val="0"/>
          <w:numId w:val="5"/>
        </w:numPr>
        <w:kinsoku/>
        <w:wordWrap/>
        <w:overflowPunct/>
        <w:topLinePunct w:val="0"/>
        <w:autoSpaceDE w:val="0"/>
        <w:autoSpaceDN w:val="0"/>
        <w:bidi w:val="0"/>
        <w:adjustRightInd/>
        <w:snapToGrid w:val="0"/>
        <w:spacing w:before="164" w:beforeLines="50" w:after="164" w:afterLines="50" w:line="360" w:lineRule="auto"/>
        <w:ind w:left="0" w:leftChars="0" w:firstLine="425" w:firstLineChars="0"/>
        <w:textAlignment w:val="auto"/>
        <w:rPr>
          <w:color w:val="000000"/>
          <w:sz w:val="24"/>
          <w:szCs w:val="24"/>
          <w:highlight w:val="none"/>
        </w:rPr>
      </w:pPr>
      <w:r>
        <w:rPr>
          <w:rFonts w:hint="eastAsia"/>
          <w:color w:val="000000"/>
          <w:sz w:val="24"/>
          <w:szCs w:val="24"/>
          <w:highlight w:val="none"/>
        </w:rPr>
        <w:t>自</w:t>
      </w:r>
      <w:r>
        <w:rPr>
          <w:rFonts w:hint="eastAsia"/>
          <w:color w:val="000000"/>
          <w:sz w:val="24"/>
          <w:szCs w:val="24"/>
          <w:highlight w:val="none"/>
          <w:lang w:val="en-US" w:eastAsia="zh-CN"/>
        </w:rPr>
        <w:t>项目竣工验收</w:t>
      </w:r>
      <w:r>
        <w:rPr>
          <w:rFonts w:hint="eastAsia"/>
          <w:color w:val="000000"/>
          <w:sz w:val="24"/>
          <w:szCs w:val="24"/>
          <w:highlight w:val="none"/>
        </w:rPr>
        <w:t>之日起5年</w:t>
      </w:r>
      <w:r>
        <w:rPr>
          <w:rFonts w:hint="eastAsia"/>
          <w:i w:val="0"/>
          <w:iCs w:val="0"/>
          <w:color w:val="000000"/>
          <w:sz w:val="24"/>
          <w:szCs w:val="24"/>
          <w:highlight w:val="none"/>
        </w:rPr>
        <w:t>，投标方应免费</w:t>
      </w:r>
      <w:r>
        <w:rPr>
          <w:rFonts w:hint="eastAsia"/>
          <w:color w:val="000000"/>
          <w:sz w:val="24"/>
          <w:szCs w:val="24"/>
          <w:highlight w:val="none"/>
        </w:rPr>
        <w:t>提供系统软件升级、培训、设计联络、技术服务</w:t>
      </w:r>
      <w:r>
        <w:rPr>
          <w:rFonts w:hint="eastAsia"/>
          <w:color w:val="000000"/>
          <w:sz w:val="24"/>
          <w:szCs w:val="24"/>
          <w:highlight w:val="none"/>
          <w:lang w:eastAsia="zh-CN"/>
        </w:rPr>
        <w:t>，</w:t>
      </w:r>
      <w:r>
        <w:rPr>
          <w:rFonts w:hint="eastAsia"/>
          <w:color w:val="000000"/>
          <w:sz w:val="24"/>
          <w:szCs w:val="24"/>
          <w:highlight w:val="none"/>
          <w:lang w:val="en-US" w:eastAsia="zh-CN"/>
        </w:rPr>
        <w:t>保障系统软件正常运行</w:t>
      </w:r>
      <w:r>
        <w:rPr>
          <w:rFonts w:hint="eastAsia"/>
          <w:color w:val="000000"/>
          <w:sz w:val="24"/>
          <w:szCs w:val="24"/>
          <w:highlight w:val="none"/>
        </w:rPr>
        <w:t>；</w:t>
      </w:r>
    </w:p>
    <w:p>
      <w:pPr>
        <w:pStyle w:val="56"/>
        <w:keepNext w:val="0"/>
        <w:keepLines w:val="0"/>
        <w:pageBreakBefore w:val="0"/>
        <w:widowControl/>
        <w:numPr>
          <w:ilvl w:val="0"/>
          <w:numId w:val="5"/>
        </w:numPr>
        <w:kinsoku/>
        <w:wordWrap/>
        <w:overflowPunct/>
        <w:topLinePunct w:val="0"/>
        <w:autoSpaceDE w:val="0"/>
        <w:autoSpaceDN w:val="0"/>
        <w:bidi w:val="0"/>
        <w:adjustRightInd/>
        <w:snapToGrid w:val="0"/>
        <w:spacing w:before="164" w:beforeLines="50" w:after="164" w:afterLines="50" w:line="360" w:lineRule="auto"/>
        <w:ind w:left="0" w:leftChars="0" w:firstLine="425" w:firstLineChars="0"/>
        <w:textAlignment w:val="auto"/>
        <w:rPr>
          <w:color w:val="000000"/>
          <w:sz w:val="24"/>
          <w:szCs w:val="24"/>
          <w:highlight w:val="none"/>
        </w:rPr>
      </w:pPr>
      <w:r>
        <w:rPr>
          <w:rFonts w:hint="eastAsia"/>
          <w:color w:val="000000"/>
          <w:sz w:val="24"/>
          <w:szCs w:val="24"/>
          <w:highlight w:val="none"/>
        </w:rPr>
        <w:t>提供7×24小时的技术支持服务，制定相对固定的技术负责人及联络电话、传真号码、</w:t>
      </w:r>
      <w:r>
        <w:rPr>
          <w:color w:val="000000"/>
          <w:sz w:val="24"/>
          <w:szCs w:val="24"/>
          <w:highlight w:val="none"/>
        </w:rPr>
        <w:t>e-mail</w:t>
      </w:r>
      <w:r>
        <w:rPr>
          <w:rFonts w:hint="eastAsia"/>
          <w:color w:val="000000"/>
          <w:sz w:val="24"/>
          <w:szCs w:val="24"/>
          <w:highlight w:val="none"/>
        </w:rPr>
        <w:t>地址等；</w:t>
      </w:r>
    </w:p>
    <w:p>
      <w:pPr>
        <w:pStyle w:val="56"/>
        <w:keepNext w:val="0"/>
        <w:keepLines w:val="0"/>
        <w:pageBreakBefore w:val="0"/>
        <w:widowControl/>
        <w:numPr>
          <w:ilvl w:val="0"/>
          <w:numId w:val="5"/>
        </w:numPr>
        <w:kinsoku/>
        <w:wordWrap/>
        <w:overflowPunct/>
        <w:topLinePunct w:val="0"/>
        <w:autoSpaceDE w:val="0"/>
        <w:autoSpaceDN w:val="0"/>
        <w:bidi w:val="0"/>
        <w:adjustRightInd/>
        <w:snapToGrid w:val="0"/>
        <w:spacing w:before="164" w:beforeLines="50" w:after="164" w:afterLines="50" w:line="360" w:lineRule="auto"/>
        <w:ind w:left="0" w:leftChars="0" w:firstLine="425" w:firstLineChars="0"/>
        <w:textAlignment w:val="auto"/>
        <w:rPr>
          <w:color w:val="000000"/>
          <w:sz w:val="24"/>
          <w:szCs w:val="24"/>
          <w:highlight w:val="none"/>
        </w:rPr>
      </w:pPr>
      <w:r>
        <w:rPr>
          <w:rFonts w:hint="eastAsia"/>
          <w:color w:val="000000"/>
          <w:sz w:val="24"/>
          <w:szCs w:val="24"/>
          <w:highlight w:val="none"/>
        </w:rPr>
        <w:t>在用户发现软件故障时，投标方必须在用户提出维护要求的4小时内作出响应，24小时内提交故障分析报告和解决方案，48小时内故障得以解决</w:t>
      </w:r>
      <w:r>
        <w:rPr>
          <w:rFonts w:hint="eastAsia"/>
          <w:color w:val="000000"/>
          <w:sz w:val="24"/>
          <w:szCs w:val="24"/>
          <w:highlight w:val="none"/>
          <w:lang w:eastAsia="zh-CN"/>
        </w:rPr>
        <w:t>。</w:t>
      </w:r>
    </w:p>
    <w:p>
      <w:pPr>
        <w:pStyle w:val="4"/>
        <w:rPr>
          <w:highlight w:val="none"/>
        </w:rPr>
      </w:pPr>
      <w:bookmarkStart w:id="114" w:name="_Toc32315"/>
      <w:bookmarkStart w:id="115" w:name="_Toc30918"/>
      <w:bookmarkStart w:id="116" w:name="_Toc10677"/>
      <w:r>
        <w:rPr>
          <w:rFonts w:hint="eastAsia"/>
          <w:highlight w:val="none"/>
        </w:rPr>
        <w:t>其他要求</w:t>
      </w:r>
      <w:bookmarkEnd w:id="109"/>
      <w:bookmarkEnd w:id="110"/>
      <w:bookmarkEnd w:id="114"/>
      <w:bookmarkEnd w:id="115"/>
      <w:bookmarkEnd w:id="116"/>
    </w:p>
    <w:p>
      <w:pPr>
        <w:pStyle w:val="5"/>
        <w:rPr>
          <w:rFonts w:hint="eastAsia" w:ascii="宋体" w:eastAsia="宋体" w:cs="宋体"/>
          <w:highlight w:val="none"/>
        </w:rPr>
      </w:pPr>
      <w:bookmarkStart w:id="117" w:name="_Toc11633"/>
      <w:bookmarkStart w:id="118" w:name="_Toc12257"/>
      <w:bookmarkStart w:id="119" w:name="_Toc25080"/>
      <w:bookmarkStart w:id="120" w:name="_Toc13044"/>
      <w:bookmarkStart w:id="121" w:name="_Toc10662"/>
      <w:r>
        <w:rPr>
          <w:rFonts w:hint="eastAsia" w:ascii="宋体" w:eastAsia="宋体" w:cs="宋体"/>
          <w:highlight w:val="none"/>
        </w:rPr>
        <w:t>包装、运输、贮存</w:t>
      </w:r>
      <w:r>
        <w:rPr>
          <w:rFonts w:hint="eastAsia" w:ascii="宋体" w:eastAsia="宋体" w:cs="宋体"/>
          <w:highlight w:val="none"/>
          <w:lang w:eastAsia="zh-CN"/>
        </w:rPr>
        <w:t>（</w:t>
      </w:r>
      <w:r>
        <w:rPr>
          <w:rFonts w:hint="eastAsia" w:ascii="宋体" w:eastAsia="宋体" w:cs="宋体"/>
          <w:highlight w:val="none"/>
          <w:lang w:val="en-US" w:eastAsia="zh-CN"/>
        </w:rPr>
        <w:t>硬件购置专有</w:t>
      </w:r>
      <w:r>
        <w:rPr>
          <w:rFonts w:hint="eastAsia" w:ascii="宋体" w:eastAsia="宋体" w:cs="宋体"/>
          <w:highlight w:val="none"/>
          <w:lang w:eastAsia="zh-CN"/>
        </w:rPr>
        <w:t>）</w:t>
      </w:r>
      <w:bookmarkEnd w:id="117"/>
      <w:bookmarkEnd w:id="118"/>
      <w:bookmarkEnd w:id="119"/>
      <w:bookmarkEnd w:id="120"/>
    </w:p>
    <w:p>
      <w:pPr>
        <w:numPr>
          <w:ilvl w:val="-1"/>
          <w:numId w:val="0"/>
        </w:numPr>
        <w:spacing w:before="164" w:beforeLines="50" w:after="164" w:afterLines="50" w:line="360" w:lineRule="auto"/>
        <w:ind w:left="0" w:leftChars="0" w:firstLine="482"/>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lang w:val="en-US" w:eastAsia="zh-CN"/>
        </w:rPr>
        <w:t>1、</w:t>
      </w:r>
      <w:r>
        <w:rPr>
          <w:rFonts w:hint="eastAsia" w:asciiTheme="minorEastAsia" w:hAnsiTheme="minorEastAsia" w:eastAsiaTheme="minorEastAsia"/>
          <w:sz w:val="24"/>
          <w:highlight w:val="none"/>
        </w:rPr>
        <w:t>设备制造完成并通过试验后应及时包装,否则应得到切实的保护,确保其不受污损。所有部件经妥善包装或装箱后,在运输过程中尚应采取其它防护措施,以免散失损坏或被盗。</w:t>
      </w:r>
    </w:p>
    <w:p>
      <w:pPr>
        <w:numPr>
          <w:ilvl w:val="-1"/>
          <w:numId w:val="0"/>
        </w:numPr>
        <w:spacing w:before="164" w:beforeLines="50" w:after="164" w:afterLines="50" w:line="360" w:lineRule="auto"/>
        <w:ind w:left="0" w:leftChars="0" w:firstLine="482"/>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lang w:val="en-US" w:eastAsia="zh-CN"/>
        </w:rPr>
        <w:t>2、</w:t>
      </w:r>
      <w:r>
        <w:rPr>
          <w:rFonts w:hint="eastAsia" w:asciiTheme="minorEastAsia" w:hAnsiTheme="minorEastAsia" w:eastAsiaTheme="minorEastAsia"/>
          <w:sz w:val="24"/>
          <w:highlight w:val="none"/>
        </w:rPr>
        <w:t>在包装箱外应标明需方的订货号、发货号。</w:t>
      </w:r>
    </w:p>
    <w:p>
      <w:pPr>
        <w:numPr>
          <w:ilvl w:val="-1"/>
          <w:numId w:val="0"/>
        </w:numPr>
        <w:spacing w:before="164" w:beforeLines="50" w:after="164" w:afterLines="50" w:line="360" w:lineRule="auto"/>
        <w:ind w:left="0" w:leftChars="0" w:firstLine="482"/>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lang w:val="en-US" w:eastAsia="zh-CN"/>
        </w:rPr>
        <w:t>3、</w:t>
      </w:r>
      <w:r>
        <w:rPr>
          <w:rFonts w:hint="eastAsia" w:asciiTheme="minorEastAsia" w:hAnsiTheme="minorEastAsia" w:eastAsiaTheme="minorEastAsia"/>
          <w:sz w:val="24"/>
          <w:highlight w:val="none"/>
        </w:rPr>
        <w:t>各种包装应能确保各零部件在运输过程中不致遭到损坏、丢失、变形、受潮和腐蚀。</w:t>
      </w:r>
    </w:p>
    <w:p>
      <w:pPr>
        <w:numPr>
          <w:ilvl w:val="-1"/>
          <w:numId w:val="0"/>
        </w:numPr>
        <w:spacing w:before="164" w:beforeLines="50" w:after="164" w:afterLines="50" w:line="360" w:lineRule="auto"/>
        <w:ind w:left="0" w:leftChars="0" w:firstLine="482"/>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lang w:val="en-US" w:eastAsia="zh-CN"/>
        </w:rPr>
        <w:t>4、</w:t>
      </w:r>
      <w:r>
        <w:rPr>
          <w:rFonts w:hint="eastAsia" w:asciiTheme="minorEastAsia" w:hAnsiTheme="minorEastAsia" w:eastAsiaTheme="minorEastAsia"/>
          <w:sz w:val="24"/>
          <w:highlight w:val="none"/>
        </w:rPr>
        <w:t>包装箱上应有明显的包装储运图示标志。</w:t>
      </w:r>
    </w:p>
    <w:p>
      <w:pPr>
        <w:numPr>
          <w:ilvl w:val="-1"/>
          <w:numId w:val="0"/>
        </w:numPr>
        <w:spacing w:before="164" w:beforeLines="50" w:after="164" w:afterLines="50" w:line="360" w:lineRule="auto"/>
        <w:ind w:left="0" w:leftChars="0" w:firstLine="482"/>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lang w:val="en-US" w:eastAsia="zh-CN"/>
        </w:rPr>
        <w:t>5、</w:t>
      </w:r>
      <w:r>
        <w:rPr>
          <w:rFonts w:hint="eastAsia" w:asciiTheme="minorEastAsia" w:hAnsiTheme="minorEastAsia" w:eastAsiaTheme="minorEastAsia"/>
          <w:sz w:val="24"/>
          <w:highlight w:val="none"/>
        </w:rPr>
        <w:t>整体产品或分别运输的部件都要适合运输和装载的要求。</w:t>
      </w:r>
    </w:p>
    <w:p>
      <w:pPr>
        <w:numPr>
          <w:ilvl w:val="-1"/>
          <w:numId w:val="0"/>
        </w:numPr>
        <w:spacing w:before="164" w:beforeLines="50" w:after="164" w:afterLines="50" w:line="360" w:lineRule="auto"/>
        <w:ind w:left="0" w:leftChars="0" w:firstLine="482"/>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lang w:val="en-US" w:eastAsia="zh-CN"/>
        </w:rPr>
        <w:t>6、</w:t>
      </w:r>
      <w:r>
        <w:rPr>
          <w:rFonts w:hint="eastAsia" w:asciiTheme="minorEastAsia" w:hAnsiTheme="minorEastAsia" w:eastAsiaTheme="minorEastAsia"/>
          <w:sz w:val="24"/>
          <w:highlight w:val="none"/>
        </w:rPr>
        <w:t>随产品提供的技术资料应完整无缺。</w:t>
      </w:r>
    </w:p>
    <w:p>
      <w:pPr>
        <w:numPr>
          <w:ilvl w:val="-1"/>
          <w:numId w:val="0"/>
        </w:numPr>
        <w:spacing w:before="164" w:beforeLines="50" w:after="164" w:afterLines="50" w:line="360" w:lineRule="auto"/>
        <w:ind w:left="0" w:leftChars="0" w:firstLine="482"/>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lang w:val="en-US" w:eastAsia="zh-CN"/>
        </w:rPr>
        <w:t>7、</w:t>
      </w:r>
      <w:r>
        <w:rPr>
          <w:rFonts w:hint="eastAsia" w:asciiTheme="minorEastAsia" w:hAnsiTheme="minorEastAsia" w:eastAsiaTheme="minorEastAsia"/>
          <w:sz w:val="24"/>
          <w:highlight w:val="none"/>
        </w:rPr>
        <w:t>包装、运输和贮存均由投标方负责，运输的目的地为安装地点，设备抵达目的地后，投标方组织开箱验收。如果发现任一设备有偏差、损坏、损失、遗漏或数量、质量、技术规范因投标方的责任与合同不符，招标方有权向投标方提出索赔。</w:t>
      </w:r>
    </w:p>
    <w:p>
      <w:pPr>
        <w:numPr>
          <w:ilvl w:val="-1"/>
          <w:numId w:val="0"/>
        </w:numPr>
        <w:spacing w:before="164" w:beforeLines="50" w:after="164" w:afterLines="50" w:line="360" w:lineRule="auto"/>
        <w:ind w:left="0" w:leftChars="0" w:firstLine="482"/>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lang w:val="en-US" w:eastAsia="zh-CN"/>
        </w:rPr>
        <w:t>8、</w:t>
      </w:r>
      <w:r>
        <w:rPr>
          <w:rFonts w:hint="eastAsia" w:asciiTheme="minorEastAsia" w:hAnsiTheme="minorEastAsia" w:eastAsiaTheme="minorEastAsia"/>
          <w:sz w:val="24"/>
          <w:highlight w:val="none"/>
        </w:rPr>
        <w:t>投标方应保证制造过程中的所有工艺、材料等（包括投标方的外购件在内）均应符合本招标技术文件的规定。若招标方根据运行经验指定投标方提供某种外购零部件，投标方应积极配合。</w:t>
      </w:r>
    </w:p>
    <w:p>
      <w:pPr>
        <w:numPr>
          <w:ilvl w:val="-1"/>
          <w:numId w:val="0"/>
        </w:numPr>
        <w:spacing w:before="164" w:beforeLines="50" w:after="164" w:afterLines="50" w:line="360" w:lineRule="auto"/>
        <w:ind w:left="0" w:leftChars="0" w:firstLine="482"/>
        <w:rPr>
          <w:rFonts w:hint="eastAsia" w:ascii="宋体" w:eastAsia="宋体" w:cs="宋体" w:hAnsiTheme="minorEastAsia"/>
          <w:b/>
          <w:bCs/>
          <w:kern w:val="2"/>
          <w:sz w:val="30"/>
          <w:szCs w:val="28"/>
          <w:highlight w:val="none"/>
          <w:lang w:val="en-US" w:eastAsia="zh-CN" w:bidi="ar-SA"/>
        </w:rPr>
      </w:pPr>
      <w:r>
        <w:rPr>
          <w:rFonts w:hint="eastAsia" w:asciiTheme="minorEastAsia" w:hAnsiTheme="minorEastAsia" w:eastAsiaTheme="minorEastAsia"/>
          <w:sz w:val="24"/>
          <w:highlight w:val="none"/>
          <w:lang w:val="en-US" w:eastAsia="zh-CN"/>
        </w:rPr>
        <w:t>9、</w:t>
      </w:r>
      <w:r>
        <w:rPr>
          <w:rFonts w:hint="eastAsia" w:asciiTheme="minorEastAsia" w:hAnsiTheme="minorEastAsia" w:eastAsiaTheme="minorEastAsia"/>
          <w:sz w:val="24"/>
          <w:highlight w:val="none"/>
        </w:rPr>
        <w:t>设备或设备辅助安装材料、设备及元器件, 应选择具有生产许可证的专业制造厂家的产品。</w:t>
      </w:r>
      <w:bookmarkStart w:id="122" w:name="_Toc7819"/>
    </w:p>
    <w:p>
      <w:pPr>
        <w:pStyle w:val="5"/>
        <w:rPr>
          <w:rFonts w:hint="eastAsia" w:ascii="宋体" w:eastAsia="宋体" w:cs="宋体"/>
          <w:highlight w:val="none"/>
        </w:rPr>
      </w:pPr>
      <w:bookmarkStart w:id="123" w:name="_Toc10303"/>
      <w:bookmarkStart w:id="124" w:name="_Toc2223"/>
      <w:bookmarkStart w:id="125" w:name="_Toc6417"/>
      <w:r>
        <w:rPr>
          <w:rFonts w:hint="eastAsia" w:ascii="宋体" w:eastAsia="宋体" w:cs="宋体"/>
          <w:highlight w:val="none"/>
        </w:rPr>
        <w:t>知识产权</w:t>
      </w:r>
      <w:bookmarkEnd w:id="121"/>
      <w:bookmarkEnd w:id="122"/>
      <w:bookmarkEnd w:id="123"/>
      <w:bookmarkEnd w:id="124"/>
      <w:bookmarkEnd w:id="125"/>
    </w:p>
    <w:p>
      <w:pPr>
        <w:spacing w:before="164" w:beforeLines="50" w:after="164" w:afterLines="50"/>
        <w:ind w:firstLine="480" w:firstLineChars="200"/>
        <w:rPr>
          <w:rFonts w:hAnsi="宋体" w:cs="宋体"/>
          <w:szCs w:val="24"/>
          <w:highlight w:val="none"/>
        </w:rPr>
      </w:pPr>
      <w:bookmarkStart w:id="126" w:name="_Hlk144312419"/>
      <w:r>
        <w:rPr>
          <w:rFonts w:hint="eastAsia" w:hAnsi="宋体" w:cs="宋体"/>
          <w:szCs w:val="24"/>
          <w:highlight w:val="none"/>
        </w:rPr>
        <w:t>投标方</w:t>
      </w:r>
      <w:r>
        <w:rPr>
          <w:rFonts w:hAnsi="宋体" w:cs="宋体"/>
          <w:szCs w:val="24"/>
          <w:highlight w:val="none"/>
        </w:rPr>
        <w:t>保证其提供的产品、工具、模型、方法论、源代码、文档、知识资产及服务没有任何权利瑕疵，没有侵犯任何第三方权利。</w:t>
      </w:r>
      <w:r>
        <w:rPr>
          <w:rFonts w:hint="eastAsia" w:hAnsi="宋体" w:cs="宋体"/>
          <w:szCs w:val="24"/>
          <w:highlight w:val="none"/>
        </w:rPr>
        <w:t>招标方</w:t>
      </w:r>
      <w:r>
        <w:rPr>
          <w:rFonts w:hAnsi="宋体" w:cs="宋体"/>
          <w:szCs w:val="24"/>
          <w:highlight w:val="none"/>
        </w:rPr>
        <w:t>在使用该产品或服务的任何一部分时，免受第三方提出的任何侵犯其知识产权的权利主张。如果任何人对</w:t>
      </w:r>
      <w:r>
        <w:rPr>
          <w:rFonts w:hint="eastAsia" w:hAnsi="宋体" w:cs="宋体"/>
          <w:szCs w:val="24"/>
          <w:highlight w:val="none"/>
        </w:rPr>
        <w:t>招标方</w:t>
      </w:r>
      <w:r>
        <w:rPr>
          <w:rFonts w:hAnsi="宋体" w:cs="宋体"/>
          <w:szCs w:val="24"/>
          <w:highlight w:val="none"/>
        </w:rPr>
        <w:t>使用该产品及服务主张权利，由</w:t>
      </w:r>
      <w:r>
        <w:rPr>
          <w:rFonts w:hint="eastAsia" w:hAnsi="宋体" w:cs="宋体"/>
          <w:szCs w:val="24"/>
          <w:highlight w:val="none"/>
        </w:rPr>
        <w:t>投标方</w:t>
      </w:r>
      <w:r>
        <w:rPr>
          <w:rFonts w:hAnsi="宋体" w:cs="宋体"/>
          <w:szCs w:val="24"/>
          <w:highlight w:val="none"/>
        </w:rPr>
        <w:t>负责处理一切纠纷及相关事宜，由此给</w:t>
      </w:r>
      <w:r>
        <w:rPr>
          <w:rFonts w:hint="eastAsia" w:hAnsi="宋体" w:cs="宋体"/>
          <w:szCs w:val="24"/>
          <w:highlight w:val="none"/>
        </w:rPr>
        <w:t>招标方</w:t>
      </w:r>
      <w:r>
        <w:rPr>
          <w:rFonts w:hAnsi="宋体" w:cs="宋体"/>
          <w:szCs w:val="24"/>
          <w:highlight w:val="none"/>
        </w:rPr>
        <w:t>造成的损失，由</w:t>
      </w:r>
      <w:r>
        <w:rPr>
          <w:rFonts w:hint="eastAsia" w:hAnsi="宋体" w:cs="宋体"/>
          <w:szCs w:val="24"/>
          <w:highlight w:val="none"/>
        </w:rPr>
        <w:t>投标方</w:t>
      </w:r>
      <w:r>
        <w:rPr>
          <w:rFonts w:hAnsi="宋体" w:cs="宋体"/>
          <w:szCs w:val="24"/>
          <w:highlight w:val="none"/>
        </w:rPr>
        <w:t>承担。</w:t>
      </w:r>
    </w:p>
    <w:p>
      <w:pPr>
        <w:spacing w:before="164" w:beforeLines="50" w:after="164" w:afterLines="50"/>
        <w:ind w:firstLine="480" w:firstLineChars="200"/>
        <w:rPr>
          <w:rFonts w:hint="eastAsia" w:hAnsi="宋体" w:cs="宋体"/>
          <w:szCs w:val="24"/>
          <w:highlight w:val="none"/>
        </w:rPr>
      </w:pPr>
      <w:r>
        <w:rPr>
          <w:rFonts w:hint="eastAsia" w:hAnsi="宋体" w:cs="宋体"/>
          <w:szCs w:val="24"/>
          <w:highlight w:val="none"/>
        </w:rPr>
        <w:t>投标方向招标方提交的本项目所有工作成果的知识产权归招标方所有，包括但不限于投标方在本项目中开发的软件及相关文件和文档的版权等。由本项目开发而形成商业秘密信息、技术资料、技术诀窍等智力成果归招标方所有。</w:t>
      </w:r>
    </w:p>
    <w:p>
      <w:pPr>
        <w:spacing w:before="164" w:beforeLines="50" w:after="164" w:afterLines="50"/>
        <w:ind w:firstLine="480" w:firstLineChars="200"/>
        <w:rPr>
          <w:rFonts w:hint="eastAsia" w:hAnsi="宋体" w:cs="宋体"/>
          <w:szCs w:val="24"/>
          <w:highlight w:val="none"/>
        </w:rPr>
      </w:pPr>
      <w:r>
        <w:rPr>
          <w:rFonts w:hint="eastAsia" w:hAnsi="宋体" w:cs="宋体"/>
          <w:szCs w:val="24"/>
          <w:highlight w:val="none"/>
        </w:rPr>
        <w:t>未经招标方书面许可，投标方及其任何人员均不得行使本项目工作成果的任何知识产权。</w:t>
      </w:r>
    </w:p>
    <w:bookmarkEnd w:id="126"/>
    <w:p>
      <w:pPr>
        <w:rPr>
          <w:highlight w:val="none"/>
        </w:rPr>
      </w:pPr>
    </w:p>
    <w:sectPr>
      <w:headerReference r:id="rId13" w:type="default"/>
      <w:footerReference r:id="rId14" w:type="default"/>
      <w:pgSz w:w="11906" w:h="16838"/>
      <w:pgMar w:top="1440" w:right="1800" w:bottom="1440" w:left="1800" w:header="567" w:footer="513" w:gutter="0"/>
      <w:pgBorders>
        <w:top w:val="none" w:sz="0" w:space="0"/>
        <w:left w:val="none" w:sz="0" w:space="0"/>
        <w:bottom w:val="none" w:sz="0" w:space="0"/>
        <w:right w:val="none" w:sz="0" w:space="0"/>
      </w:pgBorders>
      <w:pgNumType w:start="1"/>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20" w:after="120"/>
      <w:ind w:firstLine="48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20" w:after="120"/>
      <w:ind w:firstLine="4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20" w:after="120"/>
      <w:ind w:firstLine="48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80"/>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I</w:t>
    </w:r>
    <w:r>
      <w:rPr>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80"/>
      <w:jc w:val="center"/>
    </w:pPr>
    <w:r>
      <w:fldChar w:fldCharType="begin"/>
    </w:r>
    <w:r>
      <w:instrText xml:space="preserve"> PAGE   \* MERGEFORMAT </w:instrText>
    </w:r>
    <w:r>
      <w:fldChar w:fldCharType="separate"/>
    </w:r>
    <w:r>
      <w:rPr>
        <w:lang w:val="zh-CN"/>
      </w:rPr>
      <w:t>18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8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8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ind w:firstLine="480"/>
      <w:rPr>
        <w:rFonts w:ascii="Arial" w:hAnsi="Arial"/>
      </w:rPr>
    </w:pPr>
    <w:r>
      <w:rPr>
        <w:rFonts w:hint="eastAsia" w:ascii="Arial" w:hAnsi="Arial"/>
      </w:rPr>
      <w:t>深圳供电局</w:t>
    </w:r>
    <w:r>
      <w:rPr>
        <w:rFonts w:hint="eastAsia"/>
      </w:rPr>
      <w:t>ERP系统建设项目(营销专业软件第二期技术实施部分)项目技术协议</w:t>
    </w:r>
  </w:p>
  <w:p>
    <w:pPr>
      <w:ind w:firstLine="48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ind w:firstLine="480"/>
      <w:jc w:val="left"/>
    </w:pPr>
    <w:r>
      <w:rPr>
        <w:rFonts w:hAnsi="宋体"/>
        <w:kern w:val="0"/>
      </w:rPr>
      <w:drawing>
        <wp:anchor distT="0" distB="0" distL="114300" distR="114300" simplePos="0" relativeHeight="251661312" behindDoc="0" locked="0" layoutInCell="1" allowOverlap="1">
          <wp:simplePos x="0" y="0"/>
          <wp:positionH relativeFrom="column">
            <wp:posOffset>-5080</wp:posOffset>
          </wp:positionH>
          <wp:positionV relativeFrom="paragraph">
            <wp:posOffset>-5080</wp:posOffset>
          </wp:positionV>
          <wp:extent cx="1504950" cy="276225"/>
          <wp:effectExtent l="0" t="0" r="0" b="9525"/>
          <wp:wrapSquare wrapText="bothSides"/>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1"/>
                  <a:stretch>
                    <a:fillRect/>
                  </a:stretch>
                </pic:blipFill>
                <pic:spPr>
                  <a:xfrm>
                    <a:off x="0" y="0"/>
                    <a:ext cx="1504950" cy="276225"/>
                  </a:xfrm>
                  <a:prstGeom prst="rect">
                    <a:avLst/>
                  </a:prstGeom>
                  <a:noFill/>
                  <a:ln>
                    <a:noFill/>
                  </a:ln>
                </pic:spPr>
              </pic:pic>
            </a:graphicData>
          </a:graphic>
        </wp:anchor>
      </w:drawing>
    </w:r>
    <w:r>
      <w:rPr>
        <w:rFonts w:hint="eastAsia"/>
      </w:rPr>
      <w:t xml:space="preserve"> </w:t>
    </w:r>
    <w: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pBdr>
        <w:bottom w:val="single" w:color="auto" w:sz="4" w:space="1"/>
      </w:pBdr>
      <w:kinsoku/>
      <w:wordWrap/>
      <w:overflowPunct/>
      <w:topLinePunct w:val="0"/>
      <w:bidi w:val="0"/>
      <w:adjustRightInd/>
      <w:snapToGrid/>
      <w:spacing w:line="240" w:lineRule="auto"/>
      <w:ind w:firstLine="0"/>
      <w:jc w:val="right"/>
      <w:textAlignment w:val="auto"/>
      <w:rPr>
        <w:sz w:val="22"/>
        <w:szCs w:val="21"/>
      </w:rPr>
    </w:pPr>
    <w:r>
      <w:rPr>
        <w:rFonts w:hAnsi="宋体"/>
        <w:kern w:val="0"/>
      </w:rPr>
      <w:drawing>
        <wp:anchor distT="0" distB="0" distL="114300" distR="114300" simplePos="0" relativeHeight="251659264" behindDoc="0" locked="0" layoutInCell="1" allowOverlap="1">
          <wp:simplePos x="0" y="0"/>
          <wp:positionH relativeFrom="column">
            <wp:posOffset>-13970</wp:posOffset>
          </wp:positionH>
          <wp:positionV relativeFrom="paragraph">
            <wp:posOffset>-116205</wp:posOffset>
          </wp:positionV>
          <wp:extent cx="1504950" cy="276225"/>
          <wp:effectExtent l="0" t="0" r="0" b="0"/>
          <wp:wrapSquare wrapText="bothSides"/>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1"/>
                  <a:stretch>
                    <a:fillRect/>
                  </a:stretch>
                </pic:blipFill>
                <pic:spPr>
                  <a:xfrm>
                    <a:off x="0" y="0"/>
                    <a:ext cx="1504950" cy="27622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04288D"/>
    <w:multiLevelType w:val="multilevel"/>
    <w:tmpl w:val="AF04288D"/>
    <w:lvl w:ilvl="0" w:tentative="0">
      <w:start w:val="1"/>
      <w:numFmt w:val="decimal"/>
      <w:pStyle w:val="4"/>
      <w:lvlText w:val="%1."/>
      <w:lvlJc w:val="left"/>
      <w:pPr>
        <w:ind w:left="0" w:firstLine="0"/>
      </w:pPr>
      <w:rPr>
        <w:rFonts w:hint="eastAsia" w:eastAsia="宋体" w:cs="Times New Roman" w:asciiTheme="minorEastAsia" w:hAnsiTheme="minorEastAsia"/>
        <w:b/>
        <w:bCs w:val="0"/>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1" w:tentative="0">
      <w:start w:val="1"/>
      <w:numFmt w:val="decimal"/>
      <w:pStyle w:val="5"/>
      <w:lvlText w:val="%1.%2."/>
      <w:lvlJc w:val="left"/>
      <w:pPr>
        <w:ind w:left="0" w:firstLine="0"/>
      </w:pPr>
      <w:rPr>
        <w:rFonts w:hint="eastAsia" w:eastAsia="宋体" w:cs="Times New Roman" w:asciiTheme="minorEastAsia" w:hAnsiTheme="minorEastAsia"/>
        <w:b/>
        <w:bCs w:val="0"/>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2" w:tentative="0">
      <w:start w:val="1"/>
      <w:numFmt w:val="decimal"/>
      <w:pStyle w:val="6"/>
      <w:lvlText w:val="%1.%2.%3."/>
      <w:lvlJc w:val="left"/>
      <w:pPr>
        <w:ind w:left="0" w:firstLine="0"/>
      </w:pPr>
      <w:rPr>
        <w:rFonts w:hint="eastAsia" w:eastAsia="宋体" w:cs="Times New Roman" w:asciiTheme="minorEastAsia" w:hAnsiTheme="minorEastAsia"/>
        <w:b/>
        <w:bCs w:val="0"/>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3" w:tentative="0">
      <w:start w:val="1"/>
      <w:numFmt w:val="decimal"/>
      <w:pStyle w:val="7"/>
      <w:lvlText w:val="%1.%2.%3.%4."/>
      <w:lvlJc w:val="left"/>
      <w:pPr>
        <w:ind w:left="0" w:firstLine="0"/>
      </w:pPr>
      <w:rPr>
        <w:rFonts w:hint="eastAsia" w:eastAsia="宋体" w:cs="Times New Roman" w:asciiTheme="minorEastAsia" w:hAnsiTheme="minorEastAsia"/>
        <w:b/>
        <w:bCs w:val="0"/>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4" w:tentative="0">
      <w:start w:val="1"/>
      <w:numFmt w:val="decimal"/>
      <w:pStyle w:val="8"/>
      <w:lvlText w:val="%1.%2.%3.%4.%5."/>
      <w:lvlJc w:val="left"/>
      <w:pPr>
        <w:ind w:left="852" w:firstLine="0"/>
      </w:pPr>
      <w:rPr>
        <w:rFonts w:hint="eastAsia" w:eastAsia="宋体" w:cs="Times New Roman" w:asciiTheme="minorEastAsia" w:hAnsiTheme="minorEastAsia"/>
        <w:b/>
        <w:bCs w:val="0"/>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5" w:tentative="0">
      <w:start w:val="1"/>
      <w:numFmt w:val="decimal"/>
      <w:pStyle w:val="9"/>
      <w:lvlText w:val="%1.%2.%3.%4.%5.%6."/>
      <w:lvlJc w:val="left"/>
      <w:pPr>
        <w:ind w:left="0" w:firstLine="0"/>
      </w:pPr>
      <w:rPr>
        <w:rFonts w:hint="default"/>
        <w:sz w:val="24"/>
        <w:szCs w:val="24"/>
      </w:rPr>
    </w:lvl>
    <w:lvl w:ilvl="6" w:tentative="0">
      <w:start w:val="1"/>
      <w:numFmt w:val="decimal"/>
      <w:pStyle w:val="10"/>
      <w:lvlText w:val="%1.%2.%3.%4.%5.%6.%7."/>
      <w:lvlJc w:val="left"/>
      <w:pPr>
        <w:ind w:left="0" w:firstLine="0"/>
      </w:pPr>
      <w:rPr>
        <w:rFonts w:hint="default"/>
      </w:rPr>
    </w:lvl>
    <w:lvl w:ilvl="7" w:tentative="0">
      <w:start w:val="1"/>
      <w:numFmt w:val="decimal"/>
      <w:pStyle w:val="11"/>
      <w:lvlText w:val="%1.%2.%3.%4.%5.%6.%7.%8."/>
      <w:lvlJc w:val="left"/>
      <w:pPr>
        <w:ind w:left="0" w:firstLine="0"/>
      </w:pPr>
      <w:rPr>
        <w:rFonts w:hint="default"/>
      </w:rPr>
    </w:lvl>
    <w:lvl w:ilvl="8" w:tentative="0">
      <w:start w:val="1"/>
      <w:numFmt w:val="decimal"/>
      <w:pStyle w:val="12"/>
      <w:lvlText w:val="%1.%2.%3.%4.%5.%6.%7.%8.%9."/>
      <w:lvlJc w:val="left"/>
      <w:pPr>
        <w:ind w:left="0" w:firstLine="0"/>
      </w:pPr>
      <w:rPr>
        <w:rFonts w:hint="default"/>
      </w:rPr>
    </w:lvl>
  </w:abstractNum>
  <w:abstractNum w:abstractNumId="1">
    <w:nsid w:val="DD5ACA1F"/>
    <w:multiLevelType w:val="singleLevel"/>
    <w:tmpl w:val="DD5ACA1F"/>
    <w:lvl w:ilvl="0" w:tentative="0">
      <w:start w:val="1"/>
      <w:numFmt w:val="decimal"/>
      <w:suff w:val="nothing"/>
      <w:lvlText w:val="%1、"/>
      <w:lvlJc w:val="left"/>
    </w:lvl>
  </w:abstractNum>
  <w:abstractNum w:abstractNumId="2">
    <w:nsid w:val="E290530F"/>
    <w:multiLevelType w:val="singleLevel"/>
    <w:tmpl w:val="E290530F"/>
    <w:lvl w:ilvl="0" w:tentative="0">
      <w:start w:val="1"/>
      <w:numFmt w:val="decimal"/>
      <w:lvlText w:val="(%1)"/>
      <w:lvlJc w:val="left"/>
      <w:pPr>
        <w:ind w:left="425" w:hanging="425"/>
      </w:pPr>
      <w:rPr>
        <w:rFonts w:hint="default"/>
      </w:rPr>
    </w:lvl>
  </w:abstractNum>
  <w:abstractNum w:abstractNumId="3">
    <w:nsid w:val="0000000F"/>
    <w:multiLevelType w:val="multilevel"/>
    <w:tmpl w:val="0000000F"/>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suff w:val="nothing"/>
      <w:lvlText w:val="%1%2　"/>
      <w:lvlJc w:val="left"/>
      <w:pPr>
        <w:ind w:left="0" w:firstLine="0"/>
      </w:pPr>
      <w:rPr>
        <w:rFonts w:hint="eastAsia" w:ascii="黑体" w:hAnsi="Times New Roman" w:eastAsia="黑体"/>
        <w:b w:val="0"/>
        <w:i w:val="0"/>
        <w:sz w:val="28"/>
        <w:szCs w:val="28"/>
      </w:rPr>
    </w:lvl>
    <w:lvl w:ilvl="2" w:tentative="0">
      <w:start w:val="1"/>
      <w:numFmt w:val="decimal"/>
      <w:pStyle w:val="55"/>
      <w:suff w:val="space"/>
      <w:lvlText w:val="%1%2.%3　"/>
      <w:lvlJc w:val="left"/>
      <w:pPr>
        <w:ind w:left="1702" w:firstLine="0"/>
      </w:pPr>
      <w:rPr>
        <w:rFonts w:hint="eastAsia" w:hAnsi="Times New Roman" w:cs="Times New Roman"/>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rPr>
    </w:lvl>
    <w:lvl w:ilvl="3" w:tentative="0">
      <w:start w:val="1"/>
      <w:numFmt w:val="decimal"/>
      <w:pStyle w:val="57"/>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4">
    <w:nsid w:val="09C7576E"/>
    <w:multiLevelType w:val="singleLevel"/>
    <w:tmpl w:val="09C7576E"/>
    <w:lvl w:ilvl="0" w:tentative="0">
      <w:start w:val="1"/>
      <w:numFmt w:val="decimal"/>
      <w:lvlText w:val="(%1)"/>
      <w:lvlJc w:val="left"/>
      <w:pPr>
        <w:ind w:left="425" w:hanging="425"/>
      </w:pPr>
      <w:rPr>
        <w:rFont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bordersDoNotSurroundHeader w:val="0"/>
  <w:bordersDoNotSurroundFooter w:val="0"/>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NiMmJjMGUyMDNhMGI0MjllZTc4OTE3ODRjOTBjMWQifQ=="/>
  </w:docVars>
  <w:rsids>
    <w:rsidRoot w:val="00172A27"/>
    <w:rsid w:val="00006CFB"/>
    <w:rsid w:val="00007F44"/>
    <w:rsid w:val="0001452C"/>
    <w:rsid w:val="00016501"/>
    <w:rsid w:val="00026DEE"/>
    <w:rsid w:val="00027547"/>
    <w:rsid w:val="00032146"/>
    <w:rsid w:val="00036448"/>
    <w:rsid w:val="00036F23"/>
    <w:rsid w:val="00037F8F"/>
    <w:rsid w:val="00064587"/>
    <w:rsid w:val="000805D3"/>
    <w:rsid w:val="00082922"/>
    <w:rsid w:val="000842E2"/>
    <w:rsid w:val="00087901"/>
    <w:rsid w:val="000919E1"/>
    <w:rsid w:val="00094546"/>
    <w:rsid w:val="000A0BD8"/>
    <w:rsid w:val="000A5CCA"/>
    <w:rsid w:val="000B06C6"/>
    <w:rsid w:val="000B2625"/>
    <w:rsid w:val="000B3A6A"/>
    <w:rsid w:val="000C03EA"/>
    <w:rsid w:val="000C0F38"/>
    <w:rsid w:val="000C3657"/>
    <w:rsid w:val="000C3EC3"/>
    <w:rsid w:val="000D534B"/>
    <w:rsid w:val="000E19F1"/>
    <w:rsid w:val="000F288C"/>
    <w:rsid w:val="000F64C8"/>
    <w:rsid w:val="001024C7"/>
    <w:rsid w:val="001052CE"/>
    <w:rsid w:val="00110AC8"/>
    <w:rsid w:val="00112F3A"/>
    <w:rsid w:val="00124DEF"/>
    <w:rsid w:val="00137A97"/>
    <w:rsid w:val="00140F86"/>
    <w:rsid w:val="00144841"/>
    <w:rsid w:val="00152378"/>
    <w:rsid w:val="0015294D"/>
    <w:rsid w:val="00155FC0"/>
    <w:rsid w:val="001563E3"/>
    <w:rsid w:val="001634F1"/>
    <w:rsid w:val="00166545"/>
    <w:rsid w:val="00170CDC"/>
    <w:rsid w:val="00171A86"/>
    <w:rsid w:val="00172A27"/>
    <w:rsid w:val="00173383"/>
    <w:rsid w:val="00174AAA"/>
    <w:rsid w:val="001846FF"/>
    <w:rsid w:val="00185258"/>
    <w:rsid w:val="001861B3"/>
    <w:rsid w:val="0018786C"/>
    <w:rsid w:val="00187D29"/>
    <w:rsid w:val="0019496B"/>
    <w:rsid w:val="001972FA"/>
    <w:rsid w:val="001A54B7"/>
    <w:rsid w:val="001B08A3"/>
    <w:rsid w:val="001B3651"/>
    <w:rsid w:val="001B50DB"/>
    <w:rsid w:val="001B5B3C"/>
    <w:rsid w:val="001C5F00"/>
    <w:rsid w:val="001D3E7A"/>
    <w:rsid w:val="001D42DF"/>
    <w:rsid w:val="001F02CB"/>
    <w:rsid w:val="002015D9"/>
    <w:rsid w:val="00204F92"/>
    <w:rsid w:val="00223D6C"/>
    <w:rsid w:val="002256D0"/>
    <w:rsid w:val="00225F91"/>
    <w:rsid w:val="002260E4"/>
    <w:rsid w:val="00227426"/>
    <w:rsid w:val="00235B36"/>
    <w:rsid w:val="002360C2"/>
    <w:rsid w:val="0023708E"/>
    <w:rsid w:val="00240DC3"/>
    <w:rsid w:val="00243FC9"/>
    <w:rsid w:val="0024491C"/>
    <w:rsid w:val="00245EF9"/>
    <w:rsid w:val="00252E60"/>
    <w:rsid w:val="002605F0"/>
    <w:rsid w:val="00262D6E"/>
    <w:rsid w:val="00274559"/>
    <w:rsid w:val="00280DB9"/>
    <w:rsid w:val="00281B7F"/>
    <w:rsid w:val="00284086"/>
    <w:rsid w:val="0028532C"/>
    <w:rsid w:val="0029547A"/>
    <w:rsid w:val="002A3516"/>
    <w:rsid w:val="002B7BD4"/>
    <w:rsid w:val="002C4011"/>
    <w:rsid w:val="002C5638"/>
    <w:rsid w:val="002C5E24"/>
    <w:rsid w:val="002C7FD5"/>
    <w:rsid w:val="002D6612"/>
    <w:rsid w:val="002E2788"/>
    <w:rsid w:val="00315717"/>
    <w:rsid w:val="0032171E"/>
    <w:rsid w:val="0032735E"/>
    <w:rsid w:val="003273E8"/>
    <w:rsid w:val="00331992"/>
    <w:rsid w:val="00332640"/>
    <w:rsid w:val="00337670"/>
    <w:rsid w:val="00337B9D"/>
    <w:rsid w:val="00341868"/>
    <w:rsid w:val="00342517"/>
    <w:rsid w:val="00346309"/>
    <w:rsid w:val="00347281"/>
    <w:rsid w:val="0035295B"/>
    <w:rsid w:val="0035429D"/>
    <w:rsid w:val="00357BBE"/>
    <w:rsid w:val="00364A7F"/>
    <w:rsid w:val="0036561F"/>
    <w:rsid w:val="00381C2A"/>
    <w:rsid w:val="00383E68"/>
    <w:rsid w:val="00385021"/>
    <w:rsid w:val="003A3D9A"/>
    <w:rsid w:val="003B031A"/>
    <w:rsid w:val="003B1E40"/>
    <w:rsid w:val="003B2031"/>
    <w:rsid w:val="003B5DC6"/>
    <w:rsid w:val="003C2129"/>
    <w:rsid w:val="003D0EB2"/>
    <w:rsid w:val="003D71BA"/>
    <w:rsid w:val="003E12F8"/>
    <w:rsid w:val="003E3C00"/>
    <w:rsid w:val="003E5382"/>
    <w:rsid w:val="003E68FB"/>
    <w:rsid w:val="003E7328"/>
    <w:rsid w:val="003F3030"/>
    <w:rsid w:val="003F48BC"/>
    <w:rsid w:val="003F55F0"/>
    <w:rsid w:val="00403473"/>
    <w:rsid w:val="00410BB4"/>
    <w:rsid w:val="004125F9"/>
    <w:rsid w:val="00413C0E"/>
    <w:rsid w:val="00424A81"/>
    <w:rsid w:val="0043255C"/>
    <w:rsid w:val="00455090"/>
    <w:rsid w:val="00457BF1"/>
    <w:rsid w:val="00460EE2"/>
    <w:rsid w:val="004624DC"/>
    <w:rsid w:val="00462D3E"/>
    <w:rsid w:val="00463351"/>
    <w:rsid w:val="00463F0E"/>
    <w:rsid w:val="00466248"/>
    <w:rsid w:val="00466A52"/>
    <w:rsid w:val="004700A1"/>
    <w:rsid w:val="00471DE2"/>
    <w:rsid w:val="00471FBE"/>
    <w:rsid w:val="00473268"/>
    <w:rsid w:val="0047479D"/>
    <w:rsid w:val="00485713"/>
    <w:rsid w:val="00486028"/>
    <w:rsid w:val="004866A6"/>
    <w:rsid w:val="0048721B"/>
    <w:rsid w:val="0048768A"/>
    <w:rsid w:val="00491B89"/>
    <w:rsid w:val="004B005A"/>
    <w:rsid w:val="004B111F"/>
    <w:rsid w:val="004B1D67"/>
    <w:rsid w:val="004B2A9F"/>
    <w:rsid w:val="004B3AA6"/>
    <w:rsid w:val="004C4A64"/>
    <w:rsid w:val="004C51CF"/>
    <w:rsid w:val="004C6AAD"/>
    <w:rsid w:val="004D0844"/>
    <w:rsid w:val="004E1F39"/>
    <w:rsid w:val="004E5684"/>
    <w:rsid w:val="004E6AB8"/>
    <w:rsid w:val="004F1D16"/>
    <w:rsid w:val="004F3080"/>
    <w:rsid w:val="004F49B1"/>
    <w:rsid w:val="004F7340"/>
    <w:rsid w:val="00504F57"/>
    <w:rsid w:val="0050781B"/>
    <w:rsid w:val="00522F2C"/>
    <w:rsid w:val="00523239"/>
    <w:rsid w:val="00524380"/>
    <w:rsid w:val="00525C83"/>
    <w:rsid w:val="00532506"/>
    <w:rsid w:val="00532BFC"/>
    <w:rsid w:val="005340BF"/>
    <w:rsid w:val="00534930"/>
    <w:rsid w:val="00536769"/>
    <w:rsid w:val="005470D6"/>
    <w:rsid w:val="00562911"/>
    <w:rsid w:val="005701AA"/>
    <w:rsid w:val="0057155B"/>
    <w:rsid w:val="00571F58"/>
    <w:rsid w:val="0059134A"/>
    <w:rsid w:val="00594BC3"/>
    <w:rsid w:val="00597026"/>
    <w:rsid w:val="005A7F37"/>
    <w:rsid w:val="005B2C29"/>
    <w:rsid w:val="005B5D6E"/>
    <w:rsid w:val="005C2DA1"/>
    <w:rsid w:val="005C5FA0"/>
    <w:rsid w:val="005C7D6F"/>
    <w:rsid w:val="005D0378"/>
    <w:rsid w:val="005D1ADF"/>
    <w:rsid w:val="005E6FEC"/>
    <w:rsid w:val="005F0448"/>
    <w:rsid w:val="005F09EC"/>
    <w:rsid w:val="005F1C65"/>
    <w:rsid w:val="005F5B1E"/>
    <w:rsid w:val="00600A4C"/>
    <w:rsid w:val="0060205E"/>
    <w:rsid w:val="00607341"/>
    <w:rsid w:val="00613C32"/>
    <w:rsid w:val="0061693C"/>
    <w:rsid w:val="00617F75"/>
    <w:rsid w:val="00620671"/>
    <w:rsid w:val="00621D46"/>
    <w:rsid w:val="00622C16"/>
    <w:rsid w:val="00626C4D"/>
    <w:rsid w:val="0063324E"/>
    <w:rsid w:val="0063434B"/>
    <w:rsid w:val="00641C82"/>
    <w:rsid w:val="00642A2E"/>
    <w:rsid w:val="00644F0B"/>
    <w:rsid w:val="00654A60"/>
    <w:rsid w:val="006600A8"/>
    <w:rsid w:val="00660CAF"/>
    <w:rsid w:val="006673F7"/>
    <w:rsid w:val="00674CFD"/>
    <w:rsid w:val="006771A6"/>
    <w:rsid w:val="00690E4E"/>
    <w:rsid w:val="006951FD"/>
    <w:rsid w:val="006A20C0"/>
    <w:rsid w:val="006A78F0"/>
    <w:rsid w:val="006A796B"/>
    <w:rsid w:val="006B16FD"/>
    <w:rsid w:val="006B3F91"/>
    <w:rsid w:val="006C2623"/>
    <w:rsid w:val="006C342C"/>
    <w:rsid w:val="006C6892"/>
    <w:rsid w:val="006D49A9"/>
    <w:rsid w:val="006F4A9D"/>
    <w:rsid w:val="00701F92"/>
    <w:rsid w:val="00703E6D"/>
    <w:rsid w:val="007125ED"/>
    <w:rsid w:val="00714C6C"/>
    <w:rsid w:val="007161A9"/>
    <w:rsid w:val="00722D5D"/>
    <w:rsid w:val="00724FA5"/>
    <w:rsid w:val="007272C8"/>
    <w:rsid w:val="00727DAA"/>
    <w:rsid w:val="00732A1E"/>
    <w:rsid w:val="00735536"/>
    <w:rsid w:val="007377B5"/>
    <w:rsid w:val="00737830"/>
    <w:rsid w:val="00740D2C"/>
    <w:rsid w:val="007415A8"/>
    <w:rsid w:val="007439CD"/>
    <w:rsid w:val="007517A5"/>
    <w:rsid w:val="007534FB"/>
    <w:rsid w:val="007538F1"/>
    <w:rsid w:val="007562BE"/>
    <w:rsid w:val="00757076"/>
    <w:rsid w:val="00763448"/>
    <w:rsid w:val="00764FCF"/>
    <w:rsid w:val="00767FFB"/>
    <w:rsid w:val="007759B2"/>
    <w:rsid w:val="00775E52"/>
    <w:rsid w:val="007800D2"/>
    <w:rsid w:val="007801F1"/>
    <w:rsid w:val="007803D5"/>
    <w:rsid w:val="007804FB"/>
    <w:rsid w:val="00786C0B"/>
    <w:rsid w:val="007903AA"/>
    <w:rsid w:val="00791C35"/>
    <w:rsid w:val="007A2B9E"/>
    <w:rsid w:val="007A73E8"/>
    <w:rsid w:val="007B3CEA"/>
    <w:rsid w:val="007B4A24"/>
    <w:rsid w:val="007B590B"/>
    <w:rsid w:val="007C4A02"/>
    <w:rsid w:val="007C5DF9"/>
    <w:rsid w:val="007C5F09"/>
    <w:rsid w:val="007C699A"/>
    <w:rsid w:val="007C7647"/>
    <w:rsid w:val="007D2545"/>
    <w:rsid w:val="007F17FF"/>
    <w:rsid w:val="007F2807"/>
    <w:rsid w:val="007F3F44"/>
    <w:rsid w:val="007F7284"/>
    <w:rsid w:val="00801529"/>
    <w:rsid w:val="00802B43"/>
    <w:rsid w:val="00805AFA"/>
    <w:rsid w:val="00807844"/>
    <w:rsid w:val="00811053"/>
    <w:rsid w:val="008178F5"/>
    <w:rsid w:val="008211BA"/>
    <w:rsid w:val="0082457D"/>
    <w:rsid w:val="0082730B"/>
    <w:rsid w:val="00833DB5"/>
    <w:rsid w:val="0084730C"/>
    <w:rsid w:val="00851641"/>
    <w:rsid w:val="00854789"/>
    <w:rsid w:val="00854BD9"/>
    <w:rsid w:val="00856378"/>
    <w:rsid w:val="0085667D"/>
    <w:rsid w:val="008626E6"/>
    <w:rsid w:val="0086604B"/>
    <w:rsid w:val="00866076"/>
    <w:rsid w:val="00872C3B"/>
    <w:rsid w:val="00877AF9"/>
    <w:rsid w:val="0088433F"/>
    <w:rsid w:val="008864FF"/>
    <w:rsid w:val="00890BBC"/>
    <w:rsid w:val="008A6F05"/>
    <w:rsid w:val="008A7CAE"/>
    <w:rsid w:val="008B175B"/>
    <w:rsid w:val="008B4111"/>
    <w:rsid w:val="008B482C"/>
    <w:rsid w:val="008B6998"/>
    <w:rsid w:val="008C1337"/>
    <w:rsid w:val="008C2EF6"/>
    <w:rsid w:val="008C3341"/>
    <w:rsid w:val="008C3E10"/>
    <w:rsid w:val="008C6A59"/>
    <w:rsid w:val="008D050B"/>
    <w:rsid w:val="008D1541"/>
    <w:rsid w:val="008D25C9"/>
    <w:rsid w:val="008D70BC"/>
    <w:rsid w:val="008E453A"/>
    <w:rsid w:val="008E59C0"/>
    <w:rsid w:val="008E600D"/>
    <w:rsid w:val="008E6651"/>
    <w:rsid w:val="008F18A2"/>
    <w:rsid w:val="0090219B"/>
    <w:rsid w:val="009036CE"/>
    <w:rsid w:val="00914CB4"/>
    <w:rsid w:val="00916614"/>
    <w:rsid w:val="00923D5B"/>
    <w:rsid w:val="0093070F"/>
    <w:rsid w:val="00934CF7"/>
    <w:rsid w:val="00943563"/>
    <w:rsid w:val="00944CB8"/>
    <w:rsid w:val="0095210C"/>
    <w:rsid w:val="00956674"/>
    <w:rsid w:val="009571AE"/>
    <w:rsid w:val="00961DAD"/>
    <w:rsid w:val="00965763"/>
    <w:rsid w:val="00966838"/>
    <w:rsid w:val="00967908"/>
    <w:rsid w:val="00970A85"/>
    <w:rsid w:val="00971AF7"/>
    <w:rsid w:val="00973C33"/>
    <w:rsid w:val="009762B9"/>
    <w:rsid w:val="00993FC0"/>
    <w:rsid w:val="00994399"/>
    <w:rsid w:val="00997F06"/>
    <w:rsid w:val="009A3EB8"/>
    <w:rsid w:val="009A682B"/>
    <w:rsid w:val="009B3734"/>
    <w:rsid w:val="009C65CD"/>
    <w:rsid w:val="009C6BEE"/>
    <w:rsid w:val="009C7ADA"/>
    <w:rsid w:val="009D194B"/>
    <w:rsid w:val="009D2731"/>
    <w:rsid w:val="009D40D1"/>
    <w:rsid w:val="009E18DA"/>
    <w:rsid w:val="009E4212"/>
    <w:rsid w:val="009E62FE"/>
    <w:rsid w:val="009F6BFB"/>
    <w:rsid w:val="009F7E39"/>
    <w:rsid w:val="00A032A8"/>
    <w:rsid w:val="00A03988"/>
    <w:rsid w:val="00A04A1D"/>
    <w:rsid w:val="00A111BC"/>
    <w:rsid w:val="00A11C55"/>
    <w:rsid w:val="00A137DB"/>
    <w:rsid w:val="00A13CAB"/>
    <w:rsid w:val="00A20C70"/>
    <w:rsid w:val="00A258F1"/>
    <w:rsid w:val="00A2645C"/>
    <w:rsid w:val="00A31DD1"/>
    <w:rsid w:val="00A31E16"/>
    <w:rsid w:val="00A34250"/>
    <w:rsid w:val="00A35A66"/>
    <w:rsid w:val="00A44B29"/>
    <w:rsid w:val="00A471B3"/>
    <w:rsid w:val="00A477C6"/>
    <w:rsid w:val="00A54421"/>
    <w:rsid w:val="00A54A19"/>
    <w:rsid w:val="00A55B6F"/>
    <w:rsid w:val="00A55CAD"/>
    <w:rsid w:val="00A60983"/>
    <w:rsid w:val="00A60AEE"/>
    <w:rsid w:val="00A634FD"/>
    <w:rsid w:val="00A711E7"/>
    <w:rsid w:val="00A75117"/>
    <w:rsid w:val="00A75AF3"/>
    <w:rsid w:val="00A776AB"/>
    <w:rsid w:val="00A83921"/>
    <w:rsid w:val="00A8674A"/>
    <w:rsid w:val="00A86EFA"/>
    <w:rsid w:val="00A874BC"/>
    <w:rsid w:val="00A94675"/>
    <w:rsid w:val="00A963A4"/>
    <w:rsid w:val="00A96B96"/>
    <w:rsid w:val="00AA4899"/>
    <w:rsid w:val="00AA7F50"/>
    <w:rsid w:val="00AB085D"/>
    <w:rsid w:val="00AB43A2"/>
    <w:rsid w:val="00AB5017"/>
    <w:rsid w:val="00AB62CF"/>
    <w:rsid w:val="00AB6CC1"/>
    <w:rsid w:val="00AB7DDF"/>
    <w:rsid w:val="00AC1CF7"/>
    <w:rsid w:val="00AC657D"/>
    <w:rsid w:val="00AD0710"/>
    <w:rsid w:val="00AD0E70"/>
    <w:rsid w:val="00AD577A"/>
    <w:rsid w:val="00AD77C5"/>
    <w:rsid w:val="00AE1BD2"/>
    <w:rsid w:val="00AE4548"/>
    <w:rsid w:val="00AE67CC"/>
    <w:rsid w:val="00AF165E"/>
    <w:rsid w:val="00AF4328"/>
    <w:rsid w:val="00B02A0F"/>
    <w:rsid w:val="00B03FAE"/>
    <w:rsid w:val="00B05255"/>
    <w:rsid w:val="00B073C6"/>
    <w:rsid w:val="00B10838"/>
    <w:rsid w:val="00B13836"/>
    <w:rsid w:val="00B13CD0"/>
    <w:rsid w:val="00B149A5"/>
    <w:rsid w:val="00B21A39"/>
    <w:rsid w:val="00B222D8"/>
    <w:rsid w:val="00B30C42"/>
    <w:rsid w:val="00B352A4"/>
    <w:rsid w:val="00B368E1"/>
    <w:rsid w:val="00B40243"/>
    <w:rsid w:val="00B42E8C"/>
    <w:rsid w:val="00B56F36"/>
    <w:rsid w:val="00B763F0"/>
    <w:rsid w:val="00B76836"/>
    <w:rsid w:val="00B8118A"/>
    <w:rsid w:val="00B83632"/>
    <w:rsid w:val="00B86FA0"/>
    <w:rsid w:val="00B87A66"/>
    <w:rsid w:val="00B94CF8"/>
    <w:rsid w:val="00B94F77"/>
    <w:rsid w:val="00B96013"/>
    <w:rsid w:val="00BA0665"/>
    <w:rsid w:val="00BA0EA7"/>
    <w:rsid w:val="00BB0546"/>
    <w:rsid w:val="00BB0DD1"/>
    <w:rsid w:val="00BB2301"/>
    <w:rsid w:val="00BB42FE"/>
    <w:rsid w:val="00BB766A"/>
    <w:rsid w:val="00BC02D4"/>
    <w:rsid w:val="00BC29C1"/>
    <w:rsid w:val="00BC4165"/>
    <w:rsid w:val="00BC46DC"/>
    <w:rsid w:val="00BC7876"/>
    <w:rsid w:val="00BE0D94"/>
    <w:rsid w:val="00BE2FAB"/>
    <w:rsid w:val="00BE4C7E"/>
    <w:rsid w:val="00BF3140"/>
    <w:rsid w:val="00BF4817"/>
    <w:rsid w:val="00BF7E1B"/>
    <w:rsid w:val="00C07E49"/>
    <w:rsid w:val="00C17444"/>
    <w:rsid w:val="00C22B10"/>
    <w:rsid w:val="00C24018"/>
    <w:rsid w:val="00C264F1"/>
    <w:rsid w:val="00C301E3"/>
    <w:rsid w:val="00C31C21"/>
    <w:rsid w:val="00C41330"/>
    <w:rsid w:val="00C444FD"/>
    <w:rsid w:val="00C463C7"/>
    <w:rsid w:val="00C46D9C"/>
    <w:rsid w:val="00C55CA8"/>
    <w:rsid w:val="00C56F62"/>
    <w:rsid w:val="00C604CB"/>
    <w:rsid w:val="00C620E4"/>
    <w:rsid w:val="00C63EEF"/>
    <w:rsid w:val="00C71178"/>
    <w:rsid w:val="00C7673E"/>
    <w:rsid w:val="00C8106D"/>
    <w:rsid w:val="00C818D6"/>
    <w:rsid w:val="00C87AAB"/>
    <w:rsid w:val="00CA2105"/>
    <w:rsid w:val="00CA386C"/>
    <w:rsid w:val="00CA52DA"/>
    <w:rsid w:val="00CA6F22"/>
    <w:rsid w:val="00CB090E"/>
    <w:rsid w:val="00CB4522"/>
    <w:rsid w:val="00CB6726"/>
    <w:rsid w:val="00CC0DD4"/>
    <w:rsid w:val="00CC3C83"/>
    <w:rsid w:val="00CC5F21"/>
    <w:rsid w:val="00CD10AD"/>
    <w:rsid w:val="00CD777B"/>
    <w:rsid w:val="00CE091C"/>
    <w:rsid w:val="00CE51FF"/>
    <w:rsid w:val="00CE520C"/>
    <w:rsid w:val="00CE5509"/>
    <w:rsid w:val="00D023BE"/>
    <w:rsid w:val="00D1219D"/>
    <w:rsid w:val="00D17C5B"/>
    <w:rsid w:val="00D21B15"/>
    <w:rsid w:val="00D21D7D"/>
    <w:rsid w:val="00D30CEE"/>
    <w:rsid w:val="00D3292E"/>
    <w:rsid w:val="00D4277A"/>
    <w:rsid w:val="00D531AD"/>
    <w:rsid w:val="00D536FE"/>
    <w:rsid w:val="00D54279"/>
    <w:rsid w:val="00D54331"/>
    <w:rsid w:val="00D57B22"/>
    <w:rsid w:val="00D60821"/>
    <w:rsid w:val="00D621C7"/>
    <w:rsid w:val="00D65345"/>
    <w:rsid w:val="00D65F8D"/>
    <w:rsid w:val="00D71748"/>
    <w:rsid w:val="00D723DA"/>
    <w:rsid w:val="00D7485C"/>
    <w:rsid w:val="00D74DB4"/>
    <w:rsid w:val="00D7545F"/>
    <w:rsid w:val="00D761A7"/>
    <w:rsid w:val="00D80065"/>
    <w:rsid w:val="00D93A34"/>
    <w:rsid w:val="00D93F84"/>
    <w:rsid w:val="00D94097"/>
    <w:rsid w:val="00DA111E"/>
    <w:rsid w:val="00DA1444"/>
    <w:rsid w:val="00DB225B"/>
    <w:rsid w:val="00DB2E25"/>
    <w:rsid w:val="00DB2FA9"/>
    <w:rsid w:val="00DB6B3E"/>
    <w:rsid w:val="00DB6FB4"/>
    <w:rsid w:val="00DB79DF"/>
    <w:rsid w:val="00DC31CB"/>
    <w:rsid w:val="00DC362D"/>
    <w:rsid w:val="00DD5A69"/>
    <w:rsid w:val="00DE1F77"/>
    <w:rsid w:val="00DF5846"/>
    <w:rsid w:val="00E05B6B"/>
    <w:rsid w:val="00E06CA0"/>
    <w:rsid w:val="00E07C14"/>
    <w:rsid w:val="00E1399E"/>
    <w:rsid w:val="00E1436F"/>
    <w:rsid w:val="00E37F12"/>
    <w:rsid w:val="00E425BF"/>
    <w:rsid w:val="00E43170"/>
    <w:rsid w:val="00E4429B"/>
    <w:rsid w:val="00E44DB8"/>
    <w:rsid w:val="00E45167"/>
    <w:rsid w:val="00E50BAD"/>
    <w:rsid w:val="00E53674"/>
    <w:rsid w:val="00E64492"/>
    <w:rsid w:val="00E646C7"/>
    <w:rsid w:val="00E72383"/>
    <w:rsid w:val="00E80435"/>
    <w:rsid w:val="00E81F6E"/>
    <w:rsid w:val="00E90031"/>
    <w:rsid w:val="00E912C1"/>
    <w:rsid w:val="00E91B73"/>
    <w:rsid w:val="00E94A7C"/>
    <w:rsid w:val="00E9632C"/>
    <w:rsid w:val="00E97748"/>
    <w:rsid w:val="00EA0E4B"/>
    <w:rsid w:val="00EA3DE4"/>
    <w:rsid w:val="00EA64E5"/>
    <w:rsid w:val="00EB0343"/>
    <w:rsid w:val="00EB1B44"/>
    <w:rsid w:val="00EB276D"/>
    <w:rsid w:val="00EB5C3C"/>
    <w:rsid w:val="00ED2612"/>
    <w:rsid w:val="00ED59A9"/>
    <w:rsid w:val="00ED79FD"/>
    <w:rsid w:val="00EE2755"/>
    <w:rsid w:val="00EE2F04"/>
    <w:rsid w:val="00EE40C3"/>
    <w:rsid w:val="00EE534A"/>
    <w:rsid w:val="00EE6433"/>
    <w:rsid w:val="00EF0B57"/>
    <w:rsid w:val="00EF433C"/>
    <w:rsid w:val="00F02376"/>
    <w:rsid w:val="00F03030"/>
    <w:rsid w:val="00F04927"/>
    <w:rsid w:val="00F108CE"/>
    <w:rsid w:val="00F1139E"/>
    <w:rsid w:val="00F11CC7"/>
    <w:rsid w:val="00F155F6"/>
    <w:rsid w:val="00F176C5"/>
    <w:rsid w:val="00F22B7B"/>
    <w:rsid w:val="00F257D5"/>
    <w:rsid w:val="00F25DDC"/>
    <w:rsid w:val="00F302C7"/>
    <w:rsid w:val="00F36E48"/>
    <w:rsid w:val="00F436CF"/>
    <w:rsid w:val="00F44383"/>
    <w:rsid w:val="00F45274"/>
    <w:rsid w:val="00F4643D"/>
    <w:rsid w:val="00F471F0"/>
    <w:rsid w:val="00F515EE"/>
    <w:rsid w:val="00F5606B"/>
    <w:rsid w:val="00F56A73"/>
    <w:rsid w:val="00F613DF"/>
    <w:rsid w:val="00F62AD1"/>
    <w:rsid w:val="00F63768"/>
    <w:rsid w:val="00F64D2F"/>
    <w:rsid w:val="00F665BE"/>
    <w:rsid w:val="00F677DB"/>
    <w:rsid w:val="00F7001F"/>
    <w:rsid w:val="00F70A24"/>
    <w:rsid w:val="00F84055"/>
    <w:rsid w:val="00F86017"/>
    <w:rsid w:val="00F91296"/>
    <w:rsid w:val="00F93D0A"/>
    <w:rsid w:val="00F97BA6"/>
    <w:rsid w:val="00F97D83"/>
    <w:rsid w:val="00FA0D9A"/>
    <w:rsid w:val="00FA59D5"/>
    <w:rsid w:val="00FA760C"/>
    <w:rsid w:val="00FB147C"/>
    <w:rsid w:val="00FB2709"/>
    <w:rsid w:val="00FB2AF4"/>
    <w:rsid w:val="00FC117C"/>
    <w:rsid w:val="00FC4261"/>
    <w:rsid w:val="00FC4FD8"/>
    <w:rsid w:val="00FE1EC5"/>
    <w:rsid w:val="00FE240F"/>
    <w:rsid w:val="00FE570B"/>
    <w:rsid w:val="00FE7746"/>
    <w:rsid w:val="00FF1901"/>
    <w:rsid w:val="00FF1A7E"/>
    <w:rsid w:val="00FF49EA"/>
    <w:rsid w:val="00FF4F27"/>
    <w:rsid w:val="00FF765A"/>
    <w:rsid w:val="010358B2"/>
    <w:rsid w:val="010567D9"/>
    <w:rsid w:val="01091E16"/>
    <w:rsid w:val="01175B60"/>
    <w:rsid w:val="011D3344"/>
    <w:rsid w:val="012D5F79"/>
    <w:rsid w:val="01410030"/>
    <w:rsid w:val="0157700C"/>
    <w:rsid w:val="016B4241"/>
    <w:rsid w:val="017C44D1"/>
    <w:rsid w:val="017D09F2"/>
    <w:rsid w:val="01885065"/>
    <w:rsid w:val="01BD5DF4"/>
    <w:rsid w:val="01CF0B92"/>
    <w:rsid w:val="01D4735D"/>
    <w:rsid w:val="01DE7FC8"/>
    <w:rsid w:val="01F46D56"/>
    <w:rsid w:val="020B0CA3"/>
    <w:rsid w:val="021D0FFE"/>
    <w:rsid w:val="02200ABF"/>
    <w:rsid w:val="023907B0"/>
    <w:rsid w:val="023C0C98"/>
    <w:rsid w:val="023F4E02"/>
    <w:rsid w:val="026B1ED6"/>
    <w:rsid w:val="02725D02"/>
    <w:rsid w:val="027448C1"/>
    <w:rsid w:val="027B4718"/>
    <w:rsid w:val="028D1EB9"/>
    <w:rsid w:val="029C7EFD"/>
    <w:rsid w:val="02A733A2"/>
    <w:rsid w:val="02AC0C4D"/>
    <w:rsid w:val="02B14CA8"/>
    <w:rsid w:val="02CD27A8"/>
    <w:rsid w:val="02E1031D"/>
    <w:rsid w:val="02FC5869"/>
    <w:rsid w:val="03026AD6"/>
    <w:rsid w:val="0317511F"/>
    <w:rsid w:val="031A2823"/>
    <w:rsid w:val="03231B33"/>
    <w:rsid w:val="0329678E"/>
    <w:rsid w:val="03420A28"/>
    <w:rsid w:val="03475AAF"/>
    <w:rsid w:val="0395440F"/>
    <w:rsid w:val="039A6230"/>
    <w:rsid w:val="03A56875"/>
    <w:rsid w:val="03A74FDF"/>
    <w:rsid w:val="03B93D76"/>
    <w:rsid w:val="03CA638C"/>
    <w:rsid w:val="03D96BFE"/>
    <w:rsid w:val="03E20C37"/>
    <w:rsid w:val="03E24D50"/>
    <w:rsid w:val="04034076"/>
    <w:rsid w:val="041B3550"/>
    <w:rsid w:val="041C2AD0"/>
    <w:rsid w:val="04210014"/>
    <w:rsid w:val="043A21D4"/>
    <w:rsid w:val="04403C62"/>
    <w:rsid w:val="045062B8"/>
    <w:rsid w:val="04656C99"/>
    <w:rsid w:val="04717777"/>
    <w:rsid w:val="04756A6F"/>
    <w:rsid w:val="04764CCF"/>
    <w:rsid w:val="047E006C"/>
    <w:rsid w:val="047E7038"/>
    <w:rsid w:val="048059D5"/>
    <w:rsid w:val="048E76C4"/>
    <w:rsid w:val="048F78C6"/>
    <w:rsid w:val="04911AC8"/>
    <w:rsid w:val="04981AFF"/>
    <w:rsid w:val="04A21A2A"/>
    <w:rsid w:val="04B45A7F"/>
    <w:rsid w:val="04D87656"/>
    <w:rsid w:val="04DA46E1"/>
    <w:rsid w:val="04E20DD1"/>
    <w:rsid w:val="04E90BD6"/>
    <w:rsid w:val="04F063E1"/>
    <w:rsid w:val="04F6192B"/>
    <w:rsid w:val="04FC0B59"/>
    <w:rsid w:val="05045DBE"/>
    <w:rsid w:val="051545F8"/>
    <w:rsid w:val="05196FE8"/>
    <w:rsid w:val="05477BB0"/>
    <w:rsid w:val="054E53C3"/>
    <w:rsid w:val="05597DA3"/>
    <w:rsid w:val="055F7B18"/>
    <w:rsid w:val="05636AC3"/>
    <w:rsid w:val="056F114B"/>
    <w:rsid w:val="05712B42"/>
    <w:rsid w:val="05A339C0"/>
    <w:rsid w:val="05A95A39"/>
    <w:rsid w:val="05AE6AD5"/>
    <w:rsid w:val="05B96B4E"/>
    <w:rsid w:val="05C57383"/>
    <w:rsid w:val="05C86F55"/>
    <w:rsid w:val="05FF216B"/>
    <w:rsid w:val="060906FD"/>
    <w:rsid w:val="06222982"/>
    <w:rsid w:val="062F259D"/>
    <w:rsid w:val="066862EC"/>
    <w:rsid w:val="06824DC3"/>
    <w:rsid w:val="068347D0"/>
    <w:rsid w:val="06B76D73"/>
    <w:rsid w:val="06B8290A"/>
    <w:rsid w:val="06C455CF"/>
    <w:rsid w:val="06CB0CBF"/>
    <w:rsid w:val="06D01323"/>
    <w:rsid w:val="06DC2E8B"/>
    <w:rsid w:val="06E53B1D"/>
    <w:rsid w:val="06FA1EB8"/>
    <w:rsid w:val="07055BE6"/>
    <w:rsid w:val="072036B4"/>
    <w:rsid w:val="07346280"/>
    <w:rsid w:val="073716DD"/>
    <w:rsid w:val="07432799"/>
    <w:rsid w:val="07474359"/>
    <w:rsid w:val="07490DD6"/>
    <w:rsid w:val="074A5C00"/>
    <w:rsid w:val="074B78AB"/>
    <w:rsid w:val="07616D6D"/>
    <w:rsid w:val="07621172"/>
    <w:rsid w:val="07956263"/>
    <w:rsid w:val="079647B5"/>
    <w:rsid w:val="07B739FA"/>
    <w:rsid w:val="07B926C2"/>
    <w:rsid w:val="07C3377E"/>
    <w:rsid w:val="07CC2C74"/>
    <w:rsid w:val="07E0043C"/>
    <w:rsid w:val="07E06F57"/>
    <w:rsid w:val="08025233"/>
    <w:rsid w:val="080800F3"/>
    <w:rsid w:val="082647B8"/>
    <w:rsid w:val="08265CF0"/>
    <w:rsid w:val="08327FE6"/>
    <w:rsid w:val="083D1619"/>
    <w:rsid w:val="08784B6C"/>
    <w:rsid w:val="08821A9C"/>
    <w:rsid w:val="0897712C"/>
    <w:rsid w:val="08AA2000"/>
    <w:rsid w:val="08B30107"/>
    <w:rsid w:val="08C01D56"/>
    <w:rsid w:val="08DB073E"/>
    <w:rsid w:val="08DE3553"/>
    <w:rsid w:val="08F278B8"/>
    <w:rsid w:val="08F80725"/>
    <w:rsid w:val="092C6907"/>
    <w:rsid w:val="093843DD"/>
    <w:rsid w:val="094230DC"/>
    <w:rsid w:val="09545063"/>
    <w:rsid w:val="095E0E59"/>
    <w:rsid w:val="09687168"/>
    <w:rsid w:val="09732B03"/>
    <w:rsid w:val="097F065A"/>
    <w:rsid w:val="097F3EBB"/>
    <w:rsid w:val="09891CE5"/>
    <w:rsid w:val="099E5015"/>
    <w:rsid w:val="09A34878"/>
    <w:rsid w:val="09CE7975"/>
    <w:rsid w:val="09D333AB"/>
    <w:rsid w:val="09D83C8A"/>
    <w:rsid w:val="09FE2009"/>
    <w:rsid w:val="0A0215CA"/>
    <w:rsid w:val="0A140F7A"/>
    <w:rsid w:val="0A1E22DE"/>
    <w:rsid w:val="0A2A2BC5"/>
    <w:rsid w:val="0A4C0513"/>
    <w:rsid w:val="0A5A3BD5"/>
    <w:rsid w:val="0A5B65A1"/>
    <w:rsid w:val="0A5E0A8D"/>
    <w:rsid w:val="0A7D3976"/>
    <w:rsid w:val="0A9D0885"/>
    <w:rsid w:val="0A9E7973"/>
    <w:rsid w:val="0AA756FD"/>
    <w:rsid w:val="0AB03E53"/>
    <w:rsid w:val="0AC14C9F"/>
    <w:rsid w:val="0AC32834"/>
    <w:rsid w:val="0AEE405A"/>
    <w:rsid w:val="0AF0085A"/>
    <w:rsid w:val="0AF20EBA"/>
    <w:rsid w:val="0AFA304B"/>
    <w:rsid w:val="0B003C93"/>
    <w:rsid w:val="0B147891"/>
    <w:rsid w:val="0B384045"/>
    <w:rsid w:val="0B3D7760"/>
    <w:rsid w:val="0B4238D1"/>
    <w:rsid w:val="0B4E7FAF"/>
    <w:rsid w:val="0B4F5D7A"/>
    <w:rsid w:val="0B57147F"/>
    <w:rsid w:val="0B59526D"/>
    <w:rsid w:val="0B8217A7"/>
    <w:rsid w:val="0B982CEB"/>
    <w:rsid w:val="0B9A0DF3"/>
    <w:rsid w:val="0BB20D74"/>
    <w:rsid w:val="0BBE6C5C"/>
    <w:rsid w:val="0BC40B3A"/>
    <w:rsid w:val="0BC56356"/>
    <w:rsid w:val="0BCA072B"/>
    <w:rsid w:val="0BE24160"/>
    <w:rsid w:val="0BEA7A78"/>
    <w:rsid w:val="0BEE10B3"/>
    <w:rsid w:val="0BEF6B49"/>
    <w:rsid w:val="0BF07E05"/>
    <w:rsid w:val="0BFB0445"/>
    <w:rsid w:val="0C0C154F"/>
    <w:rsid w:val="0C152E54"/>
    <w:rsid w:val="0C2869AF"/>
    <w:rsid w:val="0C4D0EE7"/>
    <w:rsid w:val="0C5C1EF2"/>
    <w:rsid w:val="0C695FEE"/>
    <w:rsid w:val="0C756849"/>
    <w:rsid w:val="0C7E5800"/>
    <w:rsid w:val="0C7F1085"/>
    <w:rsid w:val="0C8E76FA"/>
    <w:rsid w:val="0C9621A1"/>
    <w:rsid w:val="0C9E1388"/>
    <w:rsid w:val="0CAB1A37"/>
    <w:rsid w:val="0CBE44D6"/>
    <w:rsid w:val="0CC03EC0"/>
    <w:rsid w:val="0CC44639"/>
    <w:rsid w:val="0CCB3AAA"/>
    <w:rsid w:val="0CD81E57"/>
    <w:rsid w:val="0CDB5E31"/>
    <w:rsid w:val="0D07357E"/>
    <w:rsid w:val="0D0A1882"/>
    <w:rsid w:val="0D1622D8"/>
    <w:rsid w:val="0D1E5593"/>
    <w:rsid w:val="0D397769"/>
    <w:rsid w:val="0D4B4C7A"/>
    <w:rsid w:val="0D617CD2"/>
    <w:rsid w:val="0D625363"/>
    <w:rsid w:val="0D6D18A8"/>
    <w:rsid w:val="0D6F1E77"/>
    <w:rsid w:val="0D852A8F"/>
    <w:rsid w:val="0DAD4096"/>
    <w:rsid w:val="0DBA1EA2"/>
    <w:rsid w:val="0DBF5D40"/>
    <w:rsid w:val="0DC734B7"/>
    <w:rsid w:val="0DD513A6"/>
    <w:rsid w:val="0DE61DEE"/>
    <w:rsid w:val="0DEF2B92"/>
    <w:rsid w:val="0E074F17"/>
    <w:rsid w:val="0E1A09FC"/>
    <w:rsid w:val="0E3715AD"/>
    <w:rsid w:val="0E444F68"/>
    <w:rsid w:val="0E5669CC"/>
    <w:rsid w:val="0E605813"/>
    <w:rsid w:val="0E653FC6"/>
    <w:rsid w:val="0EA27FF1"/>
    <w:rsid w:val="0EB77F16"/>
    <w:rsid w:val="0ED50D56"/>
    <w:rsid w:val="0ED92793"/>
    <w:rsid w:val="0EDA67FD"/>
    <w:rsid w:val="0EEA3DF6"/>
    <w:rsid w:val="0F133A4D"/>
    <w:rsid w:val="0F167E67"/>
    <w:rsid w:val="0F32642B"/>
    <w:rsid w:val="0F3869C6"/>
    <w:rsid w:val="0F6E2139"/>
    <w:rsid w:val="0F8D3247"/>
    <w:rsid w:val="0F8F6310"/>
    <w:rsid w:val="0F9173D2"/>
    <w:rsid w:val="0F983C03"/>
    <w:rsid w:val="0FB74B05"/>
    <w:rsid w:val="0FD45FF9"/>
    <w:rsid w:val="0FD61B7B"/>
    <w:rsid w:val="0FDF5ACE"/>
    <w:rsid w:val="0FF653EE"/>
    <w:rsid w:val="0FFA3053"/>
    <w:rsid w:val="0FFC4455"/>
    <w:rsid w:val="100E0BE0"/>
    <w:rsid w:val="101E4A41"/>
    <w:rsid w:val="10250CA7"/>
    <w:rsid w:val="10345232"/>
    <w:rsid w:val="103B0DDF"/>
    <w:rsid w:val="1050726A"/>
    <w:rsid w:val="10631DE9"/>
    <w:rsid w:val="10726E9B"/>
    <w:rsid w:val="108F632F"/>
    <w:rsid w:val="10933284"/>
    <w:rsid w:val="10975474"/>
    <w:rsid w:val="10A42C36"/>
    <w:rsid w:val="10A90C42"/>
    <w:rsid w:val="10AE47E3"/>
    <w:rsid w:val="10BA46D9"/>
    <w:rsid w:val="10C208F3"/>
    <w:rsid w:val="10C3357D"/>
    <w:rsid w:val="10C42C5F"/>
    <w:rsid w:val="10CC018F"/>
    <w:rsid w:val="10CE4DB3"/>
    <w:rsid w:val="10CF132C"/>
    <w:rsid w:val="10CF3CC2"/>
    <w:rsid w:val="10D636D4"/>
    <w:rsid w:val="10E16C1F"/>
    <w:rsid w:val="110075DA"/>
    <w:rsid w:val="110D5292"/>
    <w:rsid w:val="11162911"/>
    <w:rsid w:val="111B40CE"/>
    <w:rsid w:val="11220546"/>
    <w:rsid w:val="11276FA8"/>
    <w:rsid w:val="113D4A90"/>
    <w:rsid w:val="11426CB3"/>
    <w:rsid w:val="11551FE1"/>
    <w:rsid w:val="116A6EE2"/>
    <w:rsid w:val="116B5BF0"/>
    <w:rsid w:val="117117D4"/>
    <w:rsid w:val="11756128"/>
    <w:rsid w:val="1178778B"/>
    <w:rsid w:val="117A65BF"/>
    <w:rsid w:val="119871F7"/>
    <w:rsid w:val="119E78CE"/>
    <w:rsid w:val="11B2460D"/>
    <w:rsid w:val="11BB6D82"/>
    <w:rsid w:val="11C86E94"/>
    <w:rsid w:val="11DA68AB"/>
    <w:rsid w:val="11DD3DE9"/>
    <w:rsid w:val="11EC3A38"/>
    <w:rsid w:val="11FC63D9"/>
    <w:rsid w:val="120B26DD"/>
    <w:rsid w:val="120D2384"/>
    <w:rsid w:val="120E5B94"/>
    <w:rsid w:val="12136A07"/>
    <w:rsid w:val="1232579A"/>
    <w:rsid w:val="123B001A"/>
    <w:rsid w:val="1249547E"/>
    <w:rsid w:val="124D4262"/>
    <w:rsid w:val="12625C18"/>
    <w:rsid w:val="1274275D"/>
    <w:rsid w:val="12790BF9"/>
    <w:rsid w:val="128E2ED3"/>
    <w:rsid w:val="129B1CEC"/>
    <w:rsid w:val="12AB71DF"/>
    <w:rsid w:val="12CD086E"/>
    <w:rsid w:val="12EBBCDC"/>
    <w:rsid w:val="12F8010A"/>
    <w:rsid w:val="12F81635"/>
    <w:rsid w:val="13236607"/>
    <w:rsid w:val="1331578D"/>
    <w:rsid w:val="13364A6F"/>
    <w:rsid w:val="134C0C79"/>
    <w:rsid w:val="134E56D5"/>
    <w:rsid w:val="134E6D34"/>
    <w:rsid w:val="13534B8D"/>
    <w:rsid w:val="1360319F"/>
    <w:rsid w:val="1364430D"/>
    <w:rsid w:val="13701C9F"/>
    <w:rsid w:val="13721605"/>
    <w:rsid w:val="13933070"/>
    <w:rsid w:val="13960AA4"/>
    <w:rsid w:val="13C95863"/>
    <w:rsid w:val="13E919C2"/>
    <w:rsid w:val="13EB76E8"/>
    <w:rsid w:val="14052040"/>
    <w:rsid w:val="14314BE4"/>
    <w:rsid w:val="14423CF0"/>
    <w:rsid w:val="14570DBC"/>
    <w:rsid w:val="1467242C"/>
    <w:rsid w:val="14743081"/>
    <w:rsid w:val="14806DFA"/>
    <w:rsid w:val="14842DED"/>
    <w:rsid w:val="148E1F0E"/>
    <w:rsid w:val="14911435"/>
    <w:rsid w:val="14B013C1"/>
    <w:rsid w:val="14C065AD"/>
    <w:rsid w:val="14C44E9C"/>
    <w:rsid w:val="14C46042"/>
    <w:rsid w:val="14DC065D"/>
    <w:rsid w:val="14F672E5"/>
    <w:rsid w:val="150C33B0"/>
    <w:rsid w:val="15265AB9"/>
    <w:rsid w:val="1549623A"/>
    <w:rsid w:val="155F7D2F"/>
    <w:rsid w:val="15612949"/>
    <w:rsid w:val="15646BFB"/>
    <w:rsid w:val="156F653B"/>
    <w:rsid w:val="15882619"/>
    <w:rsid w:val="15967CB1"/>
    <w:rsid w:val="159B2C9C"/>
    <w:rsid w:val="15AE392C"/>
    <w:rsid w:val="15B02D02"/>
    <w:rsid w:val="15C710C8"/>
    <w:rsid w:val="15D15ACC"/>
    <w:rsid w:val="15D8645B"/>
    <w:rsid w:val="15DD2AA0"/>
    <w:rsid w:val="15ED09F8"/>
    <w:rsid w:val="15FB1677"/>
    <w:rsid w:val="16082D2D"/>
    <w:rsid w:val="161F49A1"/>
    <w:rsid w:val="16410BAF"/>
    <w:rsid w:val="164D73F9"/>
    <w:rsid w:val="16520B2D"/>
    <w:rsid w:val="16692461"/>
    <w:rsid w:val="16832E47"/>
    <w:rsid w:val="16951A38"/>
    <w:rsid w:val="16A05393"/>
    <w:rsid w:val="16A529A5"/>
    <w:rsid w:val="16E15A24"/>
    <w:rsid w:val="170E1E3C"/>
    <w:rsid w:val="171343D3"/>
    <w:rsid w:val="17135EB5"/>
    <w:rsid w:val="17137F5D"/>
    <w:rsid w:val="172005F8"/>
    <w:rsid w:val="1732642E"/>
    <w:rsid w:val="1741209D"/>
    <w:rsid w:val="17492C16"/>
    <w:rsid w:val="174A6B51"/>
    <w:rsid w:val="175D2523"/>
    <w:rsid w:val="17733477"/>
    <w:rsid w:val="17734833"/>
    <w:rsid w:val="1785591F"/>
    <w:rsid w:val="178640B0"/>
    <w:rsid w:val="179F6AC6"/>
    <w:rsid w:val="17BF58E1"/>
    <w:rsid w:val="17C20386"/>
    <w:rsid w:val="17CA50B8"/>
    <w:rsid w:val="17CD11E5"/>
    <w:rsid w:val="17D63DED"/>
    <w:rsid w:val="17DA5EDB"/>
    <w:rsid w:val="1817029E"/>
    <w:rsid w:val="181C26CE"/>
    <w:rsid w:val="182C1626"/>
    <w:rsid w:val="1832394E"/>
    <w:rsid w:val="1850071C"/>
    <w:rsid w:val="18530C97"/>
    <w:rsid w:val="1854505C"/>
    <w:rsid w:val="18606084"/>
    <w:rsid w:val="18727ABB"/>
    <w:rsid w:val="187B5FA3"/>
    <w:rsid w:val="188C4E86"/>
    <w:rsid w:val="189C3B46"/>
    <w:rsid w:val="189D20A8"/>
    <w:rsid w:val="18A66D40"/>
    <w:rsid w:val="18A870BD"/>
    <w:rsid w:val="18AE7089"/>
    <w:rsid w:val="18B27D7E"/>
    <w:rsid w:val="18B55D89"/>
    <w:rsid w:val="18C61D92"/>
    <w:rsid w:val="18CC5838"/>
    <w:rsid w:val="18F12AFC"/>
    <w:rsid w:val="18F1676E"/>
    <w:rsid w:val="18FA4ADE"/>
    <w:rsid w:val="191724BE"/>
    <w:rsid w:val="19194D13"/>
    <w:rsid w:val="19272616"/>
    <w:rsid w:val="193733CD"/>
    <w:rsid w:val="19482447"/>
    <w:rsid w:val="19504D0E"/>
    <w:rsid w:val="199B1FB6"/>
    <w:rsid w:val="19A32800"/>
    <w:rsid w:val="19A63505"/>
    <w:rsid w:val="19A805F0"/>
    <w:rsid w:val="19AF35F4"/>
    <w:rsid w:val="19B35367"/>
    <w:rsid w:val="19BA4820"/>
    <w:rsid w:val="1A07319C"/>
    <w:rsid w:val="1A0A6EFC"/>
    <w:rsid w:val="1A182C39"/>
    <w:rsid w:val="1A1D658C"/>
    <w:rsid w:val="1A446399"/>
    <w:rsid w:val="1A496165"/>
    <w:rsid w:val="1A587471"/>
    <w:rsid w:val="1A5A3ECB"/>
    <w:rsid w:val="1A657865"/>
    <w:rsid w:val="1A6735DD"/>
    <w:rsid w:val="1A743B7B"/>
    <w:rsid w:val="1A7C1E4F"/>
    <w:rsid w:val="1AAA245C"/>
    <w:rsid w:val="1AC77372"/>
    <w:rsid w:val="1AC82087"/>
    <w:rsid w:val="1AC9749B"/>
    <w:rsid w:val="1ACC11CA"/>
    <w:rsid w:val="1ACF4287"/>
    <w:rsid w:val="1ADE22D4"/>
    <w:rsid w:val="1AE14473"/>
    <w:rsid w:val="1AE46E04"/>
    <w:rsid w:val="1AEF1FDB"/>
    <w:rsid w:val="1AF747AA"/>
    <w:rsid w:val="1B0118C8"/>
    <w:rsid w:val="1B6E66FB"/>
    <w:rsid w:val="1B726903"/>
    <w:rsid w:val="1B8141B9"/>
    <w:rsid w:val="1BB64420"/>
    <w:rsid w:val="1BC87008"/>
    <w:rsid w:val="1BD30113"/>
    <w:rsid w:val="1BDF4295"/>
    <w:rsid w:val="1BE20B18"/>
    <w:rsid w:val="1BE903CE"/>
    <w:rsid w:val="1BF37087"/>
    <w:rsid w:val="1BFC55E9"/>
    <w:rsid w:val="1C0164EF"/>
    <w:rsid w:val="1C1B2BDB"/>
    <w:rsid w:val="1C1E137E"/>
    <w:rsid w:val="1C2B20AB"/>
    <w:rsid w:val="1C394ADA"/>
    <w:rsid w:val="1C3C1FC3"/>
    <w:rsid w:val="1C574D14"/>
    <w:rsid w:val="1C5F17BF"/>
    <w:rsid w:val="1C621AE3"/>
    <w:rsid w:val="1C6C76D3"/>
    <w:rsid w:val="1C9B4FA4"/>
    <w:rsid w:val="1C9E783F"/>
    <w:rsid w:val="1C9F2C50"/>
    <w:rsid w:val="1C9F2FBD"/>
    <w:rsid w:val="1CB15565"/>
    <w:rsid w:val="1CCF5699"/>
    <w:rsid w:val="1CD77F55"/>
    <w:rsid w:val="1CDF26CD"/>
    <w:rsid w:val="1CEA75FF"/>
    <w:rsid w:val="1CEB38FB"/>
    <w:rsid w:val="1D0760A4"/>
    <w:rsid w:val="1D4012A6"/>
    <w:rsid w:val="1D4051C2"/>
    <w:rsid w:val="1D40656F"/>
    <w:rsid w:val="1D621BDF"/>
    <w:rsid w:val="1D86134C"/>
    <w:rsid w:val="1D991E18"/>
    <w:rsid w:val="1DA653E3"/>
    <w:rsid w:val="1DB72FCD"/>
    <w:rsid w:val="1DC5113B"/>
    <w:rsid w:val="1DC762C3"/>
    <w:rsid w:val="1DCD3513"/>
    <w:rsid w:val="1E1E1068"/>
    <w:rsid w:val="1E2C702C"/>
    <w:rsid w:val="1E461AD7"/>
    <w:rsid w:val="1E4B4A8F"/>
    <w:rsid w:val="1E5E7A6C"/>
    <w:rsid w:val="1E6961B3"/>
    <w:rsid w:val="1E6A50EC"/>
    <w:rsid w:val="1E8451CC"/>
    <w:rsid w:val="1E880834"/>
    <w:rsid w:val="1EA8390E"/>
    <w:rsid w:val="1EAD251D"/>
    <w:rsid w:val="1EB27541"/>
    <w:rsid w:val="1EBC3315"/>
    <w:rsid w:val="1EC074D7"/>
    <w:rsid w:val="1ED37FC8"/>
    <w:rsid w:val="1EDF38F9"/>
    <w:rsid w:val="1EFB17B1"/>
    <w:rsid w:val="1F006B63"/>
    <w:rsid w:val="1F145F98"/>
    <w:rsid w:val="1F1D1ACD"/>
    <w:rsid w:val="1F2A58EE"/>
    <w:rsid w:val="1F2D0E29"/>
    <w:rsid w:val="1F565A45"/>
    <w:rsid w:val="1F5D7268"/>
    <w:rsid w:val="1F8337AA"/>
    <w:rsid w:val="1F837642"/>
    <w:rsid w:val="1F8F254F"/>
    <w:rsid w:val="1FA235C6"/>
    <w:rsid w:val="1FB24525"/>
    <w:rsid w:val="1FCC3DF9"/>
    <w:rsid w:val="1FD54A52"/>
    <w:rsid w:val="1FDB474F"/>
    <w:rsid w:val="1FEB4B59"/>
    <w:rsid w:val="1FFA5275"/>
    <w:rsid w:val="1FFC6DF9"/>
    <w:rsid w:val="20063966"/>
    <w:rsid w:val="200E322C"/>
    <w:rsid w:val="201E3372"/>
    <w:rsid w:val="20204A58"/>
    <w:rsid w:val="2023593B"/>
    <w:rsid w:val="203F5787"/>
    <w:rsid w:val="20400323"/>
    <w:rsid w:val="204A2D08"/>
    <w:rsid w:val="20523CE5"/>
    <w:rsid w:val="20584D29"/>
    <w:rsid w:val="206440F3"/>
    <w:rsid w:val="207E7767"/>
    <w:rsid w:val="20943C05"/>
    <w:rsid w:val="20954B49"/>
    <w:rsid w:val="209B6169"/>
    <w:rsid w:val="20A9366B"/>
    <w:rsid w:val="20C773EE"/>
    <w:rsid w:val="20CC3E2F"/>
    <w:rsid w:val="20CF1167"/>
    <w:rsid w:val="20D65565"/>
    <w:rsid w:val="20F05948"/>
    <w:rsid w:val="20FA45A8"/>
    <w:rsid w:val="21007088"/>
    <w:rsid w:val="210322B3"/>
    <w:rsid w:val="210D0D06"/>
    <w:rsid w:val="210D42CD"/>
    <w:rsid w:val="211E735D"/>
    <w:rsid w:val="212277EE"/>
    <w:rsid w:val="212B6839"/>
    <w:rsid w:val="2131389E"/>
    <w:rsid w:val="2132558F"/>
    <w:rsid w:val="21334238"/>
    <w:rsid w:val="213C2123"/>
    <w:rsid w:val="213D6177"/>
    <w:rsid w:val="21460A7A"/>
    <w:rsid w:val="218912A4"/>
    <w:rsid w:val="219F63CB"/>
    <w:rsid w:val="21A93913"/>
    <w:rsid w:val="21CF569A"/>
    <w:rsid w:val="21DA5274"/>
    <w:rsid w:val="21DA6607"/>
    <w:rsid w:val="21DE1E52"/>
    <w:rsid w:val="21F45F36"/>
    <w:rsid w:val="22057B58"/>
    <w:rsid w:val="221E351F"/>
    <w:rsid w:val="22203528"/>
    <w:rsid w:val="22253423"/>
    <w:rsid w:val="22315968"/>
    <w:rsid w:val="22321B7F"/>
    <w:rsid w:val="22395DB5"/>
    <w:rsid w:val="223E4AD4"/>
    <w:rsid w:val="22412D39"/>
    <w:rsid w:val="22424B65"/>
    <w:rsid w:val="22525AD8"/>
    <w:rsid w:val="227A2C39"/>
    <w:rsid w:val="227E7C1C"/>
    <w:rsid w:val="22882D08"/>
    <w:rsid w:val="228A1E97"/>
    <w:rsid w:val="228C2592"/>
    <w:rsid w:val="229226CF"/>
    <w:rsid w:val="22BB723B"/>
    <w:rsid w:val="22C25FC7"/>
    <w:rsid w:val="22CA6772"/>
    <w:rsid w:val="22E92B9D"/>
    <w:rsid w:val="22EB365A"/>
    <w:rsid w:val="22EB630E"/>
    <w:rsid w:val="22F1555F"/>
    <w:rsid w:val="2305446B"/>
    <w:rsid w:val="23085E7A"/>
    <w:rsid w:val="23166B67"/>
    <w:rsid w:val="232031B5"/>
    <w:rsid w:val="23366EF6"/>
    <w:rsid w:val="23375895"/>
    <w:rsid w:val="23430D00"/>
    <w:rsid w:val="234D6DF0"/>
    <w:rsid w:val="235C493E"/>
    <w:rsid w:val="236073AE"/>
    <w:rsid w:val="23703BE3"/>
    <w:rsid w:val="237B2E39"/>
    <w:rsid w:val="23A6588F"/>
    <w:rsid w:val="23AF3A46"/>
    <w:rsid w:val="23C6713C"/>
    <w:rsid w:val="23D17183"/>
    <w:rsid w:val="23D20D30"/>
    <w:rsid w:val="23D93622"/>
    <w:rsid w:val="23DA4DAE"/>
    <w:rsid w:val="23F2088A"/>
    <w:rsid w:val="24004C88"/>
    <w:rsid w:val="242048C0"/>
    <w:rsid w:val="24216055"/>
    <w:rsid w:val="243E0993"/>
    <w:rsid w:val="245063F7"/>
    <w:rsid w:val="24685543"/>
    <w:rsid w:val="246E48B7"/>
    <w:rsid w:val="247C3476"/>
    <w:rsid w:val="24922C19"/>
    <w:rsid w:val="249704D4"/>
    <w:rsid w:val="249D6663"/>
    <w:rsid w:val="24A372E3"/>
    <w:rsid w:val="24A90FA8"/>
    <w:rsid w:val="24CB7953"/>
    <w:rsid w:val="24D469A0"/>
    <w:rsid w:val="24D853AB"/>
    <w:rsid w:val="24E559AD"/>
    <w:rsid w:val="24E62DC3"/>
    <w:rsid w:val="24F03B63"/>
    <w:rsid w:val="250B4BC8"/>
    <w:rsid w:val="251C5810"/>
    <w:rsid w:val="254E083A"/>
    <w:rsid w:val="255C4A1C"/>
    <w:rsid w:val="255D517E"/>
    <w:rsid w:val="256C760C"/>
    <w:rsid w:val="256D0C8D"/>
    <w:rsid w:val="257A5BF5"/>
    <w:rsid w:val="257F36EE"/>
    <w:rsid w:val="25B327FD"/>
    <w:rsid w:val="25C94365"/>
    <w:rsid w:val="25D2119D"/>
    <w:rsid w:val="25DE5A41"/>
    <w:rsid w:val="25FA69BB"/>
    <w:rsid w:val="25FF3B3B"/>
    <w:rsid w:val="261C4271"/>
    <w:rsid w:val="262E4D08"/>
    <w:rsid w:val="26402A59"/>
    <w:rsid w:val="264231C7"/>
    <w:rsid w:val="26630B20"/>
    <w:rsid w:val="2668630C"/>
    <w:rsid w:val="26763C60"/>
    <w:rsid w:val="268D5A9A"/>
    <w:rsid w:val="26B045B9"/>
    <w:rsid w:val="26B24900"/>
    <w:rsid w:val="26B61FCA"/>
    <w:rsid w:val="26BC1808"/>
    <w:rsid w:val="26C34E03"/>
    <w:rsid w:val="26C962B7"/>
    <w:rsid w:val="26D65933"/>
    <w:rsid w:val="26D87F81"/>
    <w:rsid w:val="26F41682"/>
    <w:rsid w:val="26FC4953"/>
    <w:rsid w:val="27122DA5"/>
    <w:rsid w:val="27130AA0"/>
    <w:rsid w:val="271C2262"/>
    <w:rsid w:val="273C031C"/>
    <w:rsid w:val="274715F4"/>
    <w:rsid w:val="27575EE5"/>
    <w:rsid w:val="2757675D"/>
    <w:rsid w:val="276F3B71"/>
    <w:rsid w:val="27724941"/>
    <w:rsid w:val="278716DE"/>
    <w:rsid w:val="27923F94"/>
    <w:rsid w:val="279D2AD8"/>
    <w:rsid w:val="27AB5011"/>
    <w:rsid w:val="27AC5D46"/>
    <w:rsid w:val="27DD2993"/>
    <w:rsid w:val="27E9369C"/>
    <w:rsid w:val="27EC0259"/>
    <w:rsid w:val="280130B4"/>
    <w:rsid w:val="28167F1C"/>
    <w:rsid w:val="28736E3E"/>
    <w:rsid w:val="28756563"/>
    <w:rsid w:val="287B51DB"/>
    <w:rsid w:val="28893904"/>
    <w:rsid w:val="288F1B37"/>
    <w:rsid w:val="28CB3C22"/>
    <w:rsid w:val="28EB7E47"/>
    <w:rsid w:val="29123D91"/>
    <w:rsid w:val="291304FE"/>
    <w:rsid w:val="292D27EF"/>
    <w:rsid w:val="29420724"/>
    <w:rsid w:val="2964004E"/>
    <w:rsid w:val="29811ECA"/>
    <w:rsid w:val="298D547C"/>
    <w:rsid w:val="299701CA"/>
    <w:rsid w:val="299E3473"/>
    <w:rsid w:val="29B33C83"/>
    <w:rsid w:val="29B36366"/>
    <w:rsid w:val="29D23100"/>
    <w:rsid w:val="29DA7A8C"/>
    <w:rsid w:val="29E36EB3"/>
    <w:rsid w:val="29E90789"/>
    <w:rsid w:val="29FA3B73"/>
    <w:rsid w:val="29FB2774"/>
    <w:rsid w:val="2A043654"/>
    <w:rsid w:val="2A1426EE"/>
    <w:rsid w:val="2A2256C4"/>
    <w:rsid w:val="2A355C12"/>
    <w:rsid w:val="2A366D80"/>
    <w:rsid w:val="2A413D08"/>
    <w:rsid w:val="2A483C14"/>
    <w:rsid w:val="2A567C56"/>
    <w:rsid w:val="2A655E1F"/>
    <w:rsid w:val="2A6D00A2"/>
    <w:rsid w:val="2A9066BE"/>
    <w:rsid w:val="2AA07601"/>
    <w:rsid w:val="2ABDCA6A"/>
    <w:rsid w:val="2ADC4C02"/>
    <w:rsid w:val="2ADF1512"/>
    <w:rsid w:val="2B0A2964"/>
    <w:rsid w:val="2B104BFD"/>
    <w:rsid w:val="2B195029"/>
    <w:rsid w:val="2B3F4693"/>
    <w:rsid w:val="2B415723"/>
    <w:rsid w:val="2B573697"/>
    <w:rsid w:val="2B6C08F1"/>
    <w:rsid w:val="2B8839C6"/>
    <w:rsid w:val="2B9D5D2C"/>
    <w:rsid w:val="2BAA5091"/>
    <w:rsid w:val="2BB04B58"/>
    <w:rsid w:val="2BBA6D20"/>
    <w:rsid w:val="2BC20F86"/>
    <w:rsid w:val="2BDD263A"/>
    <w:rsid w:val="2BDE7011"/>
    <w:rsid w:val="2BE146E3"/>
    <w:rsid w:val="2BE70CF4"/>
    <w:rsid w:val="2BED4B66"/>
    <w:rsid w:val="2BF553DA"/>
    <w:rsid w:val="2C364107"/>
    <w:rsid w:val="2C377F84"/>
    <w:rsid w:val="2C494869"/>
    <w:rsid w:val="2C496C09"/>
    <w:rsid w:val="2C513616"/>
    <w:rsid w:val="2C5B0751"/>
    <w:rsid w:val="2C7C4025"/>
    <w:rsid w:val="2C9A7FAD"/>
    <w:rsid w:val="2C9C0D0D"/>
    <w:rsid w:val="2C9C6AC1"/>
    <w:rsid w:val="2C9D28A6"/>
    <w:rsid w:val="2CC8747F"/>
    <w:rsid w:val="2CCF77CC"/>
    <w:rsid w:val="2CD446B6"/>
    <w:rsid w:val="2CEA7598"/>
    <w:rsid w:val="2CF2580F"/>
    <w:rsid w:val="2D001EEA"/>
    <w:rsid w:val="2D1472A9"/>
    <w:rsid w:val="2D1D52AA"/>
    <w:rsid w:val="2D332C07"/>
    <w:rsid w:val="2D403CB9"/>
    <w:rsid w:val="2D492E0B"/>
    <w:rsid w:val="2D555CDA"/>
    <w:rsid w:val="2D5B47E4"/>
    <w:rsid w:val="2D603BC2"/>
    <w:rsid w:val="2D6C6F17"/>
    <w:rsid w:val="2D6E06E4"/>
    <w:rsid w:val="2D760376"/>
    <w:rsid w:val="2D8A6EEC"/>
    <w:rsid w:val="2D8F1735"/>
    <w:rsid w:val="2D8F21B8"/>
    <w:rsid w:val="2D9938D7"/>
    <w:rsid w:val="2DA17971"/>
    <w:rsid w:val="2DA9619F"/>
    <w:rsid w:val="2DAC0D8C"/>
    <w:rsid w:val="2DC634E0"/>
    <w:rsid w:val="2DD55161"/>
    <w:rsid w:val="2DDA1C3C"/>
    <w:rsid w:val="2DE35491"/>
    <w:rsid w:val="2E03632D"/>
    <w:rsid w:val="2E037175"/>
    <w:rsid w:val="2E1B50A3"/>
    <w:rsid w:val="2E3A56E5"/>
    <w:rsid w:val="2E3F1ED5"/>
    <w:rsid w:val="2E54519C"/>
    <w:rsid w:val="2E732FD3"/>
    <w:rsid w:val="2E7C3283"/>
    <w:rsid w:val="2EB2380A"/>
    <w:rsid w:val="2EC629DC"/>
    <w:rsid w:val="2EC76E3E"/>
    <w:rsid w:val="2EF97CF9"/>
    <w:rsid w:val="2F0970CB"/>
    <w:rsid w:val="2F2378CC"/>
    <w:rsid w:val="2F2F608B"/>
    <w:rsid w:val="2F3A3BFA"/>
    <w:rsid w:val="2F480717"/>
    <w:rsid w:val="2F500F5A"/>
    <w:rsid w:val="2F561530"/>
    <w:rsid w:val="2F762FFE"/>
    <w:rsid w:val="2F785750"/>
    <w:rsid w:val="2F8340AB"/>
    <w:rsid w:val="2F882060"/>
    <w:rsid w:val="2F895376"/>
    <w:rsid w:val="2FA74BCE"/>
    <w:rsid w:val="2FA849C0"/>
    <w:rsid w:val="2FB6282A"/>
    <w:rsid w:val="2FCC78AB"/>
    <w:rsid w:val="2FD071AB"/>
    <w:rsid w:val="2FDA51EB"/>
    <w:rsid w:val="2FE05C5E"/>
    <w:rsid w:val="2FF105A6"/>
    <w:rsid w:val="2FFD6B2F"/>
    <w:rsid w:val="30113016"/>
    <w:rsid w:val="301A6461"/>
    <w:rsid w:val="302A4246"/>
    <w:rsid w:val="3049725E"/>
    <w:rsid w:val="30692676"/>
    <w:rsid w:val="307D76A6"/>
    <w:rsid w:val="308372A9"/>
    <w:rsid w:val="30D2708D"/>
    <w:rsid w:val="30D32235"/>
    <w:rsid w:val="30DD2C39"/>
    <w:rsid w:val="30E64DBD"/>
    <w:rsid w:val="310304F4"/>
    <w:rsid w:val="311814E9"/>
    <w:rsid w:val="311D5D23"/>
    <w:rsid w:val="311E4F11"/>
    <w:rsid w:val="314016ED"/>
    <w:rsid w:val="3142493F"/>
    <w:rsid w:val="3155448F"/>
    <w:rsid w:val="315826E0"/>
    <w:rsid w:val="31631424"/>
    <w:rsid w:val="316D434C"/>
    <w:rsid w:val="3173406A"/>
    <w:rsid w:val="31766EAD"/>
    <w:rsid w:val="318F30FF"/>
    <w:rsid w:val="31A85B5D"/>
    <w:rsid w:val="31B04F3F"/>
    <w:rsid w:val="31BE4FA2"/>
    <w:rsid w:val="31C316CD"/>
    <w:rsid w:val="31C81E83"/>
    <w:rsid w:val="31DE40A8"/>
    <w:rsid w:val="31EF301E"/>
    <w:rsid w:val="31FC3B22"/>
    <w:rsid w:val="320222A1"/>
    <w:rsid w:val="32082D46"/>
    <w:rsid w:val="32173750"/>
    <w:rsid w:val="321B4AC7"/>
    <w:rsid w:val="322018E0"/>
    <w:rsid w:val="32226777"/>
    <w:rsid w:val="322C14FF"/>
    <w:rsid w:val="32360B21"/>
    <w:rsid w:val="324241DC"/>
    <w:rsid w:val="326478A0"/>
    <w:rsid w:val="326A5D43"/>
    <w:rsid w:val="326A6587"/>
    <w:rsid w:val="32737A48"/>
    <w:rsid w:val="328B4D00"/>
    <w:rsid w:val="329B31E3"/>
    <w:rsid w:val="329D43FE"/>
    <w:rsid w:val="32A06F53"/>
    <w:rsid w:val="32A12544"/>
    <w:rsid w:val="32BC444F"/>
    <w:rsid w:val="32BE0A52"/>
    <w:rsid w:val="32CC5715"/>
    <w:rsid w:val="32D13830"/>
    <w:rsid w:val="32D53A63"/>
    <w:rsid w:val="32DC1E34"/>
    <w:rsid w:val="331918C7"/>
    <w:rsid w:val="331F536E"/>
    <w:rsid w:val="33286C25"/>
    <w:rsid w:val="332F5418"/>
    <w:rsid w:val="33514F7D"/>
    <w:rsid w:val="33597117"/>
    <w:rsid w:val="335A27AC"/>
    <w:rsid w:val="336A6EE7"/>
    <w:rsid w:val="336C22BB"/>
    <w:rsid w:val="33930462"/>
    <w:rsid w:val="339F1CED"/>
    <w:rsid w:val="33A11A0E"/>
    <w:rsid w:val="33A30306"/>
    <w:rsid w:val="33AC40D0"/>
    <w:rsid w:val="33B53DED"/>
    <w:rsid w:val="33C70744"/>
    <w:rsid w:val="33C9004E"/>
    <w:rsid w:val="33D6421E"/>
    <w:rsid w:val="340A0022"/>
    <w:rsid w:val="34245B22"/>
    <w:rsid w:val="34423930"/>
    <w:rsid w:val="34454ACD"/>
    <w:rsid w:val="347B0AA2"/>
    <w:rsid w:val="347E32C6"/>
    <w:rsid w:val="349264B3"/>
    <w:rsid w:val="349A6D90"/>
    <w:rsid w:val="34A840E3"/>
    <w:rsid w:val="34A922C0"/>
    <w:rsid w:val="34C9499B"/>
    <w:rsid w:val="34CD0E40"/>
    <w:rsid w:val="34E41274"/>
    <w:rsid w:val="34F766C1"/>
    <w:rsid w:val="35032B8B"/>
    <w:rsid w:val="351140DB"/>
    <w:rsid w:val="35533C42"/>
    <w:rsid w:val="356120F5"/>
    <w:rsid w:val="35775354"/>
    <w:rsid w:val="357C1067"/>
    <w:rsid w:val="35964198"/>
    <w:rsid w:val="35977B84"/>
    <w:rsid w:val="35A2666A"/>
    <w:rsid w:val="35B064FE"/>
    <w:rsid w:val="35D02EC2"/>
    <w:rsid w:val="35D23BE4"/>
    <w:rsid w:val="35F76D22"/>
    <w:rsid w:val="35FD4A7A"/>
    <w:rsid w:val="360842FC"/>
    <w:rsid w:val="360A38BC"/>
    <w:rsid w:val="36136AED"/>
    <w:rsid w:val="361A4919"/>
    <w:rsid w:val="36383AF5"/>
    <w:rsid w:val="364E2191"/>
    <w:rsid w:val="366603F9"/>
    <w:rsid w:val="367162D2"/>
    <w:rsid w:val="36742FD5"/>
    <w:rsid w:val="368E447C"/>
    <w:rsid w:val="369A636C"/>
    <w:rsid w:val="369D46A1"/>
    <w:rsid w:val="36A0119A"/>
    <w:rsid w:val="36B792F1"/>
    <w:rsid w:val="36B9674B"/>
    <w:rsid w:val="36DC4E20"/>
    <w:rsid w:val="36E21039"/>
    <w:rsid w:val="37050D0E"/>
    <w:rsid w:val="370A7CBE"/>
    <w:rsid w:val="371F2DEE"/>
    <w:rsid w:val="373B1EFE"/>
    <w:rsid w:val="37490D0C"/>
    <w:rsid w:val="375E468A"/>
    <w:rsid w:val="376949C4"/>
    <w:rsid w:val="37745F5A"/>
    <w:rsid w:val="378A3358"/>
    <w:rsid w:val="378F2FC2"/>
    <w:rsid w:val="37935D65"/>
    <w:rsid w:val="37B76890"/>
    <w:rsid w:val="37C962C7"/>
    <w:rsid w:val="37D33628"/>
    <w:rsid w:val="37F94C38"/>
    <w:rsid w:val="380E53F4"/>
    <w:rsid w:val="3814783E"/>
    <w:rsid w:val="382240E2"/>
    <w:rsid w:val="38242EEC"/>
    <w:rsid w:val="382F775F"/>
    <w:rsid w:val="38562DED"/>
    <w:rsid w:val="38600AE1"/>
    <w:rsid w:val="388062FE"/>
    <w:rsid w:val="38944D63"/>
    <w:rsid w:val="389E394D"/>
    <w:rsid w:val="38A05990"/>
    <w:rsid w:val="38A1790D"/>
    <w:rsid w:val="38B40276"/>
    <w:rsid w:val="38DB0A4E"/>
    <w:rsid w:val="38FE12FA"/>
    <w:rsid w:val="39212136"/>
    <w:rsid w:val="3934576A"/>
    <w:rsid w:val="39420B52"/>
    <w:rsid w:val="39526175"/>
    <w:rsid w:val="39566549"/>
    <w:rsid w:val="39740084"/>
    <w:rsid w:val="397411E3"/>
    <w:rsid w:val="397825DA"/>
    <w:rsid w:val="397A79F8"/>
    <w:rsid w:val="397B2943"/>
    <w:rsid w:val="39A50131"/>
    <w:rsid w:val="39BD6642"/>
    <w:rsid w:val="39EC7CEC"/>
    <w:rsid w:val="3A020D2D"/>
    <w:rsid w:val="3A0212C2"/>
    <w:rsid w:val="3A0D5A0A"/>
    <w:rsid w:val="3A16348E"/>
    <w:rsid w:val="3A1A5E8C"/>
    <w:rsid w:val="3A255373"/>
    <w:rsid w:val="3A4B39F9"/>
    <w:rsid w:val="3A712129"/>
    <w:rsid w:val="3AA1530A"/>
    <w:rsid w:val="3AA34992"/>
    <w:rsid w:val="3AB5335B"/>
    <w:rsid w:val="3AC95137"/>
    <w:rsid w:val="3ACD1DA9"/>
    <w:rsid w:val="3AD568FB"/>
    <w:rsid w:val="3AD64514"/>
    <w:rsid w:val="3AF1517E"/>
    <w:rsid w:val="3AFE3042"/>
    <w:rsid w:val="3B1D588C"/>
    <w:rsid w:val="3B1E0D3F"/>
    <w:rsid w:val="3B2A23B9"/>
    <w:rsid w:val="3B450D16"/>
    <w:rsid w:val="3B46104B"/>
    <w:rsid w:val="3B465F7A"/>
    <w:rsid w:val="3B4A5299"/>
    <w:rsid w:val="3B4A6737"/>
    <w:rsid w:val="3B7D30F0"/>
    <w:rsid w:val="3B7D782A"/>
    <w:rsid w:val="3B8360A3"/>
    <w:rsid w:val="3B853672"/>
    <w:rsid w:val="3B964474"/>
    <w:rsid w:val="3BB707CD"/>
    <w:rsid w:val="3BCE3FAB"/>
    <w:rsid w:val="3BD369CC"/>
    <w:rsid w:val="3C0969F8"/>
    <w:rsid w:val="3C0C15C8"/>
    <w:rsid w:val="3C164E8D"/>
    <w:rsid w:val="3C3535D5"/>
    <w:rsid w:val="3C5627E9"/>
    <w:rsid w:val="3C814EDA"/>
    <w:rsid w:val="3C860145"/>
    <w:rsid w:val="3CE55B68"/>
    <w:rsid w:val="3CED72B1"/>
    <w:rsid w:val="3CFD16B1"/>
    <w:rsid w:val="3CFF7A0D"/>
    <w:rsid w:val="3D02646D"/>
    <w:rsid w:val="3D05498C"/>
    <w:rsid w:val="3D1B36C6"/>
    <w:rsid w:val="3D225082"/>
    <w:rsid w:val="3D2C3303"/>
    <w:rsid w:val="3D354CEA"/>
    <w:rsid w:val="3D361B44"/>
    <w:rsid w:val="3D41171D"/>
    <w:rsid w:val="3D4C330A"/>
    <w:rsid w:val="3D507B20"/>
    <w:rsid w:val="3D6932D9"/>
    <w:rsid w:val="3D8D3EB6"/>
    <w:rsid w:val="3DA541E3"/>
    <w:rsid w:val="3DC05AC1"/>
    <w:rsid w:val="3DDF47D5"/>
    <w:rsid w:val="3DEB0DE3"/>
    <w:rsid w:val="3DEE1483"/>
    <w:rsid w:val="3DF27455"/>
    <w:rsid w:val="3E01494A"/>
    <w:rsid w:val="3E0B6E71"/>
    <w:rsid w:val="3E1A5F07"/>
    <w:rsid w:val="3E1B6376"/>
    <w:rsid w:val="3E1F503D"/>
    <w:rsid w:val="3E52772C"/>
    <w:rsid w:val="3E7B3595"/>
    <w:rsid w:val="3E89749E"/>
    <w:rsid w:val="3E8A2155"/>
    <w:rsid w:val="3E9178E2"/>
    <w:rsid w:val="3E9A0263"/>
    <w:rsid w:val="3E9C385C"/>
    <w:rsid w:val="3EAC23DB"/>
    <w:rsid w:val="3EC07A8D"/>
    <w:rsid w:val="3EFC69CE"/>
    <w:rsid w:val="3F0D69A3"/>
    <w:rsid w:val="3F0E7AB0"/>
    <w:rsid w:val="3F1159C7"/>
    <w:rsid w:val="3F354F3E"/>
    <w:rsid w:val="3F3670F3"/>
    <w:rsid w:val="3F405545"/>
    <w:rsid w:val="3F4806CA"/>
    <w:rsid w:val="3F4E36F9"/>
    <w:rsid w:val="3F50760E"/>
    <w:rsid w:val="3F554E5A"/>
    <w:rsid w:val="3F590957"/>
    <w:rsid w:val="3F5B0157"/>
    <w:rsid w:val="3F851852"/>
    <w:rsid w:val="3F9A148C"/>
    <w:rsid w:val="3FA43C9B"/>
    <w:rsid w:val="3FC622A9"/>
    <w:rsid w:val="3FCD3C5F"/>
    <w:rsid w:val="40095B1B"/>
    <w:rsid w:val="402F29E9"/>
    <w:rsid w:val="40306144"/>
    <w:rsid w:val="4038677B"/>
    <w:rsid w:val="403C6F8F"/>
    <w:rsid w:val="405F613D"/>
    <w:rsid w:val="40725A2B"/>
    <w:rsid w:val="4079014A"/>
    <w:rsid w:val="40860FCF"/>
    <w:rsid w:val="40936CE9"/>
    <w:rsid w:val="409670AC"/>
    <w:rsid w:val="40AB493B"/>
    <w:rsid w:val="40B13025"/>
    <w:rsid w:val="40B90F2F"/>
    <w:rsid w:val="40C508D9"/>
    <w:rsid w:val="40D248CF"/>
    <w:rsid w:val="40D91865"/>
    <w:rsid w:val="40E153CB"/>
    <w:rsid w:val="40E824C6"/>
    <w:rsid w:val="40EA4EAB"/>
    <w:rsid w:val="41040C86"/>
    <w:rsid w:val="41320DD0"/>
    <w:rsid w:val="41451C25"/>
    <w:rsid w:val="415B6CDD"/>
    <w:rsid w:val="417646F7"/>
    <w:rsid w:val="417D29E9"/>
    <w:rsid w:val="417E4C67"/>
    <w:rsid w:val="41852F36"/>
    <w:rsid w:val="419158DF"/>
    <w:rsid w:val="419A4264"/>
    <w:rsid w:val="41A03729"/>
    <w:rsid w:val="41D67F34"/>
    <w:rsid w:val="41EC2334"/>
    <w:rsid w:val="42066AC6"/>
    <w:rsid w:val="4213531D"/>
    <w:rsid w:val="422C3B1C"/>
    <w:rsid w:val="423A28D5"/>
    <w:rsid w:val="424356A4"/>
    <w:rsid w:val="4254425B"/>
    <w:rsid w:val="4265772B"/>
    <w:rsid w:val="428A3756"/>
    <w:rsid w:val="428D5E68"/>
    <w:rsid w:val="428E671D"/>
    <w:rsid w:val="429B03D3"/>
    <w:rsid w:val="42BB2B79"/>
    <w:rsid w:val="42D97DE5"/>
    <w:rsid w:val="42F704B0"/>
    <w:rsid w:val="431C531B"/>
    <w:rsid w:val="435363AD"/>
    <w:rsid w:val="435A13B9"/>
    <w:rsid w:val="435F61CD"/>
    <w:rsid w:val="4362227A"/>
    <w:rsid w:val="43797205"/>
    <w:rsid w:val="437D5891"/>
    <w:rsid w:val="438E68A1"/>
    <w:rsid w:val="43927042"/>
    <w:rsid w:val="43970160"/>
    <w:rsid w:val="43972F43"/>
    <w:rsid w:val="439B6448"/>
    <w:rsid w:val="439E770F"/>
    <w:rsid w:val="43A34A1C"/>
    <w:rsid w:val="43A833B4"/>
    <w:rsid w:val="43B22172"/>
    <w:rsid w:val="43C770CB"/>
    <w:rsid w:val="43D5669B"/>
    <w:rsid w:val="43F41095"/>
    <w:rsid w:val="441D2DB5"/>
    <w:rsid w:val="44271D62"/>
    <w:rsid w:val="442A43F9"/>
    <w:rsid w:val="442C3166"/>
    <w:rsid w:val="44312FB0"/>
    <w:rsid w:val="443D12C7"/>
    <w:rsid w:val="44442CC9"/>
    <w:rsid w:val="4449434E"/>
    <w:rsid w:val="4465146E"/>
    <w:rsid w:val="447357CF"/>
    <w:rsid w:val="448E384C"/>
    <w:rsid w:val="449214C5"/>
    <w:rsid w:val="44981229"/>
    <w:rsid w:val="449A36E2"/>
    <w:rsid w:val="449D5AB7"/>
    <w:rsid w:val="44A70920"/>
    <w:rsid w:val="44CA673A"/>
    <w:rsid w:val="44EC333A"/>
    <w:rsid w:val="44F17D7C"/>
    <w:rsid w:val="44F93EA2"/>
    <w:rsid w:val="44FA19ED"/>
    <w:rsid w:val="4502650E"/>
    <w:rsid w:val="451A6DA2"/>
    <w:rsid w:val="452E6047"/>
    <w:rsid w:val="453B0017"/>
    <w:rsid w:val="45430561"/>
    <w:rsid w:val="45505AB1"/>
    <w:rsid w:val="45582EB4"/>
    <w:rsid w:val="455C1D3F"/>
    <w:rsid w:val="458C031D"/>
    <w:rsid w:val="459D34A1"/>
    <w:rsid w:val="45A32C75"/>
    <w:rsid w:val="45AF74EC"/>
    <w:rsid w:val="45C946F4"/>
    <w:rsid w:val="45F05E73"/>
    <w:rsid w:val="45F506D2"/>
    <w:rsid w:val="45F5733A"/>
    <w:rsid w:val="45FC0337"/>
    <w:rsid w:val="46051892"/>
    <w:rsid w:val="460A43EF"/>
    <w:rsid w:val="460F08E9"/>
    <w:rsid w:val="4610740B"/>
    <w:rsid w:val="46156A65"/>
    <w:rsid w:val="462D17C4"/>
    <w:rsid w:val="464C0669"/>
    <w:rsid w:val="465264D7"/>
    <w:rsid w:val="46543C0A"/>
    <w:rsid w:val="4655752D"/>
    <w:rsid w:val="466A606E"/>
    <w:rsid w:val="469814BD"/>
    <w:rsid w:val="46D2288A"/>
    <w:rsid w:val="46DC1D1C"/>
    <w:rsid w:val="46E55D03"/>
    <w:rsid w:val="46F915B9"/>
    <w:rsid w:val="46F91E7C"/>
    <w:rsid w:val="47112069"/>
    <w:rsid w:val="47197160"/>
    <w:rsid w:val="471D2EE3"/>
    <w:rsid w:val="47213261"/>
    <w:rsid w:val="472440B3"/>
    <w:rsid w:val="47291641"/>
    <w:rsid w:val="475E0497"/>
    <w:rsid w:val="475E5912"/>
    <w:rsid w:val="47602B25"/>
    <w:rsid w:val="47737835"/>
    <w:rsid w:val="47764D9A"/>
    <w:rsid w:val="478E6966"/>
    <w:rsid w:val="47BA4703"/>
    <w:rsid w:val="47C02951"/>
    <w:rsid w:val="47D420CF"/>
    <w:rsid w:val="47D9748A"/>
    <w:rsid w:val="47DD1D99"/>
    <w:rsid w:val="47DE5C63"/>
    <w:rsid w:val="47EA5CA7"/>
    <w:rsid w:val="47EB2EA8"/>
    <w:rsid w:val="47F4536A"/>
    <w:rsid w:val="48025C96"/>
    <w:rsid w:val="48131775"/>
    <w:rsid w:val="48212873"/>
    <w:rsid w:val="482F4D30"/>
    <w:rsid w:val="48392E5E"/>
    <w:rsid w:val="483977D4"/>
    <w:rsid w:val="48475B82"/>
    <w:rsid w:val="48934F3E"/>
    <w:rsid w:val="48962A8D"/>
    <w:rsid w:val="48972C74"/>
    <w:rsid w:val="48C43B53"/>
    <w:rsid w:val="49061378"/>
    <w:rsid w:val="4907645F"/>
    <w:rsid w:val="49076D17"/>
    <w:rsid w:val="49183EE3"/>
    <w:rsid w:val="491E642F"/>
    <w:rsid w:val="492542FE"/>
    <w:rsid w:val="493273D3"/>
    <w:rsid w:val="494C73DB"/>
    <w:rsid w:val="494F6E1F"/>
    <w:rsid w:val="4950416C"/>
    <w:rsid w:val="49593C1B"/>
    <w:rsid w:val="495C0C54"/>
    <w:rsid w:val="496E4326"/>
    <w:rsid w:val="496E78D5"/>
    <w:rsid w:val="49734514"/>
    <w:rsid w:val="49933E48"/>
    <w:rsid w:val="49941ECF"/>
    <w:rsid w:val="499D2F0A"/>
    <w:rsid w:val="49EA1C89"/>
    <w:rsid w:val="49F13D87"/>
    <w:rsid w:val="49F367CD"/>
    <w:rsid w:val="4A1E617D"/>
    <w:rsid w:val="4A390573"/>
    <w:rsid w:val="4A48601B"/>
    <w:rsid w:val="4A4A134B"/>
    <w:rsid w:val="4A7A76B7"/>
    <w:rsid w:val="4AAA3B0C"/>
    <w:rsid w:val="4AB76757"/>
    <w:rsid w:val="4AD1525E"/>
    <w:rsid w:val="4AD51A39"/>
    <w:rsid w:val="4AF611BE"/>
    <w:rsid w:val="4AFB20A0"/>
    <w:rsid w:val="4B0137A3"/>
    <w:rsid w:val="4B174B35"/>
    <w:rsid w:val="4B183C5E"/>
    <w:rsid w:val="4B324793"/>
    <w:rsid w:val="4B642D5E"/>
    <w:rsid w:val="4B7931DE"/>
    <w:rsid w:val="4B7F0B1A"/>
    <w:rsid w:val="4B861BF5"/>
    <w:rsid w:val="4B8E205E"/>
    <w:rsid w:val="4B9631DB"/>
    <w:rsid w:val="4BA71F5C"/>
    <w:rsid w:val="4BAA0E85"/>
    <w:rsid w:val="4BAB7403"/>
    <w:rsid w:val="4BB850AE"/>
    <w:rsid w:val="4BC02BE8"/>
    <w:rsid w:val="4BCD26AA"/>
    <w:rsid w:val="4BDC5E8E"/>
    <w:rsid w:val="4BE60E59"/>
    <w:rsid w:val="4C2E6ED7"/>
    <w:rsid w:val="4C351555"/>
    <w:rsid w:val="4C411E59"/>
    <w:rsid w:val="4C595B87"/>
    <w:rsid w:val="4C5A4CAA"/>
    <w:rsid w:val="4C5C43BB"/>
    <w:rsid w:val="4C8A0111"/>
    <w:rsid w:val="4C8A7E4A"/>
    <w:rsid w:val="4C9A6225"/>
    <w:rsid w:val="4CAA2BD4"/>
    <w:rsid w:val="4CC23BD9"/>
    <w:rsid w:val="4CC42800"/>
    <w:rsid w:val="4CC94B7D"/>
    <w:rsid w:val="4CDA5A82"/>
    <w:rsid w:val="4CF15DE2"/>
    <w:rsid w:val="4CF61AEF"/>
    <w:rsid w:val="4D0F0D50"/>
    <w:rsid w:val="4D317C1C"/>
    <w:rsid w:val="4D3E2185"/>
    <w:rsid w:val="4D7439B5"/>
    <w:rsid w:val="4D765D77"/>
    <w:rsid w:val="4D7F287B"/>
    <w:rsid w:val="4D892D59"/>
    <w:rsid w:val="4D9D774C"/>
    <w:rsid w:val="4D9D7AFB"/>
    <w:rsid w:val="4DA264AF"/>
    <w:rsid w:val="4DA31193"/>
    <w:rsid w:val="4DA32BDF"/>
    <w:rsid w:val="4DB12E32"/>
    <w:rsid w:val="4DC83CFC"/>
    <w:rsid w:val="4DC83D33"/>
    <w:rsid w:val="4DD433B5"/>
    <w:rsid w:val="4DE7567F"/>
    <w:rsid w:val="4DEF41A5"/>
    <w:rsid w:val="4DF16424"/>
    <w:rsid w:val="4DFA5A95"/>
    <w:rsid w:val="4DFF9609"/>
    <w:rsid w:val="4E0B5936"/>
    <w:rsid w:val="4E265CE0"/>
    <w:rsid w:val="4E26732B"/>
    <w:rsid w:val="4E420999"/>
    <w:rsid w:val="4E4335C3"/>
    <w:rsid w:val="4E4D3421"/>
    <w:rsid w:val="4E4F657E"/>
    <w:rsid w:val="4E577798"/>
    <w:rsid w:val="4E8250A2"/>
    <w:rsid w:val="4E971674"/>
    <w:rsid w:val="4E9E1641"/>
    <w:rsid w:val="4EAA2540"/>
    <w:rsid w:val="4EB11CF9"/>
    <w:rsid w:val="4EB149DC"/>
    <w:rsid w:val="4EDA6584"/>
    <w:rsid w:val="4EF76AB4"/>
    <w:rsid w:val="4F0C1EE3"/>
    <w:rsid w:val="4F1345D6"/>
    <w:rsid w:val="4F147739"/>
    <w:rsid w:val="4F194FB8"/>
    <w:rsid w:val="4F1A0045"/>
    <w:rsid w:val="4F3C1D68"/>
    <w:rsid w:val="4F6D6AEA"/>
    <w:rsid w:val="4F744C71"/>
    <w:rsid w:val="4F89087E"/>
    <w:rsid w:val="4F9B55C4"/>
    <w:rsid w:val="4FA470EF"/>
    <w:rsid w:val="4FB6598A"/>
    <w:rsid w:val="4FBB2D2A"/>
    <w:rsid w:val="4FBB5297"/>
    <w:rsid w:val="4FC123C9"/>
    <w:rsid w:val="4FC6376F"/>
    <w:rsid w:val="4FD416FE"/>
    <w:rsid w:val="4FF00335"/>
    <w:rsid w:val="50022C13"/>
    <w:rsid w:val="50075397"/>
    <w:rsid w:val="50165960"/>
    <w:rsid w:val="50397491"/>
    <w:rsid w:val="50467B7C"/>
    <w:rsid w:val="504D65C1"/>
    <w:rsid w:val="50557432"/>
    <w:rsid w:val="506960C0"/>
    <w:rsid w:val="508A07F1"/>
    <w:rsid w:val="5096236A"/>
    <w:rsid w:val="50D06595"/>
    <w:rsid w:val="50E12ECD"/>
    <w:rsid w:val="50F43800"/>
    <w:rsid w:val="50F667D8"/>
    <w:rsid w:val="50F92CDA"/>
    <w:rsid w:val="512469DE"/>
    <w:rsid w:val="512B38A0"/>
    <w:rsid w:val="51312120"/>
    <w:rsid w:val="5140549F"/>
    <w:rsid w:val="514310A8"/>
    <w:rsid w:val="51436FB6"/>
    <w:rsid w:val="51485323"/>
    <w:rsid w:val="516F61E9"/>
    <w:rsid w:val="51713814"/>
    <w:rsid w:val="5172550C"/>
    <w:rsid w:val="517936F9"/>
    <w:rsid w:val="517D6CA9"/>
    <w:rsid w:val="51800DFD"/>
    <w:rsid w:val="51966B10"/>
    <w:rsid w:val="519A0DFE"/>
    <w:rsid w:val="519E4905"/>
    <w:rsid w:val="51A002CB"/>
    <w:rsid w:val="51B36109"/>
    <w:rsid w:val="51C23A52"/>
    <w:rsid w:val="51C42B39"/>
    <w:rsid w:val="51C867B5"/>
    <w:rsid w:val="51D63059"/>
    <w:rsid w:val="51E93DDF"/>
    <w:rsid w:val="51EB3674"/>
    <w:rsid w:val="51FD3E66"/>
    <w:rsid w:val="5208229C"/>
    <w:rsid w:val="521E77B3"/>
    <w:rsid w:val="52592D94"/>
    <w:rsid w:val="5299003C"/>
    <w:rsid w:val="52A43285"/>
    <w:rsid w:val="52A66305"/>
    <w:rsid w:val="52C53598"/>
    <w:rsid w:val="52CB06AC"/>
    <w:rsid w:val="52D917FA"/>
    <w:rsid w:val="52DE1EA4"/>
    <w:rsid w:val="52E23452"/>
    <w:rsid w:val="52E3271D"/>
    <w:rsid w:val="52EF20BB"/>
    <w:rsid w:val="530857BB"/>
    <w:rsid w:val="530C1F4C"/>
    <w:rsid w:val="531A773F"/>
    <w:rsid w:val="531F3765"/>
    <w:rsid w:val="532028A6"/>
    <w:rsid w:val="532D20D5"/>
    <w:rsid w:val="53390EFD"/>
    <w:rsid w:val="533A7BF4"/>
    <w:rsid w:val="53494C2B"/>
    <w:rsid w:val="534D658E"/>
    <w:rsid w:val="5366583F"/>
    <w:rsid w:val="5382138E"/>
    <w:rsid w:val="539E4AF8"/>
    <w:rsid w:val="53B321F4"/>
    <w:rsid w:val="53C502A5"/>
    <w:rsid w:val="53C53A91"/>
    <w:rsid w:val="53F1305A"/>
    <w:rsid w:val="54017B52"/>
    <w:rsid w:val="54155E60"/>
    <w:rsid w:val="54195C61"/>
    <w:rsid w:val="54236014"/>
    <w:rsid w:val="542900FC"/>
    <w:rsid w:val="542F134D"/>
    <w:rsid w:val="54300382"/>
    <w:rsid w:val="5453599A"/>
    <w:rsid w:val="54566F12"/>
    <w:rsid w:val="546769A5"/>
    <w:rsid w:val="546D0CC7"/>
    <w:rsid w:val="54834174"/>
    <w:rsid w:val="548D662B"/>
    <w:rsid w:val="54955D76"/>
    <w:rsid w:val="54A54F4D"/>
    <w:rsid w:val="54AE3F73"/>
    <w:rsid w:val="54AF4C01"/>
    <w:rsid w:val="54B251EA"/>
    <w:rsid w:val="54B83735"/>
    <w:rsid w:val="54BE7B25"/>
    <w:rsid w:val="54CE3BAE"/>
    <w:rsid w:val="54D51955"/>
    <w:rsid w:val="54F92AF1"/>
    <w:rsid w:val="55114060"/>
    <w:rsid w:val="5511466B"/>
    <w:rsid w:val="5523634B"/>
    <w:rsid w:val="55310A9E"/>
    <w:rsid w:val="5545763E"/>
    <w:rsid w:val="554747DA"/>
    <w:rsid w:val="555255DA"/>
    <w:rsid w:val="555A0E2E"/>
    <w:rsid w:val="55674AF0"/>
    <w:rsid w:val="55713605"/>
    <w:rsid w:val="55714164"/>
    <w:rsid w:val="55785C90"/>
    <w:rsid w:val="558459CE"/>
    <w:rsid w:val="558801D8"/>
    <w:rsid w:val="55883D82"/>
    <w:rsid w:val="55912164"/>
    <w:rsid w:val="5595073D"/>
    <w:rsid w:val="559D3806"/>
    <w:rsid w:val="55A04466"/>
    <w:rsid w:val="55A2255B"/>
    <w:rsid w:val="55A91556"/>
    <w:rsid w:val="55AF67D0"/>
    <w:rsid w:val="55D003D6"/>
    <w:rsid w:val="55E14617"/>
    <w:rsid w:val="55EA548B"/>
    <w:rsid w:val="55FF72C8"/>
    <w:rsid w:val="56011339"/>
    <w:rsid w:val="5616347D"/>
    <w:rsid w:val="56183B10"/>
    <w:rsid w:val="56331871"/>
    <w:rsid w:val="563E2964"/>
    <w:rsid w:val="563E6C41"/>
    <w:rsid w:val="56536732"/>
    <w:rsid w:val="56642F0D"/>
    <w:rsid w:val="566C1F01"/>
    <w:rsid w:val="566F66C9"/>
    <w:rsid w:val="569A049E"/>
    <w:rsid w:val="569A1D27"/>
    <w:rsid w:val="569B7D8D"/>
    <w:rsid w:val="569E2E1E"/>
    <w:rsid w:val="56A21D8E"/>
    <w:rsid w:val="56BE4025"/>
    <w:rsid w:val="56F45553"/>
    <w:rsid w:val="56F9086D"/>
    <w:rsid w:val="570574FD"/>
    <w:rsid w:val="571118F2"/>
    <w:rsid w:val="57162417"/>
    <w:rsid w:val="57224254"/>
    <w:rsid w:val="57463D40"/>
    <w:rsid w:val="57536DED"/>
    <w:rsid w:val="57614753"/>
    <w:rsid w:val="576B494B"/>
    <w:rsid w:val="57701837"/>
    <w:rsid w:val="577035F8"/>
    <w:rsid w:val="578B5B8D"/>
    <w:rsid w:val="57900883"/>
    <w:rsid w:val="579E531F"/>
    <w:rsid w:val="57A87E9D"/>
    <w:rsid w:val="57B9556F"/>
    <w:rsid w:val="57C03C59"/>
    <w:rsid w:val="57C82F30"/>
    <w:rsid w:val="57D64FC7"/>
    <w:rsid w:val="57E478EF"/>
    <w:rsid w:val="57E57C72"/>
    <w:rsid w:val="57F364FD"/>
    <w:rsid w:val="57F5F537"/>
    <w:rsid w:val="57FD5517"/>
    <w:rsid w:val="580A4C1C"/>
    <w:rsid w:val="58211C44"/>
    <w:rsid w:val="584D1023"/>
    <w:rsid w:val="584F5065"/>
    <w:rsid w:val="58661530"/>
    <w:rsid w:val="586A2464"/>
    <w:rsid w:val="58786C76"/>
    <w:rsid w:val="58835315"/>
    <w:rsid w:val="5892765F"/>
    <w:rsid w:val="58997C2B"/>
    <w:rsid w:val="58A606E3"/>
    <w:rsid w:val="58BA6A0F"/>
    <w:rsid w:val="58C35012"/>
    <w:rsid w:val="58C840BD"/>
    <w:rsid w:val="58E652F7"/>
    <w:rsid w:val="58ED41A5"/>
    <w:rsid w:val="58F02455"/>
    <w:rsid w:val="58F830AB"/>
    <w:rsid w:val="58FD0973"/>
    <w:rsid w:val="59376EDF"/>
    <w:rsid w:val="593A1458"/>
    <w:rsid w:val="595C55B1"/>
    <w:rsid w:val="5967194E"/>
    <w:rsid w:val="5969631D"/>
    <w:rsid w:val="59775B3F"/>
    <w:rsid w:val="5988770A"/>
    <w:rsid w:val="598A0F87"/>
    <w:rsid w:val="598F39A7"/>
    <w:rsid w:val="59A95FB1"/>
    <w:rsid w:val="59C60AC7"/>
    <w:rsid w:val="59DE678B"/>
    <w:rsid w:val="59E328B4"/>
    <w:rsid w:val="59EC1C7E"/>
    <w:rsid w:val="59F55F3A"/>
    <w:rsid w:val="59FF3279"/>
    <w:rsid w:val="5A027E8B"/>
    <w:rsid w:val="5A0C0177"/>
    <w:rsid w:val="5A264814"/>
    <w:rsid w:val="5A2F7B9F"/>
    <w:rsid w:val="5A310739"/>
    <w:rsid w:val="5A520B68"/>
    <w:rsid w:val="5A554E11"/>
    <w:rsid w:val="5A5D4916"/>
    <w:rsid w:val="5A6460D7"/>
    <w:rsid w:val="5A6D039C"/>
    <w:rsid w:val="5A7E7141"/>
    <w:rsid w:val="5A807748"/>
    <w:rsid w:val="5A891A1F"/>
    <w:rsid w:val="5A8D3BD3"/>
    <w:rsid w:val="5A974263"/>
    <w:rsid w:val="5AB86B0D"/>
    <w:rsid w:val="5AC304A7"/>
    <w:rsid w:val="5AC57206"/>
    <w:rsid w:val="5AC828B1"/>
    <w:rsid w:val="5ACE2005"/>
    <w:rsid w:val="5AD826CF"/>
    <w:rsid w:val="5B066265"/>
    <w:rsid w:val="5B0C5D86"/>
    <w:rsid w:val="5B25751A"/>
    <w:rsid w:val="5B3A1A5D"/>
    <w:rsid w:val="5B3D3ED3"/>
    <w:rsid w:val="5B3F1CF9"/>
    <w:rsid w:val="5B682B4C"/>
    <w:rsid w:val="5B7604D4"/>
    <w:rsid w:val="5B8B10A8"/>
    <w:rsid w:val="5B984419"/>
    <w:rsid w:val="5BA1011B"/>
    <w:rsid w:val="5BA364E3"/>
    <w:rsid w:val="5BB04584"/>
    <w:rsid w:val="5BEA3702"/>
    <w:rsid w:val="5BF04EF2"/>
    <w:rsid w:val="5BF20158"/>
    <w:rsid w:val="5BF46DE5"/>
    <w:rsid w:val="5BFF40A7"/>
    <w:rsid w:val="5C1154CF"/>
    <w:rsid w:val="5C401075"/>
    <w:rsid w:val="5C681846"/>
    <w:rsid w:val="5C736466"/>
    <w:rsid w:val="5C751DA6"/>
    <w:rsid w:val="5CB92018"/>
    <w:rsid w:val="5CC45222"/>
    <w:rsid w:val="5CC532CD"/>
    <w:rsid w:val="5CCB397C"/>
    <w:rsid w:val="5CD20825"/>
    <w:rsid w:val="5CD63E11"/>
    <w:rsid w:val="5CD9275C"/>
    <w:rsid w:val="5CE060F2"/>
    <w:rsid w:val="5CEC62BA"/>
    <w:rsid w:val="5CF40D75"/>
    <w:rsid w:val="5CFA1BB9"/>
    <w:rsid w:val="5CFE363F"/>
    <w:rsid w:val="5D031FF7"/>
    <w:rsid w:val="5D403368"/>
    <w:rsid w:val="5D4553D8"/>
    <w:rsid w:val="5D536001"/>
    <w:rsid w:val="5D6F407F"/>
    <w:rsid w:val="5D771705"/>
    <w:rsid w:val="5D881D40"/>
    <w:rsid w:val="5DA318E1"/>
    <w:rsid w:val="5DB97149"/>
    <w:rsid w:val="5DC47ABF"/>
    <w:rsid w:val="5DCB6E46"/>
    <w:rsid w:val="5DF9205E"/>
    <w:rsid w:val="5DFA391F"/>
    <w:rsid w:val="5DFC7D19"/>
    <w:rsid w:val="5DFD6A81"/>
    <w:rsid w:val="5DFE6280"/>
    <w:rsid w:val="5E020DC1"/>
    <w:rsid w:val="5E143650"/>
    <w:rsid w:val="5E16138B"/>
    <w:rsid w:val="5E1A1BB4"/>
    <w:rsid w:val="5E2320EB"/>
    <w:rsid w:val="5E512FB1"/>
    <w:rsid w:val="5E55204D"/>
    <w:rsid w:val="5E850907"/>
    <w:rsid w:val="5E967FCE"/>
    <w:rsid w:val="5EC04F4C"/>
    <w:rsid w:val="5ECE1DC4"/>
    <w:rsid w:val="5ED502E4"/>
    <w:rsid w:val="5EDB21F9"/>
    <w:rsid w:val="5EEE0C29"/>
    <w:rsid w:val="5F14329E"/>
    <w:rsid w:val="5F2B62D7"/>
    <w:rsid w:val="5F4B4FCC"/>
    <w:rsid w:val="5F5C4891"/>
    <w:rsid w:val="5F644A2B"/>
    <w:rsid w:val="5F8758FC"/>
    <w:rsid w:val="5F9D7B89"/>
    <w:rsid w:val="5FAB269C"/>
    <w:rsid w:val="5FAF63F7"/>
    <w:rsid w:val="5FB05FDB"/>
    <w:rsid w:val="5FBE1A13"/>
    <w:rsid w:val="5FDF6D71"/>
    <w:rsid w:val="5FEA371C"/>
    <w:rsid w:val="60093533"/>
    <w:rsid w:val="602D7738"/>
    <w:rsid w:val="605B628E"/>
    <w:rsid w:val="605F2135"/>
    <w:rsid w:val="609B00D0"/>
    <w:rsid w:val="609B459D"/>
    <w:rsid w:val="60AE3821"/>
    <w:rsid w:val="60CB1201"/>
    <w:rsid w:val="60D57674"/>
    <w:rsid w:val="60FB2E14"/>
    <w:rsid w:val="610A46D2"/>
    <w:rsid w:val="61581B1D"/>
    <w:rsid w:val="61645DDA"/>
    <w:rsid w:val="617043CA"/>
    <w:rsid w:val="617B6360"/>
    <w:rsid w:val="61A85DC7"/>
    <w:rsid w:val="61BE38B3"/>
    <w:rsid w:val="61C575C2"/>
    <w:rsid w:val="61C84D1C"/>
    <w:rsid w:val="61D60EE1"/>
    <w:rsid w:val="61E26933"/>
    <w:rsid w:val="61F35F8E"/>
    <w:rsid w:val="61FE0D14"/>
    <w:rsid w:val="621F7F2A"/>
    <w:rsid w:val="622125BB"/>
    <w:rsid w:val="62224E46"/>
    <w:rsid w:val="62342C01"/>
    <w:rsid w:val="62371E44"/>
    <w:rsid w:val="623B3B21"/>
    <w:rsid w:val="624006F4"/>
    <w:rsid w:val="62462C32"/>
    <w:rsid w:val="627C5A0E"/>
    <w:rsid w:val="627D641B"/>
    <w:rsid w:val="6282344D"/>
    <w:rsid w:val="62A40F48"/>
    <w:rsid w:val="62A600FE"/>
    <w:rsid w:val="62B4357B"/>
    <w:rsid w:val="62BE639E"/>
    <w:rsid w:val="62C14884"/>
    <w:rsid w:val="62DC677B"/>
    <w:rsid w:val="63143347"/>
    <w:rsid w:val="63283E2E"/>
    <w:rsid w:val="633E6985"/>
    <w:rsid w:val="63462E11"/>
    <w:rsid w:val="63493EEF"/>
    <w:rsid w:val="63585E5B"/>
    <w:rsid w:val="63653EEF"/>
    <w:rsid w:val="63672760"/>
    <w:rsid w:val="63795A49"/>
    <w:rsid w:val="637C7EE7"/>
    <w:rsid w:val="6385441C"/>
    <w:rsid w:val="63854E93"/>
    <w:rsid w:val="638815B3"/>
    <w:rsid w:val="639E4E11"/>
    <w:rsid w:val="63A87FCC"/>
    <w:rsid w:val="63AC2B70"/>
    <w:rsid w:val="63B178D8"/>
    <w:rsid w:val="63D755FD"/>
    <w:rsid w:val="64053E74"/>
    <w:rsid w:val="64083E82"/>
    <w:rsid w:val="640F2D52"/>
    <w:rsid w:val="64111F1C"/>
    <w:rsid w:val="6413620B"/>
    <w:rsid w:val="641B1E04"/>
    <w:rsid w:val="641D1A3E"/>
    <w:rsid w:val="64342E0C"/>
    <w:rsid w:val="64642B4F"/>
    <w:rsid w:val="64730788"/>
    <w:rsid w:val="64733E7D"/>
    <w:rsid w:val="647920AD"/>
    <w:rsid w:val="64803649"/>
    <w:rsid w:val="649B5764"/>
    <w:rsid w:val="64D00547"/>
    <w:rsid w:val="64E95451"/>
    <w:rsid w:val="64F36F9D"/>
    <w:rsid w:val="650156AA"/>
    <w:rsid w:val="65351D4D"/>
    <w:rsid w:val="6541028B"/>
    <w:rsid w:val="6544001C"/>
    <w:rsid w:val="655119E4"/>
    <w:rsid w:val="659325BB"/>
    <w:rsid w:val="65C3703C"/>
    <w:rsid w:val="65CC158F"/>
    <w:rsid w:val="65CD1C2F"/>
    <w:rsid w:val="65E03FA0"/>
    <w:rsid w:val="661C16CE"/>
    <w:rsid w:val="6625055C"/>
    <w:rsid w:val="6629329F"/>
    <w:rsid w:val="662967CB"/>
    <w:rsid w:val="662F62E2"/>
    <w:rsid w:val="664E7969"/>
    <w:rsid w:val="66645100"/>
    <w:rsid w:val="666D6658"/>
    <w:rsid w:val="667F57F4"/>
    <w:rsid w:val="668A714C"/>
    <w:rsid w:val="66A07CE1"/>
    <w:rsid w:val="66B41777"/>
    <w:rsid w:val="66B750F9"/>
    <w:rsid w:val="66F50CE7"/>
    <w:rsid w:val="67113F6B"/>
    <w:rsid w:val="67122D16"/>
    <w:rsid w:val="6720772C"/>
    <w:rsid w:val="6733082F"/>
    <w:rsid w:val="674863A9"/>
    <w:rsid w:val="67545C2F"/>
    <w:rsid w:val="67576231"/>
    <w:rsid w:val="675B0931"/>
    <w:rsid w:val="67727122"/>
    <w:rsid w:val="678407D8"/>
    <w:rsid w:val="679930A9"/>
    <w:rsid w:val="67AB1C24"/>
    <w:rsid w:val="67AD5E70"/>
    <w:rsid w:val="67AE1A89"/>
    <w:rsid w:val="67AF2A2D"/>
    <w:rsid w:val="67B7080D"/>
    <w:rsid w:val="67B87D01"/>
    <w:rsid w:val="67BE445D"/>
    <w:rsid w:val="67CB37D0"/>
    <w:rsid w:val="67DC7568"/>
    <w:rsid w:val="67E74FA3"/>
    <w:rsid w:val="67EE08E0"/>
    <w:rsid w:val="67EF09C8"/>
    <w:rsid w:val="67F10303"/>
    <w:rsid w:val="67F13B6E"/>
    <w:rsid w:val="67FA4137"/>
    <w:rsid w:val="682A7B15"/>
    <w:rsid w:val="682C1A38"/>
    <w:rsid w:val="682E1879"/>
    <w:rsid w:val="68465AD9"/>
    <w:rsid w:val="684B52E3"/>
    <w:rsid w:val="68592455"/>
    <w:rsid w:val="686D22A4"/>
    <w:rsid w:val="687F24BE"/>
    <w:rsid w:val="68866E94"/>
    <w:rsid w:val="68967D88"/>
    <w:rsid w:val="689D4855"/>
    <w:rsid w:val="68A75245"/>
    <w:rsid w:val="68AE6DA2"/>
    <w:rsid w:val="68B7623C"/>
    <w:rsid w:val="68BE4D9A"/>
    <w:rsid w:val="68C61492"/>
    <w:rsid w:val="68F16ADF"/>
    <w:rsid w:val="690957CE"/>
    <w:rsid w:val="69157C32"/>
    <w:rsid w:val="69224249"/>
    <w:rsid w:val="692F1E98"/>
    <w:rsid w:val="693E191B"/>
    <w:rsid w:val="695210A4"/>
    <w:rsid w:val="695F1CF3"/>
    <w:rsid w:val="69681BF2"/>
    <w:rsid w:val="697F39F5"/>
    <w:rsid w:val="699F67E0"/>
    <w:rsid w:val="69A95188"/>
    <w:rsid w:val="69BC1581"/>
    <w:rsid w:val="69CD2BC3"/>
    <w:rsid w:val="6A026726"/>
    <w:rsid w:val="6A133A87"/>
    <w:rsid w:val="6A1978E3"/>
    <w:rsid w:val="6A2656ED"/>
    <w:rsid w:val="6A275408"/>
    <w:rsid w:val="6A336DDD"/>
    <w:rsid w:val="6A5741EF"/>
    <w:rsid w:val="6A7D5437"/>
    <w:rsid w:val="6A8F6033"/>
    <w:rsid w:val="6A941566"/>
    <w:rsid w:val="6AAB3C17"/>
    <w:rsid w:val="6AD351DF"/>
    <w:rsid w:val="6AEE2655"/>
    <w:rsid w:val="6B103335"/>
    <w:rsid w:val="6B13589C"/>
    <w:rsid w:val="6B1B1053"/>
    <w:rsid w:val="6B2D753A"/>
    <w:rsid w:val="6B934A8C"/>
    <w:rsid w:val="6BA633ED"/>
    <w:rsid w:val="6BB273DD"/>
    <w:rsid w:val="6BB33378"/>
    <w:rsid w:val="6BC3019F"/>
    <w:rsid w:val="6BDA643D"/>
    <w:rsid w:val="6BFF78F4"/>
    <w:rsid w:val="6C147768"/>
    <w:rsid w:val="6C283323"/>
    <w:rsid w:val="6C593079"/>
    <w:rsid w:val="6C5E073E"/>
    <w:rsid w:val="6C62765B"/>
    <w:rsid w:val="6C8525C9"/>
    <w:rsid w:val="6C8C56EC"/>
    <w:rsid w:val="6C91265D"/>
    <w:rsid w:val="6C9730A3"/>
    <w:rsid w:val="6C9E7630"/>
    <w:rsid w:val="6CB03ECB"/>
    <w:rsid w:val="6CF56477"/>
    <w:rsid w:val="6D0324A9"/>
    <w:rsid w:val="6D21354E"/>
    <w:rsid w:val="6D32368B"/>
    <w:rsid w:val="6D393A02"/>
    <w:rsid w:val="6D3C3797"/>
    <w:rsid w:val="6D3C3DDA"/>
    <w:rsid w:val="6D814423"/>
    <w:rsid w:val="6D981DAA"/>
    <w:rsid w:val="6D9B2125"/>
    <w:rsid w:val="6DBB7283"/>
    <w:rsid w:val="6DBF3DB3"/>
    <w:rsid w:val="6DC1522F"/>
    <w:rsid w:val="6DC367F1"/>
    <w:rsid w:val="6DCE0682"/>
    <w:rsid w:val="6DD079A1"/>
    <w:rsid w:val="6DE45083"/>
    <w:rsid w:val="6DE61A00"/>
    <w:rsid w:val="6DEC52E3"/>
    <w:rsid w:val="6E125087"/>
    <w:rsid w:val="6E2B03EE"/>
    <w:rsid w:val="6E535F76"/>
    <w:rsid w:val="6E6332C2"/>
    <w:rsid w:val="6E771241"/>
    <w:rsid w:val="6E7A00E5"/>
    <w:rsid w:val="6E916434"/>
    <w:rsid w:val="6E9678DF"/>
    <w:rsid w:val="6E991E88"/>
    <w:rsid w:val="6EB34FFD"/>
    <w:rsid w:val="6EBA1C6E"/>
    <w:rsid w:val="6EBB7899"/>
    <w:rsid w:val="6EC247CF"/>
    <w:rsid w:val="6ECB3B59"/>
    <w:rsid w:val="6EDE7944"/>
    <w:rsid w:val="6EFD4D54"/>
    <w:rsid w:val="6F052629"/>
    <w:rsid w:val="6F0A7FF7"/>
    <w:rsid w:val="6F0F078B"/>
    <w:rsid w:val="6F103E64"/>
    <w:rsid w:val="6F2E5A8F"/>
    <w:rsid w:val="6F301D80"/>
    <w:rsid w:val="6F395DBE"/>
    <w:rsid w:val="6F3E7E0E"/>
    <w:rsid w:val="6F410495"/>
    <w:rsid w:val="6F4F1897"/>
    <w:rsid w:val="6F511801"/>
    <w:rsid w:val="6F5C3423"/>
    <w:rsid w:val="6F6365B5"/>
    <w:rsid w:val="6F6405CC"/>
    <w:rsid w:val="6F6E56A9"/>
    <w:rsid w:val="6F6F075E"/>
    <w:rsid w:val="6F80468A"/>
    <w:rsid w:val="6F8D7759"/>
    <w:rsid w:val="6FA8129B"/>
    <w:rsid w:val="6FB43F80"/>
    <w:rsid w:val="6FC65C18"/>
    <w:rsid w:val="6FC771A9"/>
    <w:rsid w:val="6FE38A65"/>
    <w:rsid w:val="700A2EA4"/>
    <w:rsid w:val="700F0699"/>
    <w:rsid w:val="701143E5"/>
    <w:rsid w:val="701C3068"/>
    <w:rsid w:val="70263280"/>
    <w:rsid w:val="70296149"/>
    <w:rsid w:val="70371E59"/>
    <w:rsid w:val="703B2038"/>
    <w:rsid w:val="704A3F52"/>
    <w:rsid w:val="70725518"/>
    <w:rsid w:val="707D0EA3"/>
    <w:rsid w:val="708169A5"/>
    <w:rsid w:val="7083460A"/>
    <w:rsid w:val="708375CB"/>
    <w:rsid w:val="708900D5"/>
    <w:rsid w:val="708964CF"/>
    <w:rsid w:val="709031AF"/>
    <w:rsid w:val="70964278"/>
    <w:rsid w:val="70970DF1"/>
    <w:rsid w:val="70987728"/>
    <w:rsid w:val="70A233F8"/>
    <w:rsid w:val="70A55756"/>
    <w:rsid w:val="70B85801"/>
    <w:rsid w:val="70C66B9E"/>
    <w:rsid w:val="70C82745"/>
    <w:rsid w:val="70CF0E95"/>
    <w:rsid w:val="70DE1C34"/>
    <w:rsid w:val="70F57B4D"/>
    <w:rsid w:val="710D3ED8"/>
    <w:rsid w:val="711104D1"/>
    <w:rsid w:val="71131BDB"/>
    <w:rsid w:val="711517B6"/>
    <w:rsid w:val="7131433F"/>
    <w:rsid w:val="71374B1F"/>
    <w:rsid w:val="71456678"/>
    <w:rsid w:val="715C6396"/>
    <w:rsid w:val="7160626D"/>
    <w:rsid w:val="718627B2"/>
    <w:rsid w:val="71881A13"/>
    <w:rsid w:val="71982D1A"/>
    <w:rsid w:val="719B26AB"/>
    <w:rsid w:val="71B95256"/>
    <w:rsid w:val="71C66478"/>
    <w:rsid w:val="71E15DA2"/>
    <w:rsid w:val="71E32E0E"/>
    <w:rsid w:val="71E8649F"/>
    <w:rsid w:val="71EE7630"/>
    <w:rsid w:val="72176A8A"/>
    <w:rsid w:val="722253BF"/>
    <w:rsid w:val="7228359B"/>
    <w:rsid w:val="722B63A9"/>
    <w:rsid w:val="722F5586"/>
    <w:rsid w:val="72551228"/>
    <w:rsid w:val="72583823"/>
    <w:rsid w:val="72641F16"/>
    <w:rsid w:val="726707D6"/>
    <w:rsid w:val="726A024D"/>
    <w:rsid w:val="726A1C2B"/>
    <w:rsid w:val="728D094F"/>
    <w:rsid w:val="7299177D"/>
    <w:rsid w:val="72A21D33"/>
    <w:rsid w:val="72BE0CF1"/>
    <w:rsid w:val="72CD62BE"/>
    <w:rsid w:val="72CF1270"/>
    <w:rsid w:val="72CF187A"/>
    <w:rsid w:val="72DA40B4"/>
    <w:rsid w:val="72DA5AA3"/>
    <w:rsid w:val="72DE3D67"/>
    <w:rsid w:val="72EF2AAE"/>
    <w:rsid w:val="72F0545A"/>
    <w:rsid w:val="72FB186C"/>
    <w:rsid w:val="73035F99"/>
    <w:rsid w:val="730F68B5"/>
    <w:rsid w:val="731F3094"/>
    <w:rsid w:val="732E6B82"/>
    <w:rsid w:val="7341740A"/>
    <w:rsid w:val="7345347A"/>
    <w:rsid w:val="734B53CF"/>
    <w:rsid w:val="73604448"/>
    <w:rsid w:val="737E1F6C"/>
    <w:rsid w:val="739473AD"/>
    <w:rsid w:val="73B608C5"/>
    <w:rsid w:val="73EB002E"/>
    <w:rsid w:val="73FC43F9"/>
    <w:rsid w:val="744F5B4E"/>
    <w:rsid w:val="7461285B"/>
    <w:rsid w:val="74634844"/>
    <w:rsid w:val="74831A59"/>
    <w:rsid w:val="74892CE1"/>
    <w:rsid w:val="74C644FB"/>
    <w:rsid w:val="74E34A0B"/>
    <w:rsid w:val="74E50B2D"/>
    <w:rsid w:val="74E56506"/>
    <w:rsid w:val="74E60481"/>
    <w:rsid w:val="74F86579"/>
    <w:rsid w:val="75041831"/>
    <w:rsid w:val="750B6D52"/>
    <w:rsid w:val="7529240C"/>
    <w:rsid w:val="75435E03"/>
    <w:rsid w:val="754805E1"/>
    <w:rsid w:val="755A19BF"/>
    <w:rsid w:val="7593416B"/>
    <w:rsid w:val="75BF0691"/>
    <w:rsid w:val="75D0152E"/>
    <w:rsid w:val="75D24F76"/>
    <w:rsid w:val="75D271B4"/>
    <w:rsid w:val="75DA74A8"/>
    <w:rsid w:val="75DC1169"/>
    <w:rsid w:val="75DD4043"/>
    <w:rsid w:val="75E30267"/>
    <w:rsid w:val="75E85BBF"/>
    <w:rsid w:val="75F16F54"/>
    <w:rsid w:val="75FB2FEB"/>
    <w:rsid w:val="760C26C4"/>
    <w:rsid w:val="762D68CD"/>
    <w:rsid w:val="764B3915"/>
    <w:rsid w:val="764B5E65"/>
    <w:rsid w:val="765A0489"/>
    <w:rsid w:val="767E338E"/>
    <w:rsid w:val="768D5151"/>
    <w:rsid w:val="76A70971"/>
    <w:rsid w:val="76AA78EF"/>
    <w:rsid w:val="76AD4B67"/>
    <w:rsid w:val="76C851CB"/>
    <w:rsid w:val="76CC12F2"/>
    <w:rsid w:val="76CD2884"/>
    <w:rsid w:val="76CD7B51"/>
    <w:rsid w:val="76E14A9D"/>
    <w:rsid w:val="76F0486F"/>
    <w:rsid w:val="770C0231"/>
    <w:rsid w:val="77110A98"/>
    <w:rsid w:val="774002E8"/>
    <w:rsid w:val="774A3D73"/>
    <w:rsid w:val="776D52BC"/>
    <w:rsid w:val="777210A1"/>
    <w:rsid w:val="77812384"/>
    <w:rsid w:val="77997FAE"/>
    <w:rsid w:val="77B53533"/>
    <w:rsid w:val="77C501D3"/>
    <w:rsid w:val="77D0347D"/>
    <w:rsid w:val="77EE474B"/>
    <w:rsid w:val="77FD5BC2"/>
    <w:rsid w:val="78031B76"/>
    <w:rsid w:val="781D4E67"/>
    <w:rsid w:val="78203257"/>
    <w:rsid w:val="7824290B"/>
    <w:rsid w:val="78257986"/>
    <w:rsid w:val="78267588"/>
    <w:rsid w:val="782C2358"/>
    <w:rsid w:val="782C366B"/>
    <w:rsid w:val="783469E8"/>
    <w:rsid w:val="783C3342"/>
    <w:rsid w:val="784421C5"/>
    <w:rsid w:val="784A68F0"/>
    <w:rsid w:val="784C0BA1"/>
    <w:rsid w:val="78520B3C"/>
    <w:rsid w:val="78536C34"/>
    <w:rsid w:val="78745397"/>
    <w:rsid w:val="7889663B"/>
    <w:rsid w:val="788F3E02"/>
    <w:rsid w:val="7891058B"/>
    <w:rsid w:val="7896737C"/>
    <w:rsid w:val="789D2761"/>
    <w:rsid w:val="78AB6A45"/>
    <w:rsid w:val="78AC0DD1"/>
    <w:rsid w:val="78AC12FD"/>
    <w:rsid w:val="78BD168A"/>
    <w:rsid w:val="78BF0522"/>
    <w:rsid w:val="78C1191B"/>
    <w:rsid w:val="78D15FE5"/>
    <w:rsid w:val="78D34FF0"/>
    <w:rsid w:val="78F140C6"/>
    <w:rsid w:val="79047BAF"/>
    <w:rsid w:val="791D4788"/>
    <w:rsid w:val="792E031F"/>
    <w:rsid w:val="7931468D"/>
    <w:rsid w:val="7933489B"/>
    <w:rsid w:val="794169EA"/>
    <w:rsid w:val="7982266B"/>
    <w:rsid w:val="79837372"/>
    <w:rsid w:val="798529CF"/>
    <w:rsid w:val="79974804"/>
    <w:rsid w:val="79A409BC"/>
    <w:rsid w:val="79A72EC3"/>
    <w:rsid w:val="79AD6B15"/>
    <w:rsid w:val="79AF0EA1"/>
    <w:rsid w:val="79BB1485"/>
    <w:rsid w:val="79C83ABA"/>
    <w:rsid w:val="79EC45E4"/>
    <w:rsid w:val="7A1C4566"/>
    <w:rsid w:val="7A3D3AE6"/>
    <w:rsid w:val="7A432B05"/>
    <w:rsid w:val="7A4E5416"/>
    <w:rsid w:val="7A59383E"/>
    <w:rsid w:val="7A5D0C5B"/>
    <w:rsid w:val="7A7A22D9"/>
    <w:rsid w:val="7A8B73C8"/>
    <w:rsid w:val="7AAB1446"/>
    <w:rsid w:val="7AB00D41"/>
    <w:rsid w:val="7AB025B1"/>
    <w:rsid w:val="7AB15E5B"/>
    <w:rsid w:val="7ABB607F"/>
    <w:rsid w:val="7AC0177D"/>
    <w:rsid w:val="7AC41100"/>
    <w:rsid w:val="7AC742C0"/>
    <w:rsid w:val="7AD54D9B"/>
    <w:rsid w:val="7ADD540F"/>
    <w:rsid w:val="7ADF4630"/>
    <w:rsid w:val="7AE023E7"/>
    <w:rsid w:val="7AE05F13"/>
    <w:rsid w:val="7AEB0948"/>
    <w:rsid w:val="7B082BF2"/>
    <w:rsid w:val="7B0A0D1D"/>
    <w:rsid w:val="7B17215D"/>
    <w:rsid w:val="7B1C7766"/>
    <w:rsid w:val="7B406D51"/>
    <w:rsid w:val="7B4247BE"/>
    <w:rsid w:val="7B5E270C"/>
    <w:rsid w:val="7B68606B"/>
    <w:rsid w:val="7B691FDB"/>
    <w:rsid w:val="7B7D00BB"/>
    <w:rsid w:val="7B8E1B14"/>
    <w:rsid w:val="7BA943AA"/>
    <w:rsid w:val="7BAC200F"/>
    <w:rsid w:val="7BAF1ED2"/>
    <w:rsid w:val="7BB07624"/>
    <w:rsid w:val="7BB4043B"/>
    <w:rsid w:val="7BBE598F"/>
    <w:rsid w:val="7BC02CAC"/>
    <w:rsid w:val="7BC71922"/>
    <w:rsid w:val="7BC7B94B"/>
    <w:rsid w:val="7BDF4EBD"/>
    <w:rsid w:val="7BE35B48"/>
    <w:rsid w:val="7BF27659"/>
    <w:rsid w:val="7C09020B"/>
    <w:rsid w:val="7C1068C7"/>
    <w:rsid w:val="7C1B715E"/>
    <w:rsid w:val="7C3035D9"/>
    <w:rsid w:val="7C3B6E2A"/>
    <w:rsid w:val="7C503815"/>
    <w:rsid w:val="7C5947BE"/>
    <w:rsid w:val="7C7B5572"/>
    <w:rsid w:val="7C8C3AD0"/>
    <w:rsid w:val="7CAA6D71"/>
    <w:rsid w:val="7CD5375A"/>
    <w:rsid w:val="7CDF38AA"/>
    <w:rsid w:val="7CE224A0"/>
    <w:rsid w:val="7CF6735A"/>
    <w:rsid w:val="7D0C3B89"/>
    <w:rsid w:val="7D2522BB"/>
    <w:rsid w:val="7D281B67"/>
    <w:rsid w:val="7D2D661D"/>
    <w:rsid w:val="7D3013A9"/>
    <w:rsid w:val="7D352B6E"/>
    <w:rsid w:val="7D473D3A"/>
    <w:rsid w:val="7D572DEF"/>
    <w:rsid w:val="7D623C10"/>
    <w:rsid w:val="7D6264DA"/>
    <w:rsid w:val="7D7F084E"/>
    <w:rsid w:val="7D861C5F"/>
    <w:rsid w:val="7DA40693"/>
    <w:rsid w:val="7DAB754D"/>
    <w:rsid w:val="7DBA63B2"/>
    <w:rsid w:val="7DBB4B94"/>
    <w:rsid w:val="7DC078F2"/>
    <w:rsid w:val="7DE11855"/>
    <w:rsid w:val="7DE24131"/>
    <w:rsid w:val="7E101717"/>
    <w:rsid w:val="7E1B1F5A"/>
    <w:rsid w:val="7E22038B"/>
    <w:rsid w:val="7E27166B"/>
    <w:rsid w:val="7E2F32BC"/>
    <w:rsid w:val="7E3157F2"/>
    <w:rsid w:val="7E3361BC"/>
    <w:rsid w:val="7E464279"/>
    <w:rsid w:val="7E5E5081"/>
    <w:rsid w:val="7E605FBB"/>
    <w:rsid w:val="7E68313E"/>
    <w:rsid w:val="7E694877"/>
    <w:rsid w:val="7E734458"/>
    <w:rsid w:val="7E7A63D5"/>
    <w:rsid w:val="7EA3256F"/>
    <w:rsid w:val="7EA972BD"/>
    <w:rsid w:val="7EBF26C9"/>
    <w:rsid w:val="7EC33EA7"/>
    <w:rsid w:val="7EC628EC"/>
    <w:rsid w:val="7EC82BEF"/>
    <w:rsid w:val="7ED16168"/>
    <w:rsid w:val="7ED30312"/>
    <w:rsid w:val="7ED86E26"/>
    <w:rsid w:val="7EDA239B"/>
    <w:rsid w:val="7EDC5953"/>
    <w:rsid w:val="7EEA29C5"/>
    <w:rsid w:val="7F0B754E"/>
    <w:rsid w:val="7F235A83"/>
    <w:rsid w:val="7F392E88"/>
    <w:rsid w:val="7F3975B8"/>
    <w:rsid w:val="7F3F4874"/>
    <w:rsid w:val="7F4B5FC3"/>
    <w:rsid w:val="7F5D0052"/>
    <w:rsid w:val="7F6D30BF"/>
    <w:rsid w:val="7F736A10"/>
    <w:rsid w:val="7F8F2FAD"/>
    <w:rsid w:val="7F9F0427"/>
    <w:rsid w:val="7FA30646"/>
    <w:rsid w:val="7FA66236"/>
    <w:rsid w:val="7FBB9B4E"/>
    <w:rsid w:val="7FD0762A"/>
    <w:rsid w:val="7FEC731A"/>
    <w:rsid w:val="7FFD6901"/>
    <w:rsid w:val="ADEF8995"/>
    <w:rsid w:val="B2CE5955"/>
    <w:rsid w:val="DEFF465A"/>
    <w:rsid w:val="F16E4D4C"/>
    <w:rsid w:val="F77FED85"/>
    <w:rsid w:val="FBF748DD"/>
    <w:rsid w:val="FD6F823D"/>
    <w:rsid w:val="FFDD93AE"/>
    <w:rsid w:val="FFDFDBAA"/>
    <w:rsid w:val="FFEFE67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semiHidden="0" w:name="heading 5"/>
    <w:lsdException w:qFormat="1" w:uiPriority="0"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iPriority="0" w:name="index 1"/>
    <w:lsdException w:qFormat="1" w:uiPriority="0" w:name="index 2"/>
    <w:lsdException w:qFormat="1" w:uiPriority="0" w:name="index 3"/>
    <w:lsdException w:qFormat="1" w:uiPriority="0" w:name="index 4"/>
    <w:lsdException w:qFormat="1" w:uiPriority="0" w:name="index 5"/>
    <w:lsdException w:qFormat="1" w:uiPriority="0" w:name="index 6"/>
    <w:lsdException w:qFormat="1" w:uiPriority="0" w:name="index 7"/>
    <w:lsdException w:qFormat="1" w:uiPriority="0" w:name="index 8"/>
    <w:lsdException w:qFormat="1" w:uiPriority="0" w:name="index 9"/>
    <w:lsdException w:qFormat="1" w:uiPriority="39" w:semiHidden="0" w:name="toc 1"/>
    <w:lsdException w:qFormat="1" w:uiPriority="39" w:semiHidden="0" w:name="toc 2"/>
    <w:lsdException w:qFormat="1" w:uiPriority="39" w:semiHidden="0" w:name="toc 3"/>
    <w:lsdException w:qFormat="1" w:uiPriority="39" w:name="toc 4"/>
    <w:lsdException w:qFormat="1" w:uiPriority="39" w:name="toc 5"/>
    <w:lsdException w:qFormat="1" w:uiPriority="39" w:name="toc 6"/>
    <w:lsdException w:qFormat="1" w:uiPriority="39" w:name="toc 7"/>
    <w:lsdException w:qFormat="1" w:uiPriority="39" w:name="toc 8"/>
    <w:lsdException w:qFormat="1" w:uiPriority="39" w:name="toc 9"/>
    <w:lsdException w:qFormat="1" w:uiPriority="99" w:name="Normal Indent"/>
    <w:lsdException w:qFormat="1" w:uiPriority="0" w:name="footnote text"/>
    <w:lsdException w:qFormat="1" w:uiPriority="99" w:name="annotation text"/>
    <w:lsdException w:qFormat="1" w:uiPriority="99" w:semiHidden="0" w:name="header"/>
    <w:lsdException w:qFormat="1" w:uiPriority="99" w:semiHidden="0" w:name="footer"/>
    <w:lsdException w:qFormat="1" w:uiPriority="0" w:name="index heading"/>
    <w:lsdException w:qFormat="1" w:uiPriority="9" w:name="caption"/>
    <w:lsdException w:qFormat="1" w:uiPriority="0" w:name="table of figures"/>
    <w:lsdException w:qFormat="1" w:uiPriority="0" w:name="envelope address"/>
    <w:lsdException w:qFormat="1" w:uiPriority="0" w:name="envelope return"/>
    <w:lsdException w:qFormat="1" w:uiPriority="0" w:name="footnote reference"/>
    <w:lsdException w:qFormat="1" w:uiPriority="99" w:name="annotation reference"/>
    <w:lsdException w:uiPriority="0" w:name="line number"/>
    <w:lsdException w:qFormat="1" w:uiPriority="0" w:name="page number"/>
    <w:lsdException w:qFormat="1" w:uiPriority="0" w:name="endnote reference"/>
    <w:lsdException w:qFormat="1" w:uiPriority="0" w:name="endnote text"/>
    <w:lsdException w:qFormat="1" w:uiPriority="0" w:name="table of authorities"/>
    <w:lsdException w:qFormat="1" w:uiPriority="0" w:name="macro"/>
    <w:lsdException w:qFormat="1" w:uiPriority="0" w:name="toa heading"/>
    <w:lsdException w:qFormat="1" w:uiPriority="0" w:name="List"/>
    <w:lsdException w:qFormat="1" w:uiPriority="0" w:name="List Bullet"/>
    <w:lsdException w:qFormat="1" w:unhideWhenUsed="0" w:uiPriority="0" w:semiHidden="0" w:name="List Number"/>
    <w:lsdException w:qFormat="1" w:uiPriority="0" w:name="List 2"/>
    <w:lsdException w:qFormat="1" w:uiPriority="0" w:name="List 3"/>
    <w:lsdException w:qFormat="1" w:unhideWhenUsed="0" w:uiPriority="0" w:semiHidden="0" w:name="List 4"/>
    <w:lsdException w:qFormat="1" w:unhideWhenUsed="0" w:uiPriority="0" w:semiHidden="0" w:name="List 5"/>
    <w:lsdException w:qFormat="1" w:uiPriority="0" w:name="List Bullet 2"/>
    <w:lsdException w:qFormat="1" w:uiPriority="0" w:name="List Bullet 3"/>
    <w:lsdException w:qFormat="1" w:uiPriority="0" w:name="List Bullet 4"/>
    <w:lsdException w:qFormat="1" w:uiPriority="0" w:name="List Bullet 5"/>
    <w:lsdException w:qFormat="1" w:uiPriority="99" w:name="List Number 2"/>
    <w:lsdException w:qFormat="1" w:uiPriority="0" w:name="List Number 3"/>
    <w:lsdException w:qFormat="1" w:uiPriority="0" w:name="List Number 4"/>
    <w:lsdException w:qFormat="1" w:uiPriority="0" w:name="List Number 5"/>
    <w:lsdException w:qFormat="1" w:unhideWhenUsed="0" w:uiPriority="10" w:semiHidden="0" w:name="Title"/>
    <w:lsdException w:qFormat="1" w:uiPriority="0" w:name="Closing"/>
    <w:lsdException w:qFormat="1" w:uiPriority="0" w:name="Signature"/>
    <w:lsdException w:qFormat="1" w:uiPriority="1" w:name="Default Paragraph Font"/>
    <w:lsdException w:qFormat="1" w:uiPriority="99" w:name="Body Text"/>
    <w:lsdException w:qFormat="1"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iPriority="0" w:name="Message Header"/>
    <w:lsdException w:qFormat="1" w:unhideWhenUsed="0" w:uiPriority="39"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iPriority="0" w:name="Body Text First Indent 2"/>
    <w:lsdException w:qFormat="1" w:uiPriority="0" w:name="Note Heading"/>
    <w:lsdException w:qFormat="1" w:uiPriority="99" w:name="Body Text 2"/>
    <w:lsdException w:qFormat="1" w:uiPriority="0" w:name="Body Text 3"/>
    <w:lsdException w:qFormat="1" w:uiPriority="0" w:name="Body Text Indent 2"/>
    <w:lsdException w:qFormat="1" w:uiPriority="0" w:name="Body Text Indent 3"/>
    <w:lsdException w:qFormat="1" w:uiPriority="0"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iPriority="99" w:name="Document Map"/>
    <w:lsdException w:qFormat="1" w:unhideWhenUsed="0" w:uiPriority="0" w:semiHidden="0" w:name="Plain Text"/>
    <w:lsdException w:qFormat="1" w:uiPriority="0" w:name="E-mail Signature"/>
    <w:lsdException w:qFormat="1" w:uiPriority="99" w:name="Normal (Web)"/>
    <w:lsdException w:uiPriority="0" w:name="HTML Acronym"/>
    <w:lsdException w:qFormat="1" w:uiPriority="0" w:name="HTML Address"/>
    <w:lsdException w:qFormat="1" w:uiPriority="0" w:name="HTML Cite"/>
    <w:lsdException w:qFormat="1" w:uiPriority="0" w:name="HTML Code"/>
    <w:lsdException w:uiPriority="0" w:name="HTML Definition"/>
    <w:lsdException w:uiPriority="0" w:name="HTML Keyboard"/>
    <w:lsdException w:qFormat="1" w:uiPriority="99" w:name="HTML Preformatted"/>
    <w:lsdException w:uiPriority="0" w:name="HTML Sample"/>
    <w:lsdException w:uiPriority="0" w:name="HTML Typewriter"/>
    <w:lsdException w:uiPriority="0" w:name="HTML Variable"/>
    <w:lsdException w:qFormat="1" w:uiPriority="99" w:name="Normal Table"/>
    <w:lsdException w:qFormat="1" w:uiPriority="99"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qFormat="1"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qFormat="1" w:uiPriority="99" w:name="Table Contemporary"/>
    <w:lsdException w:qFormat="1" w:uiPriority="0" w:name="Table Elegant"/>
    <w:lsdException w:qFormat="1"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name="Balloon Text"/>
    <w:lsdException w:qFormat="1" w:unhideWhenUsed="0" w:uiPriority="59"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eastAsia="宋体" w:hAnsiTheme="minorHAnsi" w:cstheme="minorBidi"/>
      <w:kern w:val="2"/>
      <w:sz w:val="24"/>
      <w:szCs w:val="22"/>
      <w:lang w:val="en-US" w:eastAsia="zh-CN" w:bidi="ar-SA"/>
    </w:rPr>
  </w:style>
  <w:style w:type="paragraph" w:styleId="4">
    <w:name w:val="heading 1"/>
    <w:basedOn w:val="1"/>
    <w:next w:val="1"/>
    <w:link w:val="28"/>
    <w:qFormat/>
    <w:uiPriority w:val="0"/>
    <w:pPr>
      <w:keepNext/>
      <w:keepLines/>
      <w:numPr>
        <w:ilvl w:val="0"/>
        <w:numId w:val="1"/>
      </w:numPr>
      <w:outlineLvl w:val="0"/>
    </w:pPr>
    <w:rPr>
      <w:b/>
      <w:bCs/>
      <w:kern w:val="24"/>
      <w:sz w:val="32"/>
    </w:rPr>
  </w:style>
  <w:style w:type="paragraph" w:styleId="5">
    <w:name w:val="heading 2"/>
    <w:basedOn w:val="1"/>
    <w:next w:val="1"/>
    <w:link w:val="30"/>
    <w:qFormat/>
    <w:uiPriority w:val="0"/>
    <w:pPr>
      <w:keepNext/>
      <w:keepLines/>
      <w:numPr>
        <w:ilvl w:val="1"/>
        <w:numId w:val="1"/>
      </w:numPr>
      <w:pBdr>
        <w:top w:val="none" w:color="auto" w:sz="0" w:space="1"/>
        <w:left w:val="none" w:color="auto" w:sz="0" w:space="4"/>
        <w:bottom w:val="none" w:color="auto" w:sz="0" w:space="1"/>
        <w:right w:val="none" w:color="auto" w:sz="0" w:space="4"/>
      </w:pBdr>
      <w:outlineLvl w:val="1"/>
    </w:pPr>
    <w:rPr>
      <w:rFonts w:cs="宋体" w:hAnsiTheme="minorEastAsia"/>
      <w:b/>
      <w:bCs/>
      <w:sz w:val="30"/>
      <w:szCs w:val="28"/>
    </w:rPr>
  </w:style>
  <w:style w:type="paragraph" w:styleId="6">
    <w:name w:val="heading 3"/>
    <w:basedOn w:val="1"/>
    <w:next w:val="1"/>
    <w:link w:val="31"/>
    <w:qFormat/>
    <w:uiPriority w:val="9"/>
    <w:pPr>
      <w:keepNext/>
      <w:keepLines/>
      <w:numPr>
        <w:ilvl w:val="2"/>
        <w:numId w:val="1"/>
      </w:numPr>
      <w:tabs>
        <w:tab w:val="left" w:pos="709"/>
      </w:tabs>
      <w:outlineLvl w:val="2"/>
    </w:pPr>
    <w:rPr>
      <w:rFonts w:hAnsi="宋体" w:cs="宋体"/>
      <w:b/>
      <w:bCs/>
      <w:sz w:val="28"/>
      <w:szCs w:val="32"/>
    </w:rPr>
  </w:style>
  <w:style w:type="paragraph" w:styleId="7">
    <w:name w:val="heading 4"/>
    <w:basedOn w:val="1"/>
    <w:next w:val="1"/>
    <w:link w:val="29"/>
    <w:qFormat/>
    <w:uiPriority w:val="0"/>
    <w:pPr>
      <w:keepNext/>
      <w:keepLines/>
      <w:numPr>
        <w:ilvl w:val="3"/>
        <w:numId w:val="1"/>
      </w:numPr>
      <w:tabs>
        <w:tab w:val="left" w:pos="0"/>
      </w:tabs>
      <w:outlineLvl w:val="3"/>
    </w:pPr>
    <w:rPr>
      <w:rFonts w:cs="宋体" w:hAnsiTheme="minorEastAsia"/>
      <w:b/>
      <w:bCs/>
    </w:rPr>
  </w:style>
  <w:style w:type="paragraph" w:styleId="8">
    <w:name w:val="heading 5"/>
    <w:basedOn w:val="1"/>
    <w:next w:val="1"/>
    <w:link w:val="32"/>
    <w:unhideWhenUsed/>
    <w:qFormat/>
    <w:uiPriority w:val="0"/>
    <w:pPr>
      <w:keepNext/>
      <w:keepLines/>
      <w:numPr>
        <w:ilvl w:val="4"/>
        <w:numId w:val="1"/>
      </w:numPr>
      <w:tabs>
        <w:tab w:val="left" w:pos="0"/>
      </w:tabs>
      <w:spacing w:before="50" w:beforeLines="50" w:after="50" w:afterLines="50"/>
      <w:ind w:left="0"/>
      <w:outlineLvl w:val="4"/>
    </w:pPr>
    <w:rPr>
      <w:rFonts w:cs="宋体" w:hAnsiTheme="minorEastAsia"/>
      <w:b/>
      <w:bCs/>
    </w:rPr>
  </w:style>
  <w:style w:type="paragraph" w:styleId="9">
    <w:name w:val="heading 6"/>
    <w:basedOn w:val="1"/>
    <w:next w:val="1"/>
    <w:link w:val="33"/>
    <w:unhideWhenUsed/>
    <w:qFormat/>
    <w:uiPriority w:val="0"/>
    <w:pPr>
      <w:numPr>
        <w:ilvl w:val="5"/>
        <w:numId w:val="1"/>
      </w:numPr>
      <w:spacing w:before="163" w:beforeLines="50" w:after="163" w:afterLines="50"/>
      <w:outlineLvl w:val="5"/>
    </w:pPr>
    <w:rPr>
      <w:rFonts w:hAnsiTheme="minorEastAsia"/>
      <w:b/>
      <w:bCs/>
    </w:rPr>
  </w:style>
  <w:style w:type="paragraph" w:styleId="10">
    <w:name w:val="heading 7"/>
    <w:basedOn w:val="1"/>
    <w:next w:val="1"/>
    <w:link w:val="34"/>
    <w:qFormat/>
    <w:uiPriority w:val="9"/>
    <w:pPr>
      <w:keepNext/>
      <w:keepLines/>
      <w:numPr>
        <w:ilvl w:val="6"/>
        <w:numId w:val="1"/>
      </w:numPr>
      <w:tabs>
        <w:tab w:val="left" w:pos="432"/>
        <w:tab w:val="left" w:pos="1296"/>
      </w:tabs>
      <w:spacing w:before="156" w:beforeLines="50" w:after="156" w:afterLines="50"/>
      <w:outlineLvl w:val="6"/>
    </w:pPr>
    <w:rPr>
      <w:rFonts w:hAnsiTheme="minorEastAsia"/>
      <w:b/>
      <w:bCs/>
    </w:rPr>
  </w:style>
  <w:style w:type="paragraph" w:styleId="11">
    <w:name w:val="heading 8"/>
    <w:basedOn w:val="1"/>
    <w:next w:val="1"/>
    <w:link w:val="35"/>
    <w:qFormat/>
    <w:uiPriority w:val="9"/>
    <w:pPr>
      <w:numPr>
        <w:ilvl w:val="7"/>
        <w:numId w:val="1"/>
      </w:numPr>
      <w:spacing w:before="156" w:beforeLines="50" w:after="156" w:afterLines="50"/>
      <w:outlineLvl w:val="7"/>
    </w:pPr>
    <w:rPr>
      <w:rFonts w:hAnsiTheme="minorEastAsia"/>
    </w:rPr>
  </w:style>
  <w:style w:type="paragraph" w:styleId="12">
    <w:name w:val="heading 9"/>
    <w:basedOn w:val="1"/>
    <w:next w:val="1"/>
    <w:link w:val="36"/>
    <w:qFormat/>
    <w:uiPriority w:val="9"/>
    <w:pPr>
      <w:numPr>
        <w:ilvl w:val="8"/>
        <w:numId w:val="1"/>
      </w:numPr>
      <w:spacing w:before="156" w:beforeLines="50" w:after="156" w:afterLines="50"/>
      <w:outlineLvl w:val="8"/>
    </w:pPr>
    <w:rPr>
      <w:rFonts w:hAnsiTheme="minorEastAsia"/>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link w:val="39"/>
    <w:semiHidden/>
    <w:unhideWhenUsed/>
    <w:qFormat/>
    <w:uiPriority w:val="99"/>
    <w:pPr>
      <w:spacing w:after="120"/>
    </w:pPr>
  </w:style>
  <w:style w:type="paragraph" w:styleId="3">
    <w:name w:val="Title"/>
    <w:basedOn w:val="1"/>
    <w:next w:val="1"/>
    <w:qFormat/>
    <w:uiPriority w:val="10"/>
    <w:pPr>
      <w:pBdr>
        <w:bottom w:val="single" w:color="4F81BD" w:sz="8" w:space="4"/>
      </w:pBdr>
      <w:spacing w:after="300"/>
      <w:contextualSpacing/>
    </w:pPr>
    <w:rPr>
      <w:rFonts w:ascii="Cambria" w:hAnsi="Cambria"/>
      <w:color w:val="17365D"/>
      <w:spacing w:val="5"/>
      <w:kern w:val="28"/>
      <w:sz w:val="52"/>
      <w:szCs w:val="52"/>
    </w:rPr>
  </w:style>
  <w:style w:type="paragraph" w:styleId="13">
    <w:name w:val="annotation text"/>
    <w:basedOn w:val="1"/>
    <w:link w:val="52"/>
    <w:semiHidden/>
    <w:unhideWhenUsed/>
    <w:qFormat/>
    <w:uiPriority w:val="99"/>
    <w:pPr>
      <w:jc w:val="left"/>
    </w:pPr>
  </w:style>
  <w:style w:type="paragraph" w:styleId="14">
    <w:name w:val="toc 3"/>
    <w:basedOn w:val="1"/>
    <w:next w:val="1"/>
    <w:unhideWhenUsed/>
    <w:qFormat/>
    <w:uiPriority w:val="39"/>
    <w:pPr>
      <w:ind w:left="840" w:leftChars="400"/>
    </w:pPr>
  </w:style>
  <w:style w:type="paragraph" w:styleId="15">
    <w:name w:val="Plain Text"/>
    <w:qFormat/>
    <w:uiPriority w:val="0"/>
    <w:pPr>
      <w:widowControl w:val="0"/>
      <w:jc w:val="both"/>
    </w:pPr>
    <w:rPr>
      <w:rFonts w:ascii="宋体" w:hAnsi="Courier New" w:eastAsia="宋体" w:cs="Times New Roman"/>
      <w:kern w:val="2"/>
      <w:sz w:val="21"/>
      <w:szCs w:val="21"/>
      <w:lang w:val="en-US" w:eastAsia="zh-CN" w:bidi="ar-SA"/>
    </w:rPr>
  </w:style>
  <w:style w:type="paragraph" w:styleId="16">
    <w:name w:val="Balloon Text"/>
    <w:basedOn w:val="1"/>
    <w:link w:val="54"/>
    <w:semiHidden/>
    <w:unhideWhenUsed/>
    <w:qFormat/>
    <w:uiPriority w:val="99"/>
    <w:pPr>
      <w:spacing w:line="240" w:lineRule="auto"/>
    </w:pPr>
    <w:rPr>
      <w:sz w:val="18"/>
      <w:szCs w:val="18"/>
    </w:rPr>
  </w:style>
  <w:style w:type="paragraph" w:styleId="17">
    <w:name w:val="footer"/>
    <w:basedOn w:val="1"/>
    <w:link w:val="37"/>
    <w:unhideWhenUsed/>
    <w:qFormat/>
    <w:uiPriority w:val="99"/>
    <w:pPr>
      <w:tabs>
        <w:tab w:val="center" w:pos="4153"/>
        <w:tab w:val="right" w:pos="8306"/>
      </w:tabs>
      <w:snapToGrid w:val="0"/>
      <w:jc w:val="left"/>
    </w:pPr>
    <w:rPr>
      <w:sz w:val="18"/>
      <w:szCs w:val="18"/>
    </w:rPr>
  </w:style>
  <w:style w:type="paragraph" w:styleId="18">
    <w:name w:val="header"/>
    <w:basedOn w:val="1"/>
    <w:link w:val="38"/>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unhideWhenUsed/>
    <w:qFormat/>
    <w:uiPriority w:val="39"/>
  </w:style>
  <w:style w:type="paragraph" w:styleId="20">
    <w:name w:val="toc 2"/>
    <w:basedOn w:val="1"/>
    <w:next w:val="1"/>
    <w:unhideWhenUsed/>
    <w:qFormat/>
    <w:uiPriority w:val="39"/>
    <w:pPr>
      <w:ind w:left="420" w:leftChars="200"/>
    </w:pPr>
  </w:style>
  <w:style w:type="paragraph" w:styleId="21">
    <w:name w:val="annotation subject"/>
    <w:basedOn w:val="13"/>
    <w:next w:val="13"/>
    <w:link w:val="53"/>
    <w:semiHidden/>
    <w:unhideWhenUsed/>
    <w:qFormat/>
    <w:uiPriority w:val="99"/>
    <w:rPr>
      <w:b/>
      <w:bCs/>
    </w:rPr>
  </w:style>
  <w:style w:type="paragraph" w:styleId="22">
    <w:name w:val="Body Text First Indent"/>
    <w:basedOn w:val="2"/>
    <w:link w:val="40"/>
    <w:qFormat/>
    <w:uiPriority w:val="0"/>
    <w:pPr>
      <w:ind w:firstLine="200" w:firstLineChars="200"/>
    </w:pPr>
  </w:style>
  <w:style w:type="table" w:styleId="24">
    <w:name w:val="Table Grid"/>
    <w:basedOn w:val="2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Hyperlink"/>
    <w:basedOn w:val="25"/>
    <w:unhideWhenUsed/>
    <w:qFormat/>
    <w:uiPriority w:val="99"/>
    <w:rPr>
      <w:color w:val="0000FF" w:themeColor="hyperlink"/>
      <w:u w:val="single"/>
      <w14:textFill>
        <w14:solidFill>
          <w14:schemeClr w14:val="hlink"/>
        </w14:solidFill>
      </w14:textFill>
    </w:rPr>
  </w:style>
  <w:style w:type="character" w:styleId="27">
    <w:name w:val="annotation reference"/>
    <w:basedOn w:val="25"/>
    <w:semiHidden/>
    <w:unhideWhenUsed/>
    <w:qFormat/>
    <w:uiPriority w:val="99"/>
    <w:rPr>
      <w:sz w:val="21"/>
      <w:szCs w:val="21"/>
    </w:rPr>
  </w:style>
  <w:style w:type="character" w:customStyle="1" w:styleId="28">
    <w:name w:val="标题 1 字符"/>
    <w:basedOn w:val="25"/>
    <w:link w:val="4"/>
    <w:qFormat/>
    <w:uiPriority w:val="0"/>
    <w:rPr>
      <w:rFonts w:ascii="宋体" w:hAnsiTheme="minorHAnsi" w:cstheme="minorBidi"/>
      <w:b/>
      <w:bCs/>
      <w:kern w:val="24"/>
      <w:sz w:val="32"/>
      <w:szCs w:val="22"/>
    </w:rPr>
  </w:style>
  <w:style w:type="character" w:customStyle="1" w:styleId="29">
    <w:name w:val="标题 4 字符"/>
    <w:link w:val="7"/>
    <w:qFormat/>
    <w:uiPriority w:val="0"/>
    <w:rPr>
      <w:rFonts w:ascii="宋体" w:cs="宋体" w:hAnsiTheme="minorEastAsia"/>
      <w:b/>
      <w:bCs/>
      <w:kern w:val="2"/>
      <w:sz w:val="24"/>
      <w:szCs w:val="22"/>
    </w:rPr>
  </w:style>
  <w:style w:type="character" w:customStyle="1" w:styleId="30">
    <w:name w:val="标题 2 字符"/>
    <w:link w:val="5"/>
    <w:qFormat/>
    <w:uiPriority w:val="0"/>
    <w:rPr>
      <w:rFonts w:ascii="宋体" w:cs="宋体" w:hAnsiTheme="minorEastAsia"/>
      <w:b/>
      <w:bCs/>
      <w:kern w:val="2"/>
      <w:sz w:val="30"/>
      <w:szCs w:val="28"/>
    </w:rPr>
  </w:style>
  <w:style w:type="character" w:customStyle="1" w:styleId="31">
    <w:name w:val="标题 3 字符"/>
    <w:basedOn w:val="25"/>
    <w:link w:val="6"/>
    <w:qFormat/>
    <w:uiPriority w:val="9"/>
    <w:rPr>
      <w:rFonts w:ascii="宋体" w:hAnsi="宋体" w:cs="宋体"/>
      <w:b/>
      <w:bCs/>
      <w:kern w:val="2"/>
      <w:sz w:val="28"/>
      <w:szCs w:val="32"/>
    </w:rPr>
  </w:style>
  <w:style w:type="character" w:customStyle="1" w:styleId="32">
    <w:name w:val="标题 5 字符"/>
    <w:link w:val="8"/>
    <w:qFormat/>
    <w:uiPriority w:val="0"/>
    <w:rPr>
      <w:rFonts w:ascii="宋体" w:cs="宋体" w:hAnsiTheme="minorEastAsia"/>
      <w:b/>
      <w:bCs/>
      <w:kern w:val="2"/>
      <w:sz w:val="24"/>
      <w:szCs w:val="22"/>
    </w:rPr>
  </w:style>
  <w:style w:type="character" w:customStyle="1" w:styleId="33">
    <w:name w:val="标题 6 字符"/>
    <w:basedOn w:val="25"/>
    <w:link w:val="9"/>
    <w:qFormat/>
    <w:uiPriority w:val="0"/>
    <w:rPr>
      <w:rFonts w:ascii="宋体" w:hAnsiTheme="minorEastAsia" w:cstheme="minorBidi"/>
      <w:b/>
      <w:bCs/>
      <w:kern w:val="2"/>
      <w:sz w:val="24"/>
      <w:szCs w:val="22"/>
    </w:rPr>
  </w:style>
  <w:style w:type="character" w:customStyle="1" w:styleId="34">
    <w:name w:val="标题 7 字符"/>
    <w:basedOn w:val="25"/>
    <w:link w:val="10"/>
    <w:qFormat/>
    <w:uiPriority w:val="9"/>
    <w:rPr>
      <w:rFonts w:ascii="宋体" w:hAnsiTheme="minorEastAsia" w:cstheme="minorBidi"/>
      <w:b/>
      <w:bCs/>
      <w:kern w:val="2"/>
      <w:sz w:val="24"/>
      <w:szCs w:val="22"/>
    </w:rPr>
  </w:style>
  <w:style w:type="character" w:customStyle="1" w:styleId="35">
    <w:name w:val="标题 8 字符"/>
    <w:basedOn w:val="25"/>
    <w:link w:val="11"/>
    <w:qFormat/>
    <w:uiPriority w:val="9"/>
    <w:rPr>
      <w:rFonts w:ascii="宋体" w:hAnsiTheme="minorEastAsia" w:cstheme="minorBidi"/>
      <w:kern w:val="2"/>
      <w:sz w:val="24"/>
      <w:szCs w:val="22"/>
    </w:rPr>
  </w:style>
  <w:style w:type="character" w:customStyle="1" w:styleId="36">
    <w:name w:val="标题 9 字符"/>
    <w:basedOn w:val="25"/>
    <w:link w:val="12"/>
    <w:qFormat/>
    <w:uiPriority w:val="9"/>
    <w:rPr>
      <w:rFonts w:ascii="宋体" w:hAnsiTheme="minorEastAsia" w:cstheme="minorBidi"/>
      <w:kern w:val="2"/>
      <w:sz w:val="24"/>
      <w:szCs w:val="22"/>
    </w:rPr>
  </w:style>
  <w:style w:type="character" w:customStyle="1" w:styleId="37">
    <w:name w:val="页脚 字符"/>
    <w:basedOn w:val="25"/>
    <w:link w:val="17"/>
    <w:qFormat/>
    <w:uiPriority w:val="99"/>
    <w:rPr>
      <w:rFonts w:ascii="宋体" w:hAnsiTheme="minorHAnsi" w:cstheme="minorBidi"/>
      <w:kern w:val="2"/>
      <w:sz w:val="18"/>
      <w:szCs w:val="18"/>
    </w:rPr>
  </w:style>
  <w:style w:type="character" w:customStyle="1" w:styleId="38">
    <w:name w:val="页眉 字符"/>
    <w:basedOn w:val="25"/>
    <w:link w:val="18"/>
    <w:qFormat/>
    <w:uiPriority w:val="99"/>
    <w:rPr>
      <w:rFonts w:ascii="宋体" w:hAnsiTheme="minorHAnsi" w:cstheme="minorBidi"/>
      <w:kern w:val="2"/>
      <w:sz w:val="18"/>
      <w:szCs w:val="18"/>
    </w:rPr>
  </w:style>
  <w:style w:type="character" w:customStyle="1" w:styleId="39">
    <w:name w:val="正文文本 字符"/>
    <w:basedOn w:val="25"/>
    <w:link w:val="2"/>
    <w:semiHidden/>
    <w:qFormat/>
    <w:uiPriority w:val="99"/>
    <w:rPr>
      <w:rFonts w:ascii="宋体" w:hAnsiTheme="minorHAnsi" w:cstheme="minorBidi"/>
      <w:kern w:val="2"/>
      <w:sz w:val="24"/>
      <w:szCs w:val="22"/>
    </w:rPr>
  </w:style>
  <w:style w:type="character" w:customStyle="1" w:styleId="40">
    <w:name w:val="正文文本首行缩进 字符"/>
    <w:basedOn w:val="39"/>
    <w:link w:val="22"/>
    <w:qFormat/>
    <w:uiPriority w:val="0"/>
    <w:rPr>
      <w:rFonts w:ascii="宋体" w:hAnsiTheme="minorHAnsi" w:cstheme="minorBidi"/>
      <w:kern w:val="2"/>
      <w:sz w:val="24"/>
      <w:szCs w:val="22"/>
    </w:rPr>
  </w:style>
  <w:style w:type="paragraph" w:customStyle="1" w:styleId="41">
    <w:name w:val="修订1"/>
    <w:hidden/>
    <w:qFormat/>
    <w:uiPriority w:val="99"/>
    <w:rPr>
      <w:rFonts w:ascii="Times New Roman" w:hAnsi="Times New Roman" w:eastAsia="宋体" w:cs="Times New Roman"/>
      <w:kern w:val="2"/>
      <w:sz w:val="24"/>
      <w:szCs w:val="24"/>
      <w:lang w:val="en-US" w:eastAsia="zh-CN" w:bidi="ar-SA"/>
    </w:rPr>
  </w:style>
  <w:style w:type="paragraph" w:customStyle="1" w:styleId="42">
    <w:name w:val="修订2"/>
    <w:hidden/>
    <w:qFormat/>
    <w:uiPriority w:val="99"/>
    <w:rPr>
      <w:rFonts w:ascii="Times New Roman" w:hAnsi="Times New Roman" w:eastAsia="宋体" w:cs="Times New Roman"/>
      <w:kern w:val="2"/>
      <w:sz w:val="24"/>
      <w:szCs w:val="24"/>
      <w:lang w:val="en-US" w:eastAsia="zh-CN" w:bidi="ar-SA"/>
    </w:rPr>
  </w:style>
  <w:style w:type="paragraph" w:customStyle="1" w:styleId="43">
    <w:name w:val="修订21"/>
    <w:hidden/>
    <w:qFormat/>
    <w:uiPriority w:val="99"/>
    <w:pPr>
      <w:spacing w:line="360" w:lineRule="auto"/>
      <w:jc w:val="both"/>
    </w:pPr>
    <w:rPr>
      <w:rFonts w:ascii="Times New Roman" w:hAnsi="Times New Roman" w:eastAsia="宋体" w:cs="Times New Roman"/>
      <w:kern w:val="2"/>
      <w:sz w:val="24"/>
      <w:szCs w:val="24"/>
      <w:lang w:val="en-US" w:eastAsia="zh-CN" w:bidi="ar-SA"/>
    </w:rPr>
  </w:style>
  <w:style w:type="paragraph" w:customStyle="1" w:styleId="44">
    <w:name w:val="修订4"/>
    <w:hidden/>
    <w:semiHidden/>
    <w:qFormat/>
    <w:uiPriority w:val="99"/>
    <w:rPr>
      <w:rFonts w:ascii="宋体" w:hAnsi="宋体" w:eastAsia="宋体" w:cs="宋体"/>
      <w:sz w:val="24"/>
      <w:szCs w:val="24"/>
      <w:lang w:val="en-US" w:eastAsia="zh-CN" w:bidi="ar-SA"/>
    </w:rPr>
  </w:style>
  <w:style w:type="paragraph" w:customStyle="1" w:styleId="45">
    <w:name w:val="修订411"/>
    <w:hidden/>
    <w:semiHidden/>
    <w:qFormat/>
    <w:uiPriority w:val="99"/>
    <w:rPr>
      <w:rFonts w:ascii="宋体" w:hAnsi="宋体" w:eastAsia="宋体" w:cs="宋体"/>
      <w:sz w:val="24"/>
      <w:szCs w:val="24"/>
      <w:lang w:val="en-US" w:eastAsia="zh-CN" w:bidi="ar-SA"/>
    </w:rPr>
  </w:style>
  <w:style w:type="paragraph" w:customStyle="1" w:styleId="46">
    <w:name w:val="修订41"/>
    <w:hidden/>
    <w:semiHidden/>
    <w:qFormat/>
    <w:uiPriority w:val="99"/>
    <w:rPr>
      <w:rFonts w:ascii="宋体" w:hAnsi="宋体" w:eastAsia="宋体" w:cs="宋体"/>
      <w:sz w:val="24"/>
      <w:szCs w:val="24"/>
      <w:lang w:val="en-US" w:eastAsia="zh-CN" w:bidi="ar-SA"/>
    </w:rPr>
  </w:style>
  <w:style w:type="paragraph" w:customStyle="1" w:styleId="47">
    <w:name w:val="修订5"/>
    <w:hidden/>
    <w:semiHidden/>
    <w:qFormat/>
    <w:uiPriority w:val="99"/>
    <w:rPr>
      <w:rFonts w:ascii="宋体" w:hAnsi="宋体" w:eastAsia="宋体" w:cs="宋体"/>
      <w:sz w:val="24"/>
      <w:szCs w:val="24"/>
      <w:lang w:val="en-US" w:eastAsia="zh-CN" w:bidi="ar-SA"/>
    </w:rPr>
  </w:style>
  <w:style w:type="paragraph" w:customStyle="1" w:styleId="48">
    <w:name w:val="修订6"/>
    <w:hidden/>
    <w:semiHidden/>
    <w:qFormat/>
    <w:uiPriority w:val="99"/>
    <w:rPr>
      <w:rFonts w:ascii="宋体" w:hAnsi="宋体" w:eastAsia="宋体" w:cs="宋体"/>
      <w:sz w:val="24"/>
      <w:szCs w:val="24"/>
      <w:lang w:val="en-US" w:eastAsia="zh-CN" w:bidi="ar-SA"/>
    </w:rPr>
  </w:style>
  <w:style w:type="paragraph" w:customStyle="1" w:styleId="49">
    <w:name w:val="修订61"/>
    <w:hidden/>
    <w:semiHidden/>
    <w:qFormat/>
    <w:uiPriority w:val="99"/>
    <w:rPr>
      <w:rFonts w:ascii="宋体" w:hAnsi="宋体" w:eastAsia="宋体" w:cs="宋体"/>
      <w:sz w:val="24"/>
      <w:szCs w:val="24"/>
      <w:lang w:val="en-US" w:eastAsia="zh-CN" w:bidi="ar-SA"/>
    </w:rPr>
  </w:style>
  <w:style w:type="paragraph" w:customStyle="1" w:styleId="50">
    <w:name w:val="修订7"/>
    <w:hidden/>
    <w:semiHidden/>
    <w:qFormat/>
    <w:uiPriority w:val="99"/>
    <w:rPr>
      <w:rFonts w:ascii="宋体" w:hAnsi="宋体" w:eastAsia="宋体" w:cs="宋体"/>
      <w:sz w:val="24"/>
      <w:szCs w:val="24"/>
      <w:lang w:val="en-US" w:eastAsia="zh-CN" w:bidi="ar-SA"/>
    </w:rPr>
  </w:style>
  <w:style w:type="paragraph" w:customStyle="1" w:styleId="51">
    <w:name w:val="修订31"/>
    <w:hidden/>
    <w:unhideWhenUsed/>
    <w:qFormat/>
    <w:uiPriority w:val="99"/>
    <w:rPr>
      <w:rFonts w:ascii="Times New Roman" w:hAnsi="Times New Roman" w:eastAsia="宋体" w:cs="Times New Roman"/>
      <w:kern w:val="2"/>
      <w:sz w:val="24"/>
      <w:szCs w:val="24"/>
      <w:lang w:val="en-US" w:eastAsia="zh-CN" w:bidi="ar-SA"/>
    </w:rPr>
  </w:style>
  <w:style w:type="character" w:customStyle="1" w:styleId="52">
    <w:name w:val="批注文字 字符"/>
    <w:basedOn w:val="25"/>
    <w:link w:val="13"/>
    <w:semiHidden/>
    <w:qFormat/>
    <w:uiPriority w:val="99"/>
    <w:rPr>
      <w:rFonts w:ascii="宋体" w:hAnsiTheme="minorHAnsi" w:cstheme="minorBidi"/>
      <w:kern w:val="2"/>
      <w:sz w:val="24"/>
      <w:szCs w:val="22"/>
    </w:rPr>
  </w:style>
  <w:style w:type="character" w:customStyle="1" w:styleId="53">
    <w:name w:val="批注主题 字符"/>
    <w:basedOn w:val="52"/>
    <w:link w:val="21"/>
    <w:semiHidden/>
    <w:qFormat/>
    <w:uiPriority w:val="99"/>
    <w:rPr>
      <w:rFonts w:ascii="宋体" w:hAnsiTheme="minorHAnsi" w:cstheme="minorBidi"/>
      <w:b/>
      <w:bCs/>
      <w:kern w:val="2"/>
      <w:sz w:val="24"/>
      <w:szCs w:val="22"/>
    </w:rPr>
  </w:style>
  <w:style w:type="character" w:customStyle="1" w:styleId="54">
    <w:name w:val="批注框文本 字符"/>
    <w:basedOn w:val="25"/>
    <w:link w:val="16"/>
    <w:semiHidden/>
    <w:qFormat/>
    <w:uiPriority w:val="99"/>
    <w:rPr>
      <w:rFonts w:ascii="宋体" w:hAnsiTheme="minorHAnsi" w:cstheme="minorBidi"/>
      <w:kern w:val="2"/>
      <w:sz w:val="18"/>
      <w:szCs w:val="18"/>
    </w:rPr>
  </w:style>
  <w:style w:type="paragraph" w:customStyle="1" w:styleId="55">
    <w:name w:val="一级条标题"/>
    <w:next w:val="56"/>
    <w:qFormat/>
    <w:uiPriority w:val="0"/>
    <w:pPr>
      <w:numPr>
        <w:ilvl w:val="2"/>
        <w:numId w:val="2"/>
      </w:numPr>
      <w:snapToGrid w:val="0"/>
      <w:spacing w:line="360" w:lineRule="auto"/>
      <w:outlineLvl w:val="2"/>
    </w:pPr>
    <w:rPr>
      <w:rFonts w:ascii="宋体" w:hAnsi="宋体" w:eastAsia="宋体" w:cs="Times New Roman"/>
      <w:sz w:val="24"/>
      <w:szCs w:val="24"/>
      <w:lang w:val="en-US" w:eastAsia="zh-CN" w:bidi="ar-SA"/>
    </w:rPr>
  </w:style>
  <w:style w:type="paragraph" w:customStyle="1" w:styleId="56">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7">
    <w:name w:val="二级条标题"/>
    <w:basedOn w:val="55"/>
    <w:next w:val="56"/>
    <w:qFormat/>
    <w:uiPriority w:val="0"/>
    <w:pPr>
      <w:numPr>
        <w:ilvl w:val="3"/>
      </w:numPr>
      <w:outlineLvl w:val="3"/>
    </w:pPr>
    <w:rPr>
      <w:sz w:val="21"/>
      <w:szCs w:val="21"/>
    </w:rPr>
  </w:style>
  <w:style w:type="table" w:customStyle="1" w:styleId="58">
    <w:name w:val="Table Normal"/>
    <w:semiHidden/>
    <w:unhideWhenUsed/>
    <w:qFormat/>
    <w:uiPriority w:val="0"/>
    <w:tblPr>
      <w:tblCellMar>
        <w:top w:w="0" w:type="dxa"/>
        <w:left w:w="0" w:type="dxa"/>
        <w:bottom w:w="0" w:type="dxa"/>
        <w:right w:w="0" w:type="dxa"/>
      </w:tblCellMar>
    </w:tblPr>
  </w:style>
  <w:style w:type="paragraph" w:customStyle="1" w:styleId="59">
    <w:name w:val="Table Text"/>
    <w:basedOn w:val="1"/>
    <w:semiHidden/>
    <w:qFormat/>
    <w:uiPriority w:val="0"/>
    <w:rPr>
      <w:rFonts w:ascii="宋体" w:hAnsi="宋体" w:eastAsia="宋体" w:cs="宋体"/>
      <w:sz w:val="22"/>
      <w:szCs w:val="22"/>
      <w:lang w:val="en-US" w:eastAsia="en-US" w:bidi="ar-SA"/>
    </w:rPr>
  </w:style>
  <w:style w:type="character" w:customStyle="1" w:styleId="60">
    <w:name w:val="font31"/>
    <w:basedOn w:val="25"/>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2.emf"/><Relationship Id="rId15" Type="http://schemas.openxmlformats.org/officeDocument/2006/relationships/theme" Target="theme/theme1.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33</Pages>
  <Words>4204</Words>
  <Characters>4665</Characters>
  <Lines>71</Lines>
  <Paragraphs>20</Paragraphs>
  <TotalTime>0</TotalTime>
  <ScaleCrop>false</ScaleCrop>
  <LinksUpToDate>false</LinksUpToDate>
  <CharactersWithSpaces>4850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2023-03-04T10:59:00Z</dcterms:created>
  <dcterms:modified xsi:type="dcterms:W3CDTF">2026-08-05T12:02:34Z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551A04DF462F4F1A813E0F306AEE7C75_13</vt:lpwstr>
  </property>
  <property fmtid="{D5CDD505-2E9C-101B-9397-08002B2CF9AE}" pid="4" name="KSOTemplateDocerSaveRecord">
    <vt:lpwstr>eyJoZGlkIjoiMDk1NDgwMTdmOTgyNWQzYjEwOWZjNWZkYzQ1NzBiZTYiLCJ1c2VySWQiOiI0MDUzODM3MTAifQ==</vt:lpwstr>
  </property>
  <property fmtid="{D5CDD505-2E9C-101B-9397-08002B2CF9AE}" pid="5" name="WondersoftTag">
    <vt:lpwstr>3A83DFC9-1DBD-4B92-A486-1908D3D28EDC#2#B422F00B-ED564B59-B9DC4A2E-9A4E6E1F##0</vt:lpwstr>
  </property>
</Properties>
</file>