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bookmarkStart w:id="1" w:name="_GoBack"/>
      <w:r>
        <w:rPr>
          <w:rFonts w:hint="eastAsia"/>
          <w:highlight w:val="none"/>
          <w:lang w:val="en-US" w:eastAsia="zh-CN"/>
        </w:rPr>
        <w:t>响应文件格式</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供应商需按照以下顺序和格式提供响应文件，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OLAP多维数据分析引擎</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i/>
          <w:iCs/>
          <w:color w:val="0000FF"/>
          <w:kern w:val="0"/>
          <w:sz w:val="24"/>
          <w:szCs w:val="24"/>
          <w:highlight w:val="none"/>
          <w:u w:val="single"/>
          <w:lang w:val="en-US" w:eastAsia="zh-CN" w:bidi="ar"/>
        </w:rPr>
        <w:t>（请填写拟投标项目名称）</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2"/>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2"/>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寻源方</w:t>
      </w:r>
      <w:bookmarkEnd w:id="0"/>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OLAP多维数据分析引擎</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说明：若是制造商作为本次寻源的响应方的，则由制造商填写。若是被授权的代理商作为本次寻源的响应方的，则由被授权经销商填写。）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2"/>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OLAP多维数据分析引擎</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2"/>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1.1.7.1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2"/>
        <w:spacing w:line="360" w:lineRule="auto"/>
        <w:rPr>
          <w:rFonts w:hint="eastAsia"/>
          <w:highlight w:val="none"/>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1.1.8法定代表人授权书（格式六）</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OLAP多维数据分析引擎</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1.1.9被授权人身份证明（格式七）</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b/>
          <w:bCs/>
          <w:i w:val="0"/>
          <w:iCs w:val="0"/>
          <w:color w:val="0000FF"/>
          <w:kern w:val="0"/>
          <w:sz w:val="24"/>
          <w:szCs w:val="24"/>
          <w:highlight w:val="none"/>
          <w:u w:val="single"/>
          <w:lang w:val="en-US" w:eastAsia="zh-CN" w:bidi="ar"/>
        </w:rPr>
        <w:t>OLAP多维数据分析引擎</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1.1.10法定代表人身份证明（格式八）</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9"/>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9"/>
        <w:spacing w:line="360" w:lineRule="auto"/>
        <w:rPr>
          <w:rFonts w:hint="eastAsia" w:ascii="仿宋" w:hAnsi="仿宋" w:eastAsia="仿宋" w:cs="仿宋"/>
          <w:snapToGrid w:val="0"/>
          <w:kern w:val="24"/>
          <w:sz w:val="24"/>
          <w:szCs w:val="24"/>
          <w:highlight w:val="none"/>
        </w:rPr>
      </w:pPr>
    </w:p>
    <w:p>
      <w:pPr>
        <w:pStyle w:val="29"/>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9"/>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9"/>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2"/>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OLAP多维数据分析引擎</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中选后，本项目所提供产品满足自主可控的要求，符合南方电网相关的数据安全标准和法规，切实保护招标方的隐私和数据安全。</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bidi w:val="0"/>
        <w:rPr>
          <w:rFonts w:hint="eastAsia" w:ascii="仿宋" w:hAnsi="仿宋" w:eastAsia="仿宋" w:cs="仿宋"/>
          <w:b/>
          <w:bCs/>
          <w:sz w:val="24"/>
          <w:szCs w:val="24"/>
          <w:highlight w:val="none"/>
          <w:lang w:val="en-US" w:eastAsia="zh-CN"/>
        </w:rPr>
        <w:sectPr>
          <w:pgSz w:w="11906" w:h="16838"/>
          <w:pgMar w:top="1440" w:right="1800" w:bottom="1440" w:left="1800" w:header="851" w:footer="992" w:gutter="0"/>
          <w:cols w:space="720" w:num="1"/>
          <w:docGrid w:type="lines" w:linePitch="312" w:charSpace="0"/>
        </w:sectPr>
      </w:pPr>
    </w:p>
    <w:p>
      <w:pPr>
        <w:bidi w:val="0"/>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val="0"/>
          <w:iCs w:val="0"/>
          <w:color w:val="0000FF"/>
          <w:kern w:val="0"/>
          <w:sz w:val="24"/>
          <w:szCs w:val="24"/>
          <w:highlight w:val="none"/>
          <w:u w:val="single"/>
          <w:lang w:val="en-US" w:eastAsia="zh-CN" w:bidi="ar"/>
        </w:rPr>
        <w:t>2026年南方电网数据平台与安全（广东）有限公司大数据底座软件投标寻源项目</w:t>
      </w:r>
      <w:r>
        <w:rPr>
          <w:rFonts w:hint="eastAsia" w:ascii="仿宋" w:hAnsi="仿宋" w:eastAsia="仿宋" w:cs="仿宋"/>
          <w:color w:val="auto"/>
          <w:sz w:val="24"/>
          <w:szCs w:val="24"/>
          <w:highlight w:val="none"/>
          <w:u w:val="none"/>
          <w:lang w:val="en-US" w:eastAsia="zh-CN"/>
        </w:rPr>
        <w:t>中</w:t>
      </w:r>
      <w:r>
        <w:rPr>
          <w:rFonts w:hint="eastAsia" w:ascii="仿宋" w:hAnsi="仿宋" w:eastAsia="仿宋" w:cs="仿宋"/>
          <w:b/>
          <w:bCs/>
          <w:color w:val="0000EE"/>
          <w:sz w:val="24"/>
          <w:szCs w:val="24"/>
          <w:highlight w:val="none"/>
          <w:u w:val="single"/>
          <w:lang w:val="en-US" w:eastAsia="zh-CN"/>
        </w:rPr>
        <w:t xml:space="preserve"> OLAP多维数据分析引擎</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3"/>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说明：若是被授权代理商作为本次寻源的响应方的，则由被授权代理商填写。若是制造商作为本次寻源的响应方的，则无需填写。）</w:t>
      </w:r>
    </w:p>
    <w:p>
      <w:pPr>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说明：若是被授权代理商作为本次寻源的响应方的，则由被授权代理商填写。若是制造商作为本次寻源的响应方的，则无需填写。）</w:t>
      </w:r>
    </w:p>
    <w:p>
      <w:pPr>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2"/>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2"/>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hint="default"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近年财务状况表</w:t>
      </w:r>
    </w:p>
    <w:tbl>
      <w:tblPr>
        <w:tblStyle w:val="22"/>
        <w:tblW w:w="8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1075"/>
        <w:gridCol w:w="1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营业收入</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营业净利率</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现金净流量（万元）</w:t>
            </w: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流动负债（万元）</w:t>
            </w: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净现金流动比率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default" w:ascii="仿宋" w:hAnsi="仿宋" w:eastAsia="仿宋" w:cs="仿宋"/>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平均值</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7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6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9"/>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2"/>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beforeLines="0" w:afterLines="0" w:line="360" w:lineRule="auto"/>
        <w:outlineLvl w:val="9"/>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3.1.2环境管理体系认证等有效证明文件</w:t>
      </w:r>
    </w:p>
    <w:p>
      <w:pPr>
        <w:spacing w:beforeLines="0" w:afterLines="0" w:line="360" w:lineRule="auto"/>
        <w:rPr>
          <w:rFonts w:hint="eastAsia" w:ascii="仿宋" w:hAnsi="仿宋" w:eastAsia="仿宋" w:cs="仿宋"/>
          <w:sz w:val="24"/>
          <w:szCs w:val="24"/>
          <w:highlight w:val="none"/>
        </w:rPr>
      </w:pPr>
      <w:r>
        <w:rPr>
          <w:rFonts w:hint="eastAsia" w:ascii="仿宋" w:hAnsi="仿宋" w:eastAsia="仿宋" w:cs="仿宋"/>
          <w:i/>
          <w:color w:val="0000FF"/>
          <w:kern w:val="0"/>
          <w:sz w:val="24"/>
          <w:szCs w:val="24"/>
          <w:highlight w:val="none"/>
          <w:u w:val="single"/>
          <w:lang w:bidi="ar"/>
        </w:rPr>
        <w:t>（说明：根据询价内容及要求，提供制造商（原厂）环境管理体系认证及其他相关资质等。）</w:t>
      </w:r>
    </w:p>
    <w:p>
      <w:pPr>
        <w:spacing w:beforeLines="0" w:afterLines="0" w:line="360" w:lineRule="auto"/>
        <w:rPr>
          <w:rFonts w:hint="eastAsia" w:ascii="仿宋" w:hAnsi="仿宋" w:eastAsia="仿宋" w:cs="仿宋"/>
          <w:i/>
          <w:color w:val="0000FF"/>
          <w:kern w:val="0"/>
          <w:sz w:val="24"/>
          <w:szCs w:val="24"/>
          <w:highlight w:val="none"/>
          <w:u w:val="single"/>
          <w:lang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3.1.3</w:t>
      </w:r>
      <w:r>
        <w:rPr>
          <w:rFonts w:hint="eastAsia" w:ascii="仿宋" w:hAnsi="仿宋" w:eastAsia="仿宋" w:cs="仿宋"/>
          <w:b/>
          <w:sz w:val="24"/>
          <w:szCs w:val="24"/>
          <w:highlight w:val="none"/>
        </w:rPr>
        <w:t>职业健康安全管理体系认证等有效证明文件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（说明：根据询价内容及要求，提供制造商（原厂）职业健康安全管理体系认证及其他相关资质等。）</w:t>
      </w:r>
    </w:p>
    <w:p>
      <w:pPr>
        <w:spacing w:beforeLines="0" w:afterLines="0" w:line="360" w:lineRule="auto"/>
        <w:rPr>
          <w:rFonts w:hint="eastAsia" w:ascii="仿宋" w:hAnsi="仿宋" w:eastAsia="仿宋" w:cs="仿宋"/>
          <w:i/>
          <w:color w:val="0000FF"/>
          <w:kern w:val="0"/>
          <w:sz w:val="24"/>
          <w:szCs w:val="24"/>
          <w:highlight w:val="none"/>
          <w:u w:val="single"/>
          <w:lang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sz w:val="24"/>
          <w:szCs w:val="24"/>
          <w:highlight w:val="none"/>
        </w:rPr>
        <w:t>信息安全管理体系认证等有效证明文件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（说明：根据询价内容及要求，提供制造商（原厂）信息安全管理体系认证及其他相关资质等。）</w:t>
      </w:r>
    </w:p>
    <w:p>
      <w:pPr>
        <w:pStyle w:val="2"/>
        <w:rPr>
          <w:rFonts w:hint="eastAsia"/>
          <w:highlight w:val="none"/>
          <w:lang w:val="en-US" w:eastAsia="zh-CN"/>
        </w:rPr>
      </w:pPr>
    </w:p>
    <w:p>
      <w:pPr>
        <w:bidi w:val="0"/>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spacing w:line="240" w:lineRule="auto"/>
        <w:rPr>
          <w:rFonts w:hint="eastAsia" w:ascii="仿宋" w:hAnsi="仿宋" w:eastAsia="仿宋" w:cs="仿宋"/>
          <w:b/>
          <w:bCs/>
          <w:kern w:val="2"/>
          <w:sz w:val="24"/>
          <w:szCs w:val="24"/>
          <w:highlight w:val="none"/>
          <w:lang w:val="en-US" w:eastAsia="zh-CN" w:bidi="ar-SA"/>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spacing w:beforeLines="0" w:afterLines="0" w:line="360" w:lineRule="auto"/>
        <w:rPr>
          <w:rFonts w:hint="eastAsia" w:ascii="仿宋" w:hAnsi="仿宋" w:eastAsia="仿宋" w:cs="仿宋"/>
          <w:i/>
          <w:color w:val="0000FF"/>
          <w:kern w:val="0"/>
          <w:sz w:val="24"/>
          <w:szCs w:val="24"/>
          <w:highlight w:val="none"/>
          <w:u w:val="single"/>
          <w:lang w:bidi="ar"/>
        </w:rPr>
      </w:pPr>
      <w:r>
        <w:rPr>
          <w:rFonts w:hint="eastAsia" w:ascii="仿宋" w:hAnsi="仿宋" w:eastAsia="仿宋" w:cs="仿宋"/>
          <w:i/>
          <w:color w:val="0000FF"/>
          <w:kern w:val="0"/>
          <w:sz w:val="24"/>
          <w:szCs w:val="24"/>
          <w:highlight w:val="none"/>
          <w:u w:val="single"/>
          <w:lang w:bidi="ar"/>
        </w:rPr>
        <w:t>（说明：根据询价内容及要求，提供被授权经销商质量管理体系认证及其他相关资质等，若是制造商作为本次寻源的响应方的，则无需填写。）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3.2.2</w:t>
      </w:r>
      <w:r>
        <w:rPr>
          <w:rFonts w:hint="eastAsia" w:ascii="仿宋" w:hAnsi="仿宋" w:eastAsia="仿宋" w:cs="仿宋"/>
          <w:b/>
          <w:sz w:val="24"/>
          <w:szCs w:val="24"/>
          <w:highlight w:val="none"/>
        </w:rPr>
        <w:t>环境管理体系认证等有效证明文件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（说明：根据询价内容及要求，提供被授权经销商环境管理体系认证及其他相关资质等，若是制造商作为本次寻源的响应方的，则无需填写。）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3.2.3</w:t>
      </w:r>
      <w:r>
        <w:rPr>
          <w:rFonts w:hint="eastAsia" w:ascii="仿宋" w:hAnsi="仿宋" w:eastAsia="仿宋" w:cs="仿宋"/>
          <w:b/>
          <w:sz w:val="24"/>
          <w:szCs w:val="24"/>
          <w:highlight w:val="none"/>
        </w:rPr>
        <w:t>职业健康安全管理体系认证等有效证明文件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（说明：根据询价内容及要求，提供被授权经销商职业健康安全管理体系认证及其他相关资质等，若是制造商作为本次寻源的响应方的，则无需填写。）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beforeLines="0" w:afterLines="0" w:line="360" w:lineRule="auto"/>
        <w:outlineLvl w:val="3"/>
        <w:rPr>
          <w:rFonts w:hint="eastAsia" w:ascii="仿宋" w:hAnsi="仿宋" w:eastAsia="仿宋" w:cs="仿宋"/>
          <w:b/>
          <w:sz w:val="24"/>
          <w:szCs w:val="24"/>
          <w:highlight w:val="none"/>
        </w:rPr>
      </w:pPr>
      <w:r>
        <w:rPr>
          <w:rFonts w:hint="eastAsia" w:ascii="仿宋" w:hAnsi="仿宋" w:eastAsia="仿宋" w:cs="仿宋"/>
          <w:b/>
          <w:bCs/>
          <w:sz w:val="24"/>
          <w:szCs w:val="24"/>
          <w:highlight w:val="none"/>
          <w:lang w:val="en-US" w:eastAsia="zh-CN"/>
        </w:rPr>
        <w:t>3.2.4</w:t>
      </w:r>
      <w:r>
        <w:rPr>
          <w:rFonts w:hint="eastAsia" w:ascii="仿宋" w:hAnsi="仿宋" w:eastAsia="仿宋" w:cs="仿宋"/>
          <w:b/>
          <w:sz w:val="24"/>
          <w:szCs w:val="24"/>
          <w:highlight w:val="none"/>
        </w:rPr>
        <w:t>信息安全管理体系认证等有效证明文件</w:t>
      </w:r>
    </w:p>
    <w:p>
      <w:pPr>
        <w:spacing w:beforeLines="0" w:afterLines="0" w:line="360" w:lineRule="auto"/>
        <w:rPr>
          <w:rFonts w:hint="eastAsia"/>
          <w:sz w:val="21"/>
          <w:szCs w:val="24"/>
          <w:highlight w:val="none"/>
        </w:rPr>
      </w:pPr>
      <w:r>
        <w:rPr>
          <w:rFonts w:hint="eastAsia" w:ascii="仿宋" w:hAnsi="仿宋" w:eastAsia="仿宋" w:cs="仿宋"/>
          <w:i/>
          <w:color w:val="0000FF"/>
          <w:kern w:val="0"/>
          <w:sz w:val="24"/>
          <w:szCs w:val="24"/>
          <w:highlight w:val="none"/>
          <w:u w:val="single"/>
          <w:lang w:bidi="ar"/>
        </w:rPr>
        <w:t>（说明：根据询价内容及要求，提供被授权经销商信息安全管理体系认证及其他相关资质等，若是制造商作为本次寻源的响应方的，则无需填写。）</w:t>
      </w:r>
    </w:p>
    <w:p>
      <w:pPr>
        <w:spacing w:line="360" w:lineRule="auto"/>
        <w:rPr>
          <w:rFonts w:hint="eastAsia"/>
          <w:highlight w:val="none"/>
          <w:lang w:val="en-US" w:eastAsia="zh-CN"/>
        </w:rPr>
      </w:pPr>
    </w:p>
    <w:p>
      <w:pPr>
        <w:pStyle w:val="7"/>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3.2.5主要生产设备、检验设备清单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pStyle w:val="7"/>
        <w:numPr>
          <w:ilvl w:val="1"/>
          <w:numId w:val="0"/>
        </w:numPr>
        <w:ind w:leftChars="0"/>
        <w:rPr>
          <w:rFonts w:hint="default"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3.2.6主要生产设备、检验设备证明材料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3.2.7</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诚信经营</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4.1企业纳税信用等级</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i/>
          <w:iCs/>
          <w:color w:val="0000FF"/>
          <w:sz w:val="24"/>
          <w:highlight w:val="none"/>
          <w:u w:val="single"/>
        </w:rPr>
      </w:pPr>
      <w:r>
        <w:rPr>
          <w:rFonts w:hint="eastAsia" w:ascii="仿宋" w:hAnsi="仿宋" w:eastAsia="仿宋" w:cs="仿宋"/>
          <w:i/>
          <w:iCs/>
          <w:color w:val="0000FF"/>
          <w:sz w:val="24"/>
          <w:highlight w:val="none"/>
          <w:u w:val="single"/>
          <w:lang w:val="en-US" w:eastAsia="zh-CN"/>
        </w:rPr>
        <w:t>（提供税务机关出具的近三年纳税等级证明材料。）</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4.2信用情况</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（提供国家企业信用信息公示系统（www.gsxt.gov.cn）和“信用中国”（www.creditchina.gov.cn）查询截图）</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p>
    <w:p>
      <w:pPr>
        <w:numPr>
          <w:ilvl w:val="0"/>
          <w:numId w:val="2"/>
        </w:numPr>
        <w:spacing w:line="360" w:lineRule="auto"/>
        <w:ind w:left="0" w:leftChars="0" w:firstLine="0" w:firstLineChars="0"/>
        <w:outlineLvl w:val="1"/>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商务响应性</w:t>
      </w: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5.1质保期保证</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说明：若是制造商作为本次寻源的响应方的，则由制造商填写。若是被授权的代理商作为本次寻源的响应方的，则由被授权代理商填写。须提供响应质保期材料，格式自定义。</w:t>
      </w:r>
      <w:r>
        <w:rPr>
          <w:rFonts w:ascii="仿宋" w:hAnsi="仿宋" w:eastAsia="仿宋" w:cs="仿宋"/>
          <w:i/>
          <w:iCs/>
          <w:color w:val="0000FF"/>
          <w:kern w:val="0"/>
          <w:sz w:val="24"/>
          <w:szCs w:val="24"/>
          <w:highlight w:val="none"/>
          <w:u w:val="single"/>
          <w:lang w:val="en-US" w:eastAsia="zh-CN" w:bidi="ar"/>
        </w:rPr>
        <w:t>）</w:t>
      </w:r>
    </w:p>
    <w:p>
      <w:pPr>
        <w:rPr>
          <w:rFonts w:hint="default"/>
          <w:highlight w:val="none"/>
          <w:lang w:val="en-US" w:eastAsia="zh-CN"/>
        </w:rPr>
      </w:pPr>
    </w:p>
    <w:p>
      <w:pPr>
        <w:pStyle w:val="2"/>
        <w:rPr>
          <w:rFonts w:hint="default"/>
          <w:highlight w:val="none"/>
          <w:lang w:val="en-US" w:eastAsia="zh-CN"/>
        </w:rPr>
      </w:pPr>
    </w:p>
    <w:p>
      <w:pPr>
        <w:bidi w:val="0"/>
        <w:rPr>
          <w:rFonts w:hint="default"/>
          <w:highlight w:val="none"/>
          <w:lang w:val="en-US" w:eastAsia="zh-CN"/>
        </w:rPr>
      </w:pPr>
    </w:p>
    <w:p>
      <w:pPr>
        <w:rPr>
          <w:rFonts w:hint="default"/>
          <w:highlight w:val="none"/>
          <w:lang w:val="en-US" w:eastAsia="zh-CN"/>
        </w:rPr>
      </w:pPr>
    </w:p>
    <w:p>
      <w:pPr>
        <w:pStyle w:val="2"/>
        <w:rPr>
          <w:rFonts w:hint="default"/>
          <w:highlight w:val="none"/>
          <w:lang w:val="en-US" w:eastAsia="zh-CN"/>
        </w:rPr>
      </w:pPr>
    </w:p>
    <w:p>
      <w:pPr>
        <w:bidi w:val="0"/>
        <w:rPr>
          <w:rFonts w:hint="default"/>
          <w:highlight w:val="none"/>
          <w:lang w:val="en-US" w:eastAsia="zh-CN"/>
        </w:rPr>
      </w:pPr>
    </w:p>
    <w:p>
      <w:pPr>
        <w:bidi w:val="0"/>
        <w:rPr>
          <w:rFonts w:hint="default"/>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5.2供应稳定</w:t>
      </w:r>
    </w:p>
    <w:p>
      <w:pPr>
        <w:keepNext w:val="0"/>
        <w:keepLines w:val="0"/>
        <w:widowControl/>
        <w:suppressLineNumbers w:val="0"/>
        <w:spacing w:line="360" w:lineRule="auto"/>
        <w:jc w:val="left"/>
        <w:rPr>
          <w:rFonts w:hint="eastAsia" w:ascii="仿宋" w:hAnsi="仿宋" w:eastAsia="仿宋" w:cs="仿宋"/>
          <w:i/>
          <w:iCs/>
          <w:color w:val="0000FF"/>
          <w:sz w:val="24"/>
          <w:szCs w:val="24"/>
          <w:highlight w:val="none"/>
          <w:u w:val="single"/>
          <w:lang w:val="en-US" w:eastAsia="zh-CN"/>
        </w:rPr>
      </w:pP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p>
    <w:p>
      <w:pPr>
        <w:widowControl/>
        <w:bidi w:val="0"/>
        <w:jc w:val="left"/>
        <w:rPr>
          <w:rFonts w:hint="eastAsia" w:ascii="仿宋" w:hAnsi="仿宋" w:eastAsia="仿宋" w:cs="仿宋"/>
          <w:highlight w:val="none"/>
        </w:rPr>
      </w:pPr>
      <w:r>
        <w:rPr>
          <w:rFonts w:hint="eastAsia" w:ascii="仿宋" w:hAnsi="仿宋" w:eastAsia="仿宋" w:cs="仿宋"/>
          <w:b/>
          <w:bCs/>
          <w:sz w:val="22"/>
          <w:szCs w:val="28"/>
          <w:highlight w:val="none"/>
          <w:lang w:val="en-US" w:eastAsia="zh-CN"/>
        </w:rPr>
        <w:t>（一）供应能力承诺函</w:t>
      </w:r>
    </w:p>
    <w:p>
      <w:pPr>
        <w:keepNext w:val="0"/>
        <w:keepLines w:val="0"/>
        <w:pageBreakBefore w:val="0"/>
        <w:widowControl w:val="0"/>
        <w:kinsoku/>
        <w:wordWrap/>
        <w:overflowPunct/>
        <w:topLinePunct w:val="0"/>
        <w:autoSpaceDE/>
        <w:autoSpaceDN/>
        <w:bidi w:val="0"/>
        <w:adjustRightInd/>
        <w:snapToGrid/>
        <w:spacing w:before="240" w:after="120" w:line="560" w:lineRule="exact"/>
        <w:jc w:val="center"/>
        <w:textAlignment w:val="auto"/>
        <w:rPr>
          <w:rFonts w:hint="default"/>
          <w:highlight w:val="none"/>
        </w:rPr>
      </w:pPr>
      <w:r>
        <w:rPr>
          <w:rFonts w:hint="eastAsia"/>
          <w:b/>
          <w:bCs/>
          <w:color w:val="auto"/>
          <w:sz w:val="24"/>
          <w:szCs w:val="32"/>
          <w:highlight w:val="none"/>
          <w:lang w:val="en-US" w:eastAsia="zh-CN"/>
        </w:rPr>
        <w:t>供应能力承诺函</w:t>
      </w:r>
    </w:p>
    <w:p>
      <w:pPr>
        <w:pStyle w:val="19"/>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40" w:lineRule="exact"/>
        <w:ind w:left="0" w:right="0"/>
        <w:jc w:val="both"/>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u w:val="single"/>
          <w:lang w:val="en-US" w:eastAsia="zh-CN" w:bidi="ar"/>
        </w:rPr>
        <w:t>致：南方电网数据平台与安全（广东）有限公司</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bCs w:val="0"/>
          <w:i w:val="0"/>
          <w:caps w:val="0"/>
          <w:spacing w:val="0"/>
          <w:kern w:val="0"/>
          <w:sz w:val="24"/>
          <w:szCs w:val="24"/>
          <w:highlight w:val="none"/>
          <w:shd w:val="clear" w:color="auto" w:fill="FFFFFF"/>
          <w:lang w:val="en-US" w:eastAsia="zh-CN" w:bidi="ar"/>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我司参与</w:t>
      </w:r>
      <w:r>
        <w:rPr>
          <w:rFonts w:hint="eastAsia" w:ascii="仿宋" w:hAnsi="仿宋" w:eastAsia="仿宋" w:cs="仿宋"/>
          <w:b w:val="0"/>
          <w:bCs w:val="0"/>
          <w:i w:val="0"/>
          <w:caps w:val="0"/>
          <w:spacing w:val="0"/>
          <w:kern w:val="0"/>
          <w:sz w:val="24"/>
          <w:szCs w:val="24"/>
          <w:highlight w:val="none"/>
          <w:u w:val="single"/>
          <w:shd w:val="clear" w:color="auto" w:fill="FFFFFF"/>
          <w:lang w:val="en-US" w:eastAsia="zh-CN" w:bidi="ar"/>
        </w:rPr>
        <w:t>2026年南方电网数据平台与安全（广东）有限公司大数据底座软件投标寻源项目</w:t>
      </w:r>
      <w:r>
        <w:rPr>
          <w:rFonts w:hint="eastAsia" w:ascii="仿宋" w:hAnsi="仿宋" w:eastAsia="仿宋" w:cs="仿宋"/>
          <w:b w:val="0"/>
          <w:bCs w:val="0"/>
          <w:i w:val="0"/>
          <w:caps w:val="0"/>
          <w:spacing w:val="0"/>
          <w:kern w:val="0"/>
          <w:sz w:val="24"/>
          <w:szCs w:val="24"/>
          <w:highlight w:val="none"/>
          <w:shd w:val="clear" w:color="auto" w:fill="FFFFFF"/>
          <w:lang w:val="en-US" w:eastAsia="zh-CN" w:bidi="ar"/>
        </w:rPr>
        <w:t>寻源响应，承诺中选后将严格按照寻源需求文件响应情况完成产品供应和技术服务提供，具体内容如下：</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DD960" w:themeFill="accent3" w:themeFillTint="99"/>
          <w:lang w:val="en-US" w:eastAsia="zh-CN" w:bidi="ar"/>
        </w:rPr>
        <w:t>承诺/不承诺</w:t>
      </w:r>
      <w:r>
        <w:rPr>
          <w:rFonts w:hint="eastAsia" w:ascii="仿宋" w:hAnsi="仿宋" w:eastAsia="仿宋" w:cs="仿宋"/>
          <w:b w:val="0"/>
          <w:i w:val="0"/>
          <w:caps w:val="0"/>
          <w:spacing w:val="0"/>
          <w:kern w:val="0"/>
          <w:sz w:val="24"/>
          <w:szCs w:val="24"/>
          <w:highlight w:val="none"/>
          <w:shd w:val="clear" w:color="auto" w:fill="FFFFFF"/>
          <w:lang w:val="en-US" w:eastAsia="zh-CN" w:bidi="ar"/>
        </w:rPr>
        <w:t>提供全生命周期内免费补丁升级服务。</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我司对所响应产品的质量安全承担连带责任。若因响应产品的质量问题引发安全事故、造成经济损失或不良影响，我方无异议并自愿接受相应处理。</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承诺针对所响应的产品全生命周期在合同履行及产品质保周期内，提供版本维护、缺陷修复、安全补丁、兼容性适配、技术资料及必要的技术支持服务；产品全生命周期内持续提供缺陷修复、安全补丁及必要的技术支持服务，保障软件产品持续可用、稳定运行和后续运维升级需求。</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我司承诺因改扩建等后期项目建设要求，为保证功能配套而需要继续采用单一来源采购的寻源响应产品，承诺以不高于同期响应价格提供同型号产品。</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若违反本承诺，寻源方有权根据南方电网数据平台与安全（广东）有限公司供应商失信扣分实</w:t>
      </w:r>
      <w:r>
        <w:rPr>
          <w:rFonts w:hint="eastAsia" w:ascii="仿宋" w:hAnsi="仿宋" w:eastAsia="仿宋" w:cs="仿宋"/>
          <w:b w:val="0"/>
          <w:i w:val="0"/>
          <w:caps w:val="0"/>
          <w:spacing w:val="0"/>
          <w:kern w:val="0"/>
          <w:sz w:val="24"/>
          <w:szCs w:val="24"/>
          <w:highlight w:val="none"/>
          <w:shd w:val="clear" w:color="auto" w:fill="FFFFFF"/>
          <w:lang w:val="en-US" w:eastAsia="zh-CN" w:bidi="ar"/>
        </w:rPr>
        <w:t>施细则有关内容对我司进行处罚，我司愿承担由此导致的不利信用评价风险。</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特此承诺。</w:t>
      </w:r>
    </w:p>
    <w:p>
      <w:pPr>
        <w:spacing w:line="360" w:lineRule="auto"/>
        <w:jc w:val="right"/>
        <w:rPr>
          <w:rFonts w:hint="eastAsia" w:ascii="仿宋" w:hAnsi="仿宋" w:eastAsia="仿宋" w:cs="仿宋"/>
          <w:b/>
          <w:bCs/>
          <w:sz w:val="24"/>
          <w:highlight w:val="none"/>
        </w:rPr>
      </w:pPr>
    </w:p>
    <w:p>
      <w:pPr>
        <w:spacing w:line="360" w:lineRule="auto"/>
        <w:jc w:val="righ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供应商</w:t>
      </w:r>
      <w:r>
        <w:rPr>
          <w:rFonts w:hint="eastAsia" w:ascii="宋体" w:hAnsi="宋体" w:eastAsia="宋体" w:cs="宋体"/>
          <w:b w:val="0"/>
          <w:bCs w:val="0"/>
          <w:sz w:val="21"/>
          <w:szCs w:val="21"/>
          <w:highlight w:val="none"/>
          <w:lang w:val="en-US" w:eastAsia="zh-CN"/>
        </w:rPr>
        <w:t>\制造商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（公章或电子签章）</w:t>
      </w:r>
    </w:p>
    <w:p>
      <w:pPr>
        <w:spacing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spacing w:line="360" w:lineRule="auto"/>
        <w:jc w:val="right"/>
        <w:rPr>
          <w:rFonts w:hint="eastAsia" w:ascii="仿宋" w:hAnsi="仿宋" w:eastAsia="仿宋" w:cs="仿宋"/>
          <w:sz w:val="24"/>
          <w:highlight w:val="none"/>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5.3其他（如有）</w:t>
      </w:r>
    </w:p>
    <w:p>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相关内容/证明材料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按照寻源公告中的资格条件提供寻源产品的相关资质证书等。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6.2技术培训方案</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（须提供培训方案、培训课件、培训人员履历或简历等材料，格式自定义。）</w:t>
      </w:r>
    </w:p>
    <w:p>
      <w:pPr>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6.3售后服务</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（提供售后服务响应机制和售后服务承诺函等材料，格式自定义。）</w:t>
      </w:r>
    </w:p>
    <w:p>
      <w:pPr>
        <w:rPr>
          <w:rFonts w:hint="eastAsia"/>
          <w:highlight w:val="none"/>
          <w:lang w:val="en-US" w:eastAsia="zh-CN"/>
        </w:rPr>
      </w:pPr>
    </w:p>
    <w:p>
      <w:pPr>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6.4功能完备性</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宋体" w:hAnsi="宋体" w:cs="宋体"/>
          <w:b/>
          <w:bCs/>
          <w:i/>
          <w:iCs/>
          <w:color w:val="FF0000"/>
          <w:highlight w:val="none"/>
          <w:lang w:val="en-US" w:eastAsia="zh-CN"/>
        </w:rPr>
      </w:pPr>
      <w:r>
        <w:rPr>
          <w:rFonts w:hint="eastAsia" w:hAnsi="宋体" w:cs="宋体"/>
          <w:b/>
          <w:bCs/>
          <w:highlight w:val="none"/>
          <w:lang w:val="en-US" w:eastAsia="zh-CN"/>
        </w:rPr>
        <w:t>技术参数应答及相关证明材料</w:t>
      </w:r>
      <w:r>
        <w:rPr>
          <w:rFonts w:hint="eastAsia"/>
          <w:b/>
          <w:bCs/>
          <w:highlight w:val="none"/>
          <w:lang w:eastAsia="zh-CN"/>
        </w:rPr>
        <w:t>：</w:t>
      </w:r>
      <w:r>
        <w:rPr>
          <w:rFonts w:hint="eastAsia"/>
          <w:b/>
          <w:bCs/>
          <w:i/>
          <w:iCs/>
          <w:color w:val="FF0000"/>
          <w:highlight w:val="none"/>
          <w:lang w:eastAsia="zh-CN"/>
        </w:rPr>
        <w:t>（</w:t>
      </w:r>
      <w:r>
        <w:rPr>
          <w:rFonts w:hint="eastAsia"/>
          <w:b/>
          <w:bCs/>
          <w:i/>
          <w:iCs/>
          <w:color w:val="FF0000"/>
          <w:highlight w:val="none"/>
          <w:lang w:val="en-US" w:eastAsia="zh-CN"/>
        </w:rPr>
        <w:t>带</w:t>
      </w:r>
      <w:r>
        <w:rPr>
          <w:rFonts w:hint="eastAsia" w:ascii="宋体" w:hAnsi="宋体" w:eastAsia="宋体" w:cs="宋体"/>
          <w:b/>
          <w:bCs/>
          <w:i/>
          <w:iCs/>
          <w:color w:val="FF0000"/>
          <w:highlight w:val="none"/>
          <w:lang w:val="en-US" w:eastAsia="zh-CN"/>
        </w:rPr>
        <w:t>★</w:t>
      </w:r>
      <w:r>
        <w:rPr>
          <w:rFonts w:hint="eastAsia" w:ascii="宋体" w:hAnsi="宋体" w:cs="宋体"/>
          <w:b/>
          <w:bCs/>
          <w:i/>
          <w:iCs/>
          <w:color w:val="FF0000"/>
          <w:highlight w:val="none"/>
          <w:lang w:val="en-US" w:eastAsia="zh-CN"/>
        </w:rPr>
        <w:t>的为关键技术参数，</w:t>
      </w:r>
      <w:r>
        <w:rPr>
          <w:rFonts w:hint="eastAsia" w:cs="Times New Roman"/>
          <w:b/>
          <w:bCs/>
          <w:i/>
          <w:iCs/>
          <w:color w:val="FF0000"/>
          <w:highlight w:val="none"/>
          <w:lang w:val="en-US" w:eastAsia="zh-CN"/>
        </w:rPr>
        <w:t>应答时必须</w:t>
      </w:r>
      <w:r>
        <w:rPr>
          <w:rFonts w:hint="eastAsia" w:ascii="宋体" w:hAnsi="宋体" w:cs="宋体"/>
          <w:b/>
          <w:bCs/>
          <w:i/>
          <w:iCs/>
          <w:color w:val="FF0000"/>
          <w:highlight w:val="none"/>
          <w:lang w:val="en-US" w:eastAsia="zh-CN"/>
        </w:rPr>
        <w:t>提供相应的证明材料，包括第三方测试报告、产品白皮书、产品性能承诺书等类似材料）</w:t>
      </w:r>
    </w:p>
    <w:p>
      <w:pPr>
        <w:pStyle w:val="2"/>
        <w:rPr>
          <w:rFonts w:hint="default"/>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6.4.1功能\性能要求</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1.★支持数据源获取和查询的能力，支持Kafka数据实时数据写入能力；</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2.支持Flink-CDC实时同步达梦、PG、MySQL等关系型数据库CDC数据更新能力；</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3.支持外表查询和导入HDFS、达梦、PG、MySQL等关系型数据库的能力；</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4.资源管理：提供机器资源的管控能力，支持多租户资源分配；支持在线的机器资源扩展能力。</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5.★支持动态分区，支持根据设定自动创建未来分区元数据；支持根据设定自动清理历史分区数据；支持数据重分布，支持扩缩容后基于节点及磁盘粒度进行数据自动重分布；</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6.数据模型开发：针对不同的查询方式，构建不同的数据模型，保证最优查询性能；</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7.支持维度分析明细查询的数据模型开发；不依赖于预构建，既可以查询明细数据也可以查询聚合指标；</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8.资源监控与告警：支持对OLAP系统的资源实时监控，资源紧张或者服务异常时应及时告警并处理，保证服务的高可用性。</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9.支持缓存机制，减少重复查询造成的计算资源浪费；</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10.分布式Join：支持CBO自动优化： Repliated-join、Bucekt-shuffle-join, Broacast-join, Shuffle-join；</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11.支持Colocation-Join ，保证亿级大表Join没有节点间网络开销；</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12.支持跨库的Colocation-Join；</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13.实时更新能力：支持按联合主键更新整行数据；</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14.支持Update语法；支持按联合主键更新部分列数据partial update，更新时仅指定需要更新的列信息，无需手动补齐其余列；</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15.支持Condition update，保证数据实时更新，不被乱序数据扰乱；</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16.支持CDC数据实时摄入，以Delete-Insert（Merge-On-Write）形式支持实时Upsert/Delete操作；</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17.联邦查询分析：支持Hive（含ViewFS）、MySQL、Oracle、PostgreSQL、ES、 Iceberg、Hudi等外表查询能力；</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18.支持外表和内置表关联查询实现联邦分析；</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19.支持热查询；</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20.支持向量化执行引擎，充分利用CPU单核资源；</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21.Pipeline并行执行框架，充分利用多核资源，查询性能随机器核数近似线性扩展</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22.CBO优化器，生成最佳的分布式物理执行计划，满足多表关联、子查询嵌套等复杂查询有最佳查询分析体验</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23.★支持单表物化视图，实时增量构建，支持单表的复杂表达式的任意SQL自动形成物化结果；</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24.支持异步定时刷新的多表物化视图，可以把多表关联、子查询嵌套、复杂表达式的任意SQL自动形成物化结果；</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25.基于基表的QueryRewrite透明查询，自动命中物化视图，无需基于别名查询；</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26.支持max,min,sum,count聚合及hll_union, bitmap_union等去重算子</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27.支持复杂数据类型：支持Json、Array、Map、Struct、HLL和Bitmap数据类型；提供交集、并集、差集等集合计算函数；查看执行计划；提供explain查看</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28.支持日志审计功能，可记录SQL查询统计信息，包括响应时间、SQL指纹、资源消耗等信息。</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29.满足公司自主可控要求。</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30.★支持配置访问多个数据湖集群。</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31.</w:t>
      </w:r>
      <w:r>
        <w:rPr>
          <w:rFonts w:hint="eastAsia" w:ascii="仿宋" w:hAnsi="仿宋" w:eastAsia="仿宋" w:cs="仿宋"/>
          <w:b w:val="0"/>
          <w:bCs w:val="0"/>
          <w:sz w:val="24"/>
          <w:szCs w:val="24"/>
          <w:highlight w:val="none"/>
        </w:rPr>
        <w:t>★资源可扩展条件下，支持亿级别数据量级宽表单表查询响应请求数不低于1000个每秒，数据加载速度不低于100MB每秒，单个SQL请求响应时间小于3秒。</w:t>
      </w:r>
    </w:p>
    <w:p>
      <w:pPr>
        <w:pStyle w:val="2"/>
        <w:rPr>
          <w:rFonts w:hint="default"/>
          <w:b/>
          <w:b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6.4.2自主可控要求</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1.优先使用《南网云平台技术白皮书》所发布的服务与组件，采用南网云平台的中间件、数据库组件、计算、存储资源等技术或开源技术保证自主可控；</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本项目涉及的所有应用和软硬件产品必须符合自主可控要求，且本项目涉及的所有应用能够适配未来自主可控环境潜在变化需求，目前南方电网公司CPU、浏览器、操作系统、数据库中间件等情况包括但不仅限于：</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1）★CPU：兼容自主可控CPU（ARM、MIPS、X86、ALPHA等）架构。</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2）浏览器：兼容统信浏览器、麒麟奇安信浏览器、360安全浏览器、搜狗浏览器、红芯浏览器等自主可控浏览器。</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3）★操作系统：该软件兼容 UOS、麒麟等通过国家安全可靠测评的桌面和服务器操作系统。</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4）★数据库中间件：可以兼容国内主流自主可控数据库（如：达梦等）、中间件（如：中创等）。</w:t>
      </w:r>
    </w:p>
    <w:p>
      <w:pPr>
        <w:numPr>
          <w:ilvl w:val="0"/>
          <w:numId w:val="0"/>
        </w:numPr>
        <w:spacing w:line="360" w:lineRule="auto"/>
        <w:ind w:left="420" w:leftChars="200" w:firstLine="0" w:firstLine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5）本项目涉及的所有应用和软硬件产品需要提供自主可控证明文件。</w:t>
      </w:r>
    </w:p>
    <w:p>
      <w:pPr>
        <w:pStyle w:val="2"/>
        <w:rPr>
          <w:rFonts w:hint="eastAsia" w:ascii="宋体" w:hAnsi="宋体" w:cs="宋体"/>
          <w:b/>
          <w:bCs/>
          <w:i/>
          <w:iCs/>
          <w:color w:val="000000" w:themeColor="text1"/>
          <w:highlight w:val="none"/>
          <w:lang w:val="en-US" w:eastAsia="zh-CN"/>
          <w14:textFill>
            <w14:solidFill>
              <w14:schemeClr w14:val="tx1"/>
            </w14:solidFill>
          </w14:textFill>
        </w:rPr>
      </w:pPr>
      <w:r>
        <w:rPr>
          <w:rFonts w:hint="eastAsia" w:ascii="宋体" w:hAnsi="宋体" w:cs="宋体"/>
          <w:b/>
          <w:bCs/>
          <w:i/>
          <w:iCs/>
          <w:color w:val="000000" w:themeColor="text1"/>
          <w:highlight w:val="none"/>
          <w:lang w:val="en-US" w:eastAsia="zh-CN"/>
          <w14:textFill>
            <w14:solidFill>
              <w14:schemeClr w14:val="tx1"/>
            </w14:solidFill>
          </w14:textFill>
        </w:rPr>
        <w:t>6.4.3其它要求（根据技术参数偏离表响应）</w:t>
      </w:r>
    </w:p>
    <w:p>
      <w:pPr>
        <w:spacing w:line="360" w:lineRule="auto"/>
        <w:rPr>
          <w:rFonts w:hint="eastAsia" w:ascii="仿宋" w:hAnsi="仿宋" w:eastAsia="仿宋" w:cs="仿宋"/>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pStyle w:val="6"/>
        <w:numPr>
          <w:ilvl w:val="1"/>
          <w:numId w:val="0"/>
        </w:numPr>
        <w:bidi w:val="0"/>
        <w:spacing w:line="360" w:lineRule="auto"/>
        <w:ind w:leftChars="0"/>
        <w:rPr>
          <w:rFonts w:hint="default"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6.5实施方案</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6.5.1实施计划及保障措施</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（请根据技术评审要素要求及技术偏差表要求提供相关内容/证明材料（包括实施进度计划及服务承诺、保障措施、技术服务机制等内容）），格式自定义。</w:t>
      </w:r>
    </w:p>
    <w:p>
      <w:pPr>
        <w:pStyle w:val="2"/>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6.6其他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2"/>
        <w:rPr>
          <w:rFonts w:hint="eastAsia"/>
          <w:highlight w:val="none"/>
        </w:rPr>
      </w:pPr>
    </w:p>
    <w:p>
      <w:pPr>
        <w:rPr>
          <w:rFonts w:hint="eastAsia"/>
          <w:highlight w:val="none"/>
        </w:rPr>
      </w:pPr>
      <w:r>
        <w:rPr>
          <w:rFonts w:hint="eastAsia"/>
          <w:highlight w:val="none"/>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598"/>
        <w:gridCol w:w="1200"/>
        <w:gridCol w:w="1247"/>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59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24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r>
              <w:rPr>
                <w:rFonts w:hint="eastAsia" w:ascii="仿宋" w:hAnsi="仿宋" w:eastAsia="仿宋" w:cs="仿宋"/>
                <w:bCs/>
                <w:sz w:val="24"/>
                <w:szCs w:val="24"/>
                <w:highlight w:val="none"/>
                <w:lang w:val="en-US" w:eastAsia="zh-CN"/>
              </w:rPr>
              <w:t>OLAP多维数据分析引擎</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FF0000"/>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cs="仿宋"/>
                <w:color w:val="auto"/>
                <w:kern w:val="2"/>
                <w:sz w:val="24"/>
                <w:szCs w:val="24"/>
                <w:highlight w:val="none"/>
                <w:lang w:val="en-US" w:eastAsia="zh-CN" w:bidi="ar-SA"/>
              </w:rPr>
            </w:pPr>
            <w:r>
              <w:rPr>
                <w:rFonts w:hint="eastAsia" w:ascii="仿宋" w:hAnsi="仿宋" w:eastAsia="仿宋" w:cs="仿宋"/>
                <w:bCs/>
                <w:sz w:val="24"/>
                <w:szCs w:val="24"/>
                <w:highlight w:val="none"/>
                <w:lang w:val="en-US" w:eastAsia="zh-CN"/>
              </w:rPr>
              <w:t>套</w:t>
            </w:r>
          </w:p>
        </w:tc>
        <w:tc>
          <w:tcPr>
            <w:tcW w:w="59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cs="仿宋"/>
                <w:color w:val="auto"/>
                <w:kern w:val="2"/>
                <w:sz w:val="24"/>
                <w:szCs w:val="24"/>
                <w:highlight w:val="none"/>
                <w:lang w:val="en-US" w:eastAsia="zh-CN" w:bidi="ar-SA"/>
              </w:rPr>
            </w:pPr>
            <w:r>
              <w:rPr>
                <w:rFonts w:hint="eastAsia" w:ascii="仿宋" w:hAnsi="仿宋" w:eastAsia="仿宋" w:cs="仿宋"/>
                <w:bCs/>
                <w:sz w:val="24"/>
                <w:szCs w:val="24"/>
                <w:highlight w:val="none"/>
                <w:lang w:val="en-US" w:eastAsia="zh-CN"/>
              </w:rPr>
              <w:t>200</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bookmarkEnd w:id="1"/>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3078F309"/>
    <w:multiLevelType w:val="singleLevel"/>
    <w:tmpl w:val="3078F309"/>
    <w:lvl w:ilvl="0" w:tentative="0">
      <w:start w:val="1"/>
      <w:numFmt w:val="decimal"/>
      <w:suff w:val="nothing"/>
      <w:lvlText w:val="（%1）"/>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4402E"/>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188187D"/>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186298"/>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11F97"/>
    <w:rsid w:val="40BB2DD0"/>
    <w:rsid w:val="40DF6356"/>
    <w:rsid w:val="40F87666"/>
    <w:rsid w:val="412D5087"/>
    <w:rsid w:val="417A14FB"/>
    <w:rsid w:val="41BF069E"/>
    <w:rsid w:val="41C04416"/>
    <w:rsid w:val="422704F3"/>
    <w:rsid w:val="422F6EA6"/>
    <w:rsid w:val="426E4AEA"/>
    <w:rsid w:val="427B1627"/>
    <w:rsid w:val="42A62E30"/>
    <w:rsid w:val="42C11714"/>
    <w:rsid w:val="42C84DBE"/>
    <w:rsid w:val="42EB0859"/>
    <w:rsid w:val="43086E28"/>
    <w:rsid w:val="43255201"/>
    <w:rsid w:val="432F4B29"/>
    <w:rsid w:val="432F53AF"/>
    <w:rsid w:val="43BC29BB"/>
    <w:rsid w:val="43E06D85"/>
    <w:rsid w:val="43EF4B3E"/>
    <w:rsid w:val="43F8578A"/>
    <w:rsid w:val="44336579"/>
    <w:rsid w:val="445C6678"/>
    <w:rsid w:val="446342B3"/>
    <w:rsid w:val="446A2417"/>
    <w:rsid w:val="44781CBC"/>
    <w:rsid w:val="44C62FEB"/>
    <w:rsid w:val="44DC50C3"/>
    <w:rsid w:val="44F80C4B"/>
    <w:rsid w:val="450D7972"/>
    <w:rsid w:val="45563563"/>
    <w:rsid w:val="45B54E7A"/>
    <w:rsid w:val="45E11139"/>
    <w:rsid w:val="462008E0"/>
    <w:rsid w:val="463F7FFF"/>
    <w:rsid w:val="4668391F"/>
    <w:rsid w:val="468626E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2D0A5C"/>
    <w:rsid w:val="537B1F4B"/>
    <w:rsid w:val="538B4884"/>
    <w:rsid w:val="539D6365"/>
    <w:rsid w:val="53A00470"/>
    <w:rsid w:val="53A21BCD"/>
    <w:rsid w:val="53AF7E46"/>
    <w:rsid w:val="54353EFA"/>
    <w:rsid w:val="545F7CD0"/>
    <w:rsid w:val="548A17D5"/>
    <w:rsid w:val="54A651D7"/>
    <w:rsid w:val="54FB4AFB"/>
    <w:rsid w:val="552705DC"/>
    <w:rsid w:val="5577641C"/>
    <w:rsid w:val="55A63A05"/>
    <w:rsid w:val="55CA76DF"/>
    <w:rsid w:val="565D49D8"/>
    <w:rsid w:val="566F1681"/>
    <w:rsid w:val="56B57E6A"/>
    <w:rsid w:val="56EF6DF2"/>
    <w:rsid w:val="575E6C7E"/>
    <w:rsid w:val="580531F2"/>
    <w:rsid w:val="584D3E3E"/>
    <w:rsid w:val="58CB44FD"/>
    <w:rsid w:val="59060509"/>
    <w:rsid w:val="59092CF6"/>
    <w:rsid w:val="5911563C"/>
    <w:rsid w:val="591A248A"/>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2D2508"/>
    <w:rsid w:val="5D5932D1"/>
    <w:rsid w:val="5D845EA0"/>
    <w:rsid w:val="5DA07D5A"/>
    <w:rsid w:val="5DB1394D"/>
    <w:rsid w:val="5E826883"/>
    <w:rsid w:val="5EAF73F9"/>
    <w:rsid w:val="5EB809CA"/>
    <w:rsid w:val="5EC450EE"/>
    <w:rsid w:val="5EC51A8B"/>
    <w:rsid w:val="5EE91BE3"/>
    <w:rsid w:val="5F548980"/>
    <w:rsid w:val="5F9C1BC7"/>
    <w:rsid w:val="5FE3FA26"/>
    <w:rsid w:val="5FE5B467"/>
    <w:rsid w:val="603911C4"/>
    <w:rsid w:val="608F405C"/>
    <w:rsid w:val="60C97425"/>
    <w:rsid w:val="6108329D"/>
    <w:rsid w:val="611556AE"/>
    <w:rsid w:val="61331F98"/>
    <w:rsid w:val="61985A8C"/>
    <w:rsid w:val="619967BD"/>
    <w:rsid w:val="61B5449B"/>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6B836F4"/>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429F7"/>
    <w:rsid w:val="6DBFF581"/>
    <w:rsid w:val="6DD7A971"/>
    <w:rsid w:val="6DFD7C82"/>
    <w:rsid w:val="6E26547D"/>
    <w:rsid w:val="6E977011"/>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29A6E69"/>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CD33BE"/>
    <w:rsid w:val="7CFC55FB"/>
    <w:rsid w:val="7D2B1642"/>
    <w:rsid w:val="7D4603FA"/>
    <w:rsid w:val="7D586CD5"/>
    <w:rsid w:val="7D7F5C64"/>
    <w:rsid w:val="7DB84B82"/>
    <w:rsid w:val="7DEFADAD"/>
    <w:rsid w:val="7E9B797F"/>
    <w:rsid w:val="7F030EC3"/>
    <w:rsid w:val="7F4A64A2"/>
    <w:rsid w:val="7F4C0ABC"/>
    <w:rsid w:val="7F74591C"/>
    <w:rsid w:val="7F9B327E"/>
    <w:rsid w:val="7FFF53E7"/>
    <w:rsid w:val="9DFAAFE1"/>
    <w:rsid w:val="BDBF5BB2"/>
    <w:rsid w:val="CFFF5DBD"/>
    <w:rsid w:val="DB7BFC70"/>
    <w:rsid w:val="DDFA6A2F"/>
    <w:rsid w:val="E4FFA52F"/>
    <w:rsid w:val="E67B1C68"/>
    <w:rsid w:val="F1D7DC87"/>
    <w:rsid w:val="F3FE2B88"/>
    <w:rsid w:val="F4EF21E7"/>
    <w:rsid w:val="F4F7BB4F"/>
    <w:rsid w:val="F6BE9371"/>
    <w:rsid w:val="F785AA70"/>
    <w:rsid w:val="F7EFAA55"/>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26"/>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7"/>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character" w:customStyle="1" w:styleId="26">
    <w:name w:val="标题 1 Char"/>
    <w:link w:val="4"/>
    <w:qFormat/>
    <w:uiPriority w:val="0"/>
    <w:rPr>
      <w:b/>
      <w:kern w:val="44"/>
      <w:sz w:val="44"/>
    </w:rPr>
  </w:style>
  <w:style w:type="character" w:customStyle="1" w:styleId="27">
    <w:name w:val="标题 4 Char"/>
    <w:link w:val="7"/>
    <w:qFormat/>
    <w:uiPriority w:val="0"/>
    <w:rPr>
      <w:rFonts w:ascii="Arial" w:hAnsi="Arial" w:eastAsia="黑体"/>
      <w:sz w:val="28"/>
    </w:rPr>
  </w:style>
  <w:style w:type="paragraph" w:customStyle="1" w:styleId="28">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9">
    <w:name w:val="南网格式"/>
    <w:basedOn w:val="1"/>
    <w:qFormat/>
    <w:uiPriority w:val="0"/>
    <w:pPr>
      <w:widowControl/>
      <w:spacing w:before="120" w:line="360" w:lineRule="auto"/>
      <w:jc w:val="left"/>
    </w:pPr>
    <w:rPr>
      <w:rFonts w:ascii="宋体" w:hAnsi="宋体"/>
      <w:kern w:val="0"/>
      <w:sz w:val="24"/>
      <w:szCs w:val="28"/>
    </w:rPr>
  </w:style>
  <w:style w:type="paragraph" w:customStyle="1" w:styleId="30">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6660</Words>
  <Characters>7358</Characters>
  <Lines>0</Lines>
  <Paragraphs>0</Paragraphs>
  <TotalTime>0</TotalTime>
  <ScaleCrop>false</ScaleCrop>
  <LinksUpToDate>false</LinksUpToDate>
  <CharactersWithSpaces>8124</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2023-10-23T17:32:00Z</dcterms:created>
  <dc:creator>风影</dc:creator>
  <cp:lastModifiedBy>HZHB-CHENXIAOCHUN</cp:lastModifiedBy>
  <dcterms:modified xsi:type="dcterms:W3CDTF">2026-08-07T15:10:11Z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eyJoZGlkIjoiYzY0ZTZmNWU5Zjg4MDliNTgxZjYxMjg2NmY4YTQzNDEiLCJ1c2VySWQiOiI3NzE0MzQ3NTAifQ==</vt:lpwstr>
  </property>
</Properties>
</file>