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bookmarkStart w:id="1" w:name="_GoBack"/>
      <w:bookmarkEnd w:id="1"/>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供应商需按照以下顺序和格式提供响应文件，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向量数据库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向量数据库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说明：若是制造商作为本次寻源的响应方的，则由制造商填写。若是被授权的代理商作为本次寻源的响应方的，则由被授权经销商填写。）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向量数据库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向量数据库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b/>
          <w:bCs/>
          <w:i w:val="0"/>
          <w:iCs w:val="0"/>
          <w:color w:val="0000FF"/>
          <w:kern w:val="0"/>
          <w:sz w:val="24"/>
          <w:szCs w:val="24"/>
          <w:highlight w:val="none"/>
          <w:u w:val="single"/>
          <w:lang w:val="en-US" w:eastAsia="zh-CN" w:bidi="ar"/>
        </w:rPr>
        <w:t>向量数据库</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9"/>
        <w:spacing w:line="360" w:lineRule="auto"/>
        <w:rPr>
          <w:rFonts w:hint="eastAsia" w:ascii="仿宋" w:hAnsi="仿宋" w:eastAsia="仿宋" w:cs="仿宋"/>
          <w:snapToGrid w:val="0"/>
          <w:kern w:val="24"/>
          <w:sz w:val="24"/>
          <w:szCs w:val="24"/>
          <w:highlight w:val="none"/>
        </w:rPr>
      </w:pPr>
    </w:p>
    <w:p>
      <w:pPr>
        <w:pStyle w:val="29"/>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向量数据库</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bidi w:val="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p>
    <w:p>
      <w:pPr>
        <w:bidi w:val="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向量数据库</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hint="default"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近年财务状况表</w:t>
      </w:r>
    </w:p>
    <w:tbl>
      <w:tblPr>
        <w:tblStyle w:val="22"/>
        <w:tblW w:w="8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1075"/>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营业收入</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营业净利率</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现金净流量（万元）</w:t>
            </w: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流动负债（万元）</w:t>
            </w: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default"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sz w:val="24"/>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（说明：根据询价内容及要求，提供制造商（原厂）环境管理体系认证及其他相关资质等。）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（说明：根据询价内容及要求，提供制造商（原厂）职业健康安全管理体系认证及其他相关资质等。）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（说明：根据询价内容及要求，提供制造商（原厂）信息安全管理体系认证及其他相关资质等。）</w:t>
      </w:r>
    </w:p>
    <w:p>
      <w:pPr>
        <w:pStyle w:val="2"/>
        <w:rPr>
          <w:rFonts w:hint="eastAsia"/>
          <w:highlight w:val="none"/>
          <w:lang w:val="en-US" w:eastAsia="zh-CN"/>
        </w:rPr>
      </w:pPr>
    </w:p>
    <w:p>
      <w:pPr>
        <w:bidi w:val="0"/>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spacing w:line="240" w:lineRule="auto"/>
        <w:rPr>
          <w:rFonts w:hint="eastAsia" w:ascii="仿宋" w:hAnsi="仿宋" w:eastAsia="仿宋" w:cs="仿宋"/>
          <w:b/>
          <w:bCs/>
          <w:kern w:val="2"/>
          <w:sz w:val="24"/>
          <w:szCs w:val="24"/>
          <w:highlight w:val="none"/>
          <w:lang w:val="en-US" w:eastAsia="zh-CN" w:bidi="ar-SA"/>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（说明：根据询价内容及要求，提供被授权经销商质量管理体系认证及其他相关资质等，若是制造商作为本次寻源的响应方的，则无需填写。）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highlight w:val="none"/>
        </w:rPr>
        <w:t>环境管理体系认证等有效证明文件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（说明：根据询价内容及要求，提供被授权经销商环境管理体系认证及其他相关资质等，若是制造商作为本次寻源的响应方的，则无需填写。）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（说明：根据询价内容及要求，提供被授权经销商职业健康安全管理体系认证及其他相关资质等，若是制造商作为本次寻源的响应方的，则无需填写。）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（说明：根据询价内容及要求，提供被授权经销商信息安全管理体系认证及其他相关资质等，若是制造商作为本次寻源的响应方的，则无需填写。）</w:t>
      </w:r>
    </w:p>
    <w:p>
      <w:pPr>
        <w:spacing w:line="360" w:lineRule="auto"/>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诚信经营</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4.1企业纳税信用等级</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lang w:val="en-US" w:eastAsia="zh-CN"/>
        </w:rPr>
        <w:t>（提供税务机关出具的近三年纳税等级证明材料。）</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4.2信用情况</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（提供国家企业信用信息公示系统（www.gsxt.gov.cn）和“信用中国”（www.creditchina.gov.cn）查询截图）</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numPr>
          <w:ilvl w:val="0"/>
          <w:numId w:val="2"/>
        </w:numPr>
        <w:spacing w:line="360" w:lineRule="auto"/>
        <w:ind w:left="0" w:leftChars="0" w:firstLine="0" w:firstLine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商务响应性</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5.1质保期保证</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说明：若是制造商作为本次寻源的响应方的，则由制造商填写。若是被授权的代理商作为本次寻源的响应方的，则由被授权代理商填写。须提供响应质保期材料，格式自定义。</w:t>
      </w:r>
      <w:r>
        <w:rPr>
          <w:rFonts w:ascii="仿宋" w:hAnsi="仿宋" w:eastAsia="仿宋" w:cs="仿宋"/>
          <w:i/>
          <w:iCs/>
          <w:color w:val="0000FF"/>
          <w:kern w:val="0"/>
          <w:sz w:val="24"/>
          <w:szCs w:val="24"/>
          <w:highlight w:val="none"/>
          <w:u w:val="single"/>
          <w:lang w:val="en-US" w:eastAsia="zh-CN" w:bidi="ar"/>
        </w:rPr>
        <w:t>）</w:t>
      </w: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bidi w:val="0"/>
        <w:rPr>
          <w:rFonts w:hint="default"/>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5.2供应稳定</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widowControl/>
        <w:bidi w:val="0"/>
        <w:jc w:val="left"/>
        <w:rPr>
          <w:rFonts w:hint="eastAsia" w:ascii="仿宋" w:hAnsi="仿宋" w:eastAsia="仿宋" w:cs="仿宋"/>
          <w:highlight w:val="none"/>
        </w:rPr>
      </w:pPr>
      <w:r>
        <w:rPr>
          <w:rFonts w:hint="eastAsia" w:ascii="仿宋" w:hAnsi="仿宋" w:eastAsia="仿宋" w:cs="仿宋"/>
          <w:b/>
          <w:bCs/>
          <w:sz w:val="22"/>
          <w:szCs w:val="28"/>
          <w:highlight w:val="none"/>
          <w:lang w:val="en-US" w:eastAsia="zh-CN"/>
        </w:rPr>
        <w:t>（一）供应能力承诺函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highlight w:val="none"/>
        </w:rPr>
      </w:pPr>
      <w:r>
        <w:rPr>
          <w:rFonts w:hint="eastAsia"/>
          <w:b/>
          <w:bCs/>
          <w:color w:val="auto"/>
          <w:sz w:val="24"/>
          <w:szCs w:val="32"/>
          <w:highlight w:val="none"/>
          <w:lang w:val="en-US" w:eastAsia="zh-CN"/>
        </w:rPr>
        <w:t>供应能力承诺函</w:t>
      </w:r>
    </w:p>
    <w:p>
      <w:pPr>
        <w:pStyle w:val="19"/>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val="en-US" w:eastAsia="zh-CN" w:bidi="ar"/>
        </w:rPr>
        <w:t>致：南方电网数据平台与安全（广东）有限公司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bCs w:val="0"/>
          <w:i w:val="0"/>
          <w:caps w:val="0"/>
          <w:spacing w:val="0"/>
          <w:kern w:val="0"/>
          <w:sz w:val="24"/>
          <w:szCs w:val="24"/>
          <w:highlight w:val="none"/>
          <w:shd w:val="clear" w:color="auto" w:fill="FFFFFF"/>
          <w:lang w:val="en-US" w:eastAsia="zh-CN" w:bidi="ar"/>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我司参与</w:t>
      </w:r>
      <w:r>
        <w:rPr>
          <w:rFonts w:hint="eastAsia" w:ascii="仿宋" w:hAnsi="仿宋" w:eastAsia="仿宋" w:cs="仿宋"/>
          <w:b w:val="0"/>
          <w:bCs w:val="0"/>
          <w:i w:val="0"/>
          <w:caps w:val="0"/>
          <w:spacing w:val="0"/>
          <w:kern w:val="0"/>
          <w:sz w:val="24"/>
          <w:szCs w:val="24"/>
          <w:highlight w:val="none"/>
          <w:u w:val="single"/>
          <w:shd w:val="clear" w:color="auto" w:fill="FFFFFF"/>
          <w:lang w:val="en-US" w:eastAsia="zh-CN" w:bidi="ar"/>
        </w:rPr>
        <w:t>2026年南方电网数据平台与安全（广东）有限公司大数据底座软件投标寻源项目</w:t>
      </w:r>
      <w:r>
        <w:rPr>
          <w:rFonts w:hint="eastAsia" w:ascii="仿宋" w:hAnsi="仿宋" w:eastAsia="仿宋" w:cs="仿宋"/>
          <w:b w:val="0"/>
          <w:bCs w:val="0"/>
          <w:i w:val="0"/>
          <w:caps w:val="0"/>
          <w:spacing w:val="0"/>
          <w:kern w:val="0"/>
          <w:sz w:val="24"/>
          <w:szCs w:val="24"/>
          <w:highlight w:val="none"/>
          <w:shd w:val="clear" w:color="auto" w:fill="FFFFFF"/>
          <w:lang w:val="en-US" w:eastAsia="zh-CN" w:bidi="ar"/>
        </w:rPr>
        <w:t>寻源响应，承诺中选后将严格按照寻源需求文件响应情况完成产品供应和技术服务提供，具体内容如下：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DD960" w:themeFill="accent3" w:themeFillTint="99"/>
          <w:lang w:val="en-US" w:eastAsia="zh-CN" w:bidi="ar"/>
        </w:rPr>
        <w:t>承诺/不承诺</w:t>
      </w:r>
      <w:r>
        <w:rPr>
          <w:rFonts w:hint="eastAsia" w:ascii="仿宋" w:hAnsi="仿宋" w:eastAsia="仿宋" w:cs="仿宋"/>
          <w:b w:val="0"/>
          <w:i w:val="0"/>
          <w:caps w:val="0"/>
          <w:spacing w:val="0"/>
          <w:kern w:val="0"/>
          <w:sz w:val="24"/>
          <w:szCs w:val="24"/>
          <w:highlight w:val="none"/>
          <w:shd w:val="clear" w:color="auto" w:fill="FFFFFF"/>
          <w:lang w:val="en-US" w:eastAsia="zh-CN" w:bidi="ar"/>
        </w:rPr>
        <w:t>提供全生命周期内免费补丁升级服务。</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我司对所响应产品的质量安全承担连带责任。若因响应产品的质量问题引发安全事故、造成经济损失或不良影响，我方无异议并自愿接受相应处理。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针对所响应的产品全生命周期在合同履行及产品质保周期内，提供版本维护、缺陷修复、安全补丁、兼容性适配、技术资料及必要的技术支持服务；产品全生命周期内持续提供缺陷修复、安全补丁及必要的技术支持服务，保障软件产品持续可用、稳定运行和后续运维升级需求。</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我司承诺因改扩建等后期项目建设要求，为保证功能配套而需要继续采用单一来源采购的寻源响应产品，承诺以不高于同期响应价格提供同型号产品。</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若违反本承诺，寻源方有权根据南方电网数据平台与安全（广东）有限公司供应商失信扣分实</w:t>
      </w:r>
      <w:r>
        <w:rPr>
          <w:rFonts w:hint="eastAsia" w:ascii="仿宋" w:hAnsi="仿宋" w:eastAsia="仿宋" w:cs="仿宋"/>
          <w:b w:val="0"/>
          <w:i w:val="0"/>
          <w:caps w:val="0"/>
          <w:spacing w:val="0"/>
          <w:kern w:val="0"/>
          <w:sz w:val="24"/>
          <w:szCs w:val="24"/>
          <w:highlight w:val="none"/>
          <w:shd w:val="clear" w:color="auto" w:fill="FFFFFF"/>
          <w:lang w:val="en-US" w:eastAsia="zh-CN" w:bidi="ar"/>
        </w:rPr>
        <w:t>施细则有关内容对我司进行处罚，我司愿承担由此导致的不利信用评价风险。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特此承诺。</w:t>
      </w:r>
    </w:p>
    <w:p>
      <w:pPr>
        <w:spacing w:line="360" w:lineRule="auto"/>
        <w:jc w:val="right"/>
        <w:rPr>
          <w:rFonts w:hint="eastAsia" w:ascii="仿宋" w:hAnsi="仿宋" w:eastAsia="仿宋" w:cs="仿宋"/>
          <w:b/>
          <w:bCs/>
          <w:sz w:val="24"/>
          <w:highlight w:val="none"/>
        </w:rPr>
      </w:pPr>
    </w:p>
    <w:p>
      <w:pPr>
        <w:spacing w:line="360" w:lineRule="auto"/>
        <w:jc w:val="righ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供应商</w:t>
      </w:r>
      <w:r>
        <w:rPr>
          <w:rFonts w:hint="eastAsia" w:ascii="宋体" w:hAnsi="宋体" w:eastAsia="宋体" w:cs="宋体"/>
          <w:b w:val="0"/>
          <w:bCs w:val="0"/>
          <w:sz w:val="21"/>
          <w:szCs w:val="21"/>
          <w:highlight w:val="none"/>
          <w:lang w:val="en-US"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（公章或电子签章）</w:t>
      </w:r>
    </w:p>
    <w:p>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按照寻源公告中的资格条件提供寻源产品的相关资质证书等。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6.2技术培训方案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（须提供培训方案、培训课件、培训人员履历或简历等材料，格式自定义。）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6.3售后服务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（提供售后服务响应机制和售后服务承诺函等材料，格式自定义。）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6.4功能完备性</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numPr>
          <w:ilvl w:val="0"/>
          <w:numId w:val="0"/>
        </w:numPr>
        <w:spacing w:line="360" w:lineRule="auto"/>
        <w:ind w:leftChars="0"/>
        <w:rPr>
          <w:rFonts w:hint="eastAsia" w:cs="Times New Roman"/>
          <w:b/>
          <w:bCs/>
          <w:i/>
          <w:iCs/>
          <w:color w:val="FF0000"/>
          <w:highlight w:val="none"/>
          <w:lang w:val="en-US" w:eastAsia="zh-CN"/>
        </w:rPr>
      </w:pPr>
      <w:r>
        <w:rPr>
          <w:rFonts w:hint="eastAsia" w:hAnsi="宋体" w:cs="宋体"/>
          <w:b/>
          <w:bCs/>
          <w:highlight w:val="none"/>
          <w:lang w:val="en-US" w:eastAsia="zh-CN"/>
        </w:rPr>
        <w:t>技术参数应答及相关证明材料：</w:t>
      </w:r>
      <w:r>
        <w:rPr>
          <w:rFonts w:hint="eastAsia" w:cs="Times New Roman"/>
          <w:b/>
          <w:bCs/>
          <w:i/>
          <w:iCs/>
          <w:color w:val="FF0000"/>
          <w:highlight w:val="none"/>
          <w:lang w:val="en-US" w:eastAsia="zh-CN"/>
        </w:rPr>
        <w:t>（带★的为关键技术参数，应答时必须提供相应的证明材料，包括第三方测试报告、产品白皮书、产品性能承诺书等类似材料）</w:t>
      </w:r>
    </w:p>
    <w:p>
      <w:pPr>
        <w:pStyle w:val="2"/>
        <w:rPr>
          <w:rFonts w:hint="default"/>
          <w:color w:val="000000" w:themeColor="text1"/>
          <w:highlight w:val="none"/>
          <w:lang w:val="en-US"/>
          <w14:textFill>
            <w14:solidFill>
              <w14:schemeClr w14:val="tx1"/>
            </w14:solidFill>
          </w14:textFill>
        </w:rPr>
      </w:pPr>
      <w:r>
        <w:rPr>
          <w:rFonts w:hint="eastAsia" w:cs="Times New Roman"/>
          <w:b/>
          <w:bCs/>
          <w:i/>
          <w:iCs/>
          <w:color w:val="000000" w:themeColor="text1"/>
          <w:highlight w:val="none"/>
          <w:lang w:val="en-US" w:eastAsia="zh-CN"/>
          <w14:textFill>
            <w14:solidFill>
              <w14:schemeClr w14:val="tx1"/>
            </w14:solidFill>
          </w14:textFill>
        </w:rPr>
        <w:t>6.4.1功能\性能要求</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1.支持自动化、图形化、流程化的安装部署，包含组件选择、按类型的节点选择、服务配置初始化等部署核心能力。</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2.支持展示集群运行状态，节点数量，引擎版本等信息。</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3.支持集群服务状态的展示，展示集群的全部服务组件和组件健康状态。</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4.支持集群节点进程状态的展示，按类型区分展示已部署的标准进程，缺失进程、非法进程和类型节点的数量。</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5.★支持展示集群安装的全部组件，支持组件版本展示。</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6.支持展示服务列表，查看各服务运行状态、服务基础信息监控等内容。</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7.支持按照节点类型对节点进行新增、删除操作，支持批量添加节点。</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8.提供集群巡检工具，巡检的过程自动化、可视化。</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10.自动化生命周期管理：支持通过图形化、流程化的方式对向量引擎服务进行安装部署、配置初始化、启停、重启及安全卸载等全生命周期操作。</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11.统一服务视图：支持在统一管控平台展示向量引擎服务的运行状态、节点数量、服务版本、组件健康度等核心信息。</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12.配置可视化管理：支持对服务配置进行可视化的新增、编辑、删除操作；支持配置历史管理，可查看每次配置的变更详情与原因，并支持一键回滚到任意历史版本；支持各个维度的参数对比能力；支持新增配置文件、定义配置文件的名称、存储路径、操作权限等信息； 支持新增配置项，配置项值域提示、配置描述、默认值还原等能力。</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13.日志管理能力：支持按时间维度、服务角色维度、节点维度、日志级别维度查询日志， 支持定位到日志上下文。</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14.多维度监控体系：构建全面的向量引擎服务监控体系，支持从服务、节点、数据表、索引等多个维度采集关键性能指标。</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15.★核心指标采集：支持采集并展示包括但不限于数据表大小、向量数量、索引构建速度，CPU/内存/磁盘使用率等关键指标。</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16.可视化监控大盘：提供丰富的可视化监控界面，通过图表、仪表盘等形式实时展示向量引擎服务的运行状态、性能趋势和资源负载，帮助用户直观掌握系统健康状况。</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17.智能化告警机制：支持用户自定义告警规则，可针对任意监控指标设置阈值。当服务出现异常或性能瓶颈时，支持通过邮件、短信、Webhook等多种方式自动发送告警通知。</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18.异常诊断与定位：支持记录和查询告警事件历史，提供日志上下文关联查询功能，帮助运维人员快速定位问题根因，缩短故障排查时间。</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19.支持对平台用户进行新建、删除、查看详情等操作，支持对用户进行用户组、角色、策略、数据权限、资源权限的关联操作。</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20.支持对用户组进行新建、删除、添加用户等操作，同时进行角色、策略、数据权限、资源权限的关联操作。</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21.支持查看当前系统支持的角色信息，同时支持角色关联用户及用户组操作。</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22.支持查看当前系统的预设和自定义策略及策略详情，同时支持进行策略权限关联操作。</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23.统一数据表管理：支持通过统一的数据源服务对向量引擎数据表进行全生命周期管理，提供标准API和图形化界面等操作方式。</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24.命名空间（Namespace）支持：支持数据表的命名空间管理，实现多业务场景下的数据隔离，支持对命名空间进行创建、删除和列表查询。</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25.数据表操作：支持数据表的创建、修改（如添加/删除列）、删除操作。支持查询数据表的Schema结构、数据量、存储大小等元信息。</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26.数据查询与预览：支持对表内数据进行条件查询和抽样预览，方便用户快速验证数据内容。</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27.★对象存储无缝对接：可基于主流对象存储（如S3、COS、MinIO等）或HDFS分布式文件存储作为底层存储后端，实现向量与多模态数据的持久化存储。</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28.高可用与高扩展性：充分利用对象存储的弹性伸缩和数据冗余能力，确保大规模向量数据存储的高可用性、高持久性与近乎无限的水平扩展能力。</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29.高效数据操作API：提供高效的API接口，支持对向量数据进行批量写入、更新、删除和查询操作，并针对对象存储特性进行优化，减少I/O开销。</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30.★多模态数据支持：原生支持文本、图片、音频、视频等多种模态数据的向量化表示及其原始数据的关联存储。</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31.多样化索引支持：支持多种先进的向量索引类型，如IVF-PQ、HNSW等，用户可根据数据规模、查询延迟和召回率要求灵活选择。</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32.自动化索引运维：支持索引的自动化构建、增量更新与定期优化任务。系统可根据数据增量和分布变化，智能调度索引重建或合并任务，确保持续最优的检索性能。</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33.智能索引推荐：支持根据数据特征与查询模式，自动分析并推荐最适合的索引类型及构建参数，简化用户的使用和调优成本。</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34.混合检索能力：支持混合查询（Hybrid Search），能够结合向量相似度搜索与元数据标量过滤（例如按时间、类别等属性过滤），实现更精准、更复杂的检索需求。</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35.Ray框架深度集成：通过与Ray分布式计算框架的深度集成，为向量引擎提供强大的并行处理和任务调度能力。</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36.高并发数据读写：利用Ray的分布式能力，将向量数据的写入、读取、索引构建和检索任务并行化，分散到多个计算节点执行，从而显著提升系统吞吐量（TPS/QPS）和响应速度。</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37.无缝对接AI生态：支持将向量引擎中的多模态数据作为Ray任务的直接输入源，实现从数据存储、数据处理到AI模型训练/推理的无缝衔接，简化AI开发工作流。</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38.弹性资源调度：支持通过Ray对计算资源进行弹性调度，根据业务负载动态调整并行任务数量和计算资源分配，满足高并发、低延迟的在线服务场景需求。</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39.</w:t>
      </w:r>
      <w:r>
        <w:rPr>
          <w:rFonts w:hint="eastAsia" w:ascii="仿宋" w:hAnsi="仿宋" w:eastAsia="仿宋" w:cs="仿宋"/>
          <w:sz w:val="24"/>
          <w:szCs w:val="24"/>
          <w:highlight w:val="none"/>
        </w:rPr>
        <w:t>★单表p99召回率下索引查询qps&gt;=1200；向量写入速度&gt;=6k/s（每秒写入6k条128w向量数据），可随节点数线性增长；向量索引构建速度&gt;=5w/s（每秒支持对1w条向量数据构建索引）。</w:t>
      </w: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6.4.2自主可控要求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1.优先使用《南网云平台技术白皮书》所发布的服务与组件，采用南网云平台的中间件、数据库组件、计算、存储资源等技术或开源技术保证自主可控；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本项目涉及的所有应用和软硬件产品必须符合自主可控要求，且本项目涉及的所有应用能够适配未来自主可控环境潜在变化需求，目前南方电网公司CPU、浏览器、操作系统、数据库中间件等情况包括但不仅限于：</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1）★CPU：兼容自主可控CPU（ARM、MIPS、X86、ALPHA等）架构。</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2）浏览器：兼容统信浏览器、麒麟奇安信浏览器、360安全浏览器、搜狗浏览器、红芯浏览器等自主可控浏览器。</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3）★操作系统：该软件兼容 UOS、麒麟等通过国家安全可靠测评的桌面和服务器操作系统。</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4）★数据库中间件：可以兼容国内主流自主可控数据库（如：达梦等）、中间件（如：中创等）。</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5）本项目涉及的所有应用和软硬件产品需要提供自主可控证明文件。</w:t>
      </w:r>
    </w:p>
    <w:p>
      <w:pPr>
        <w:pStyle w:val="2"/>
        <w:rPr>
          <w:rFonts w:hint="eastAsia" w:ascii="宋体" w:hAnsi="宋体" w:cs="宋体"/>
          <w:b/>
          <w:bCs/>
          <w:i/>
          <w:i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6.4.3其它要求（根据技术参数偏离表响应）</w:t>
      </w: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6.5实施方案</w:t>
      </w: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6.5.1实施计划及保障措施</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（请根据技术评审要素要求及技术偏差表要求提供相关内容/证明材料（包括实施进度计划及服务承诺、保障措施、技术服务机制等内容）），格式自定义。</w:t>
      </w: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6.6其他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2"/>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eastAsia" w:ascii="仿宋" w:hAnsi="仿宋" w:eastAsia="仿宋" w:cs="仿宋"/>
                <w:bCs/>
                <w:sz w:val="24"/>
                <w:szCs w:val="24"/>
                <w:highlight w:val="none"/>
                <w:lang w:val="en-US" w:eastAsia="zh-CN"/>
              </w:rPr>
              <w:t>向量数据库</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10</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3078F309"/>
    <w:multiLevelType w:val="singleLevel"/>
    <w:tmpl w:val="3078F309"/>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6CC1D11"/>
    <w:rsid w:val="075812B4"/>
    <w:rsid w:val="07E129BB"/>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A8A7DEB"/>
    <w:rsid w:val="2B3A34A2"/>
    <w:rsid w:val="2B4D3342"/>
    <w:rsid w:val="2B65794F"/>
    <w:rsid w:val="2C320FD7"/>
    <w:rsid w:val="2CBF201D"/>
    <w:rsid w:val="2CE469F5"/>
    <w:rsid w:val="2CF134CA"/>
    <w:rsid w:val="2D2C76B3"/>
    <w:rsid w:val="2D480265"/>
    <w:rsid w:val="2DA44F15"/>
    <w:rsid w:val="2DB256DE"/>
    <w:rsid w:val="2DE53FC1"/>
    <w:rsid w:val="2DF61A6F"/>
    <w:rsid w:val="2E3E6240"/>
    <w:rsid w:val="2E4A3E2D"/>
    <w:rsid w:val="2ED74FB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105C6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3FEA5915"/>
    <w:rsid w:val="40095632"/>
    <w:rsid w:val="40B11F97"/>
    <w:rsid w:val="40BB2DD0"/>
    <w:rsid w:val="40DF6356"/>
    <w:rsid w:val="40F87666"/>
    <w:rsid w:val="417A14FB"/>
    <w:rsid w:val="41BF069E"/>
    <w:rsid w:val="41C04416"/>
    <w:rsid w:val="422704F3"/>
    <w:rsid w:val="422F6EA6"/>
    <w:rsid w:val="426E4AEA"/>
    <w:rsid w:val="427B1627"/>
    <w:rsid w:val="42A62E30"/>
    <w:rsid w:val="42C11714"/>
    <w:rsid w:val="42C84DBE"/>
    <w:rsid w:val="42EB0859"/>
    <w:rsid w:val="43086E28"/>
    <w:rsid w:val="43255201"/>
    <w:rsid w:val="432F53AF"/>
    <w:rsid w:val="43BC29BB"/>
    <w:rsid w:val="43E06D85"/>
    <w:rsid w:val="43EF4B3E"/>
    <w:rsid w:val="43F8578A"/>
    <w:rsid w:val="44336579"/>
    <w:rsid w:val="445C6678"/>
    <w:rsid w:val="446342B3"/>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18404C"/>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7372A"/>
    <w:rsid w:val="52BF281F"/>
    <w:rsid w:val="537B1F4B"/>
    <w:rsid w:val="538B4884"/>
    <w:rsid w:val="539D6365"/>
    <w:rsid w:val="53A00470"/>
    <w:rsid w:val="53A21BCD"/>
    <w:rsid w:val="53AF7E46"/>
    <w:rsid w:val="54353EFA"/>
    <w:rsid w:val="54490AF3"/>
    <w:rsid w:val="545F7CD0"/>
    <w:rsid w:val="548A17D5"/>
    <w:rsid w:val="54A651D7"/>
    <w:rsid w:val="54FB4AFB"/>
    <w:rsid w:val="552705DC"/>
    <w:rsid w:val="5577641C"/>
    <w:rsid w:val="55A63A05"/>
    <w:rsid w:val="55CA76DF"/>
    <w:rsid w:val="566F1681"/>
    <w:rsid w:val="56B57E6A"/>
    <w:rsid w:val="56EF6DF2"/>
    <w:rsid w:val="575E6C7E"/>
    <w:rsid w:val="580531F2"/>
    <w:rsid w:val="584D3E3E"/>
    <w:rsid w:val="58CB44FD"/>
    <w:rsid w:val="59060509"/>
    <w:rsid w:val="59092CF6"/>
    <w:rsid w:val="5911563C"/>
    <w:rsid w:val="591A248A"/>
    <w:rsid w:val="59375ED5"/>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257C8A"/>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7E56E32"/>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CD33BE"/>
    <w:rsid w:val="7CFC55FB"/>
    <w:rsid w:val="7D2B1642"/>
    <w:rsid w:val="7D4603FA"/>
    <w:rsid w:val="7D586CD5"/>
    <w:rsid w:val="7D7F5C64"/>
    <w:rsid w:val="7DB84B82"/>
    <w:rsid w:val="7DEFADAD"/>
    <w:rsid w:val="7E9B797F"/>
    <w:rsid w:val="7F030EC3"/>
    <w:rsid w:val="7F4A64A2"/>
    <w:rsid w:val="7F4C0ABC"/>
    <w:rsid w:val="7F74591C"/>
    <w:rsid w:val="7F9B327E"/>
    <w:rsid w:val="7FF5085B"/>
    <w:rsid w:val="7FFF53E7"/>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7"/>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character" w:customStyle="1" w:styleId="27">
    <w:name w:val="标题 4 Char"/>
    <w:link w:val="7"/>
    <w:qFormat/>
    <w:uiPriority w:val="0"/>
    <w:rPr>
      <w:rFonts w:ascii="Arial" w:hAnsi="Arial" w:eastAsia="黑体"/>
      <w:sz w:val="28"/>
    </w:rPr>
  </w:style>
  <w:style w:type="paragraph" w:customStyle="1" w:styleId="28">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9">
    <w:name w:val="南网格式"/>
    <w:basedOn w:val="1"/>
    <w:qFormat/>
    <w:uiPriority w:val="0"/>
    <w:pPr>
      <w:widowControl/>
      <w:spacing w:before="120" w:line="360" w:lineRule="auto"/>
      <w:jc w:val="left"/>
    </w:pPr>
    <w:rPr>
      <w:rFonts w:ascii="宋体" w:hAnsi="宋体"/>
      <w:kern w:val="0"/>
      <w:sz w:val="24"/>
      <w:szCs w:val="28"/>
    </w:rPr>
  </w:style>
  <w:style w:type="paragraph" w:customStyle="1" w:styleId="30">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7723</Words>
  <Characters>8184</Characters>
  <Lines>0</Lines>
  <Paragraphs>0</Paragraphs>
  <TotalTime>7</TotalTime>
  <ScaleCrop>false</ScaleCrop>
  <LinksUpToDate>false</LinksUpToDate>
  <CharactersWithSpaces>8945</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HZHB-CHENXIAOCHUN</cp:lastModifiedBy>
  <dcterms:modified xsi:type="dcterms:W3CDTF">2026-08-07T15:09:32Z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eyJoZGlkIjoiYzY0ZTZmNWU5Zjg4MDliNTgxZjYxMjg2NmY4YTQzNDEiLCJ1c2VySWQiOiI3NzE0MzQ3NTAifQ==</vt:lpwstr>
  </property>
</Properties>
</file>