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（供应商需按照以下顺序和格式提供响应文件，当我公司发生实质性需求时，如中选方需在本项目后续的签约和履行阶段需委托其代理商实施的，必须在寻源响应阶段提供相关代理商授权文件，</w:t>
      </w:r>
      <w:bookmarkStart w:id="1" w:name="_GoBack"/>
      <w:bookmarkEnd w:id="1"/>
      <w:r>
        <w:rPr>
          <w:rFonts w:hint="eastAsia" w:ascii="仿宋" w:hAnsi="仿宋" w:eastAsia="仿宋" w:cs="仿宋"/>
          <w:b/>
          <w:bCs/>
          <w:color w:val="FF0000"/>
          <w:sz w:val="24"/>
          <w:szCs w:val="24"/>
          <w:highlight w:val="none"/>
          <w:lang w:eastAsia="zh-CN"/>
        </w:rPr>
        <w:t>说明授权事项，并且被授权的代理商作为本次寻源响应方，提供报价文件、经制造商确认的产品技术资料和双方（制造商和被授权代理商）的公司简介、营业执照、企业资质等文件作为寻源响应文件。）</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MPP数据库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2"/>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2"/>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MPP数据库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说明：若是制造商作为本次寻源的响应方的，则由制造商填写。若是被授权的代理商作为本次寻源的响应方的，则由被授权经销商填写。）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2"/>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MPP数据库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2"/>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2"/>
        <w:spacing w:line="360" w:lineRule="auto"/>
        <w:rPr>
          <w:rFonts w:hint="eastAsia"/>
          <w:highlight w:val="none"/>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1.1.8法定代表人授权书（格式六）</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MPP数据库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1.1.9被授权人身份证明（格式七）</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kern w:val="0"/>
          <w:sz w:val="24"/>
          <w:szCs w:val="24"/>
          <w:highlight w:val="none"/>
          <w:u w:val="single"/>
          <w:lang w:val="en-US" w:eastAsia="zh-CN" w:bidi="ar"/>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b/>
          <w:bCs/>
          <w:i w:val="0"/>
          <w:iCs w:val="0"/>
          <w:color w:val="0000FF"/>
          <w:kern w:val="0"/>
          <w:sz w:val="24"/>
          <w:szCs w:val="24"/>
          <w:highlight w:val="none"/>
          <w:u w:val="single"/>
          <w:lang w:val="en-US" w:eastAsia="zh-CN" w:bidi="ar"/>
        </w:rPr>
        <w:t>MPP数据库</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1.1.10法定代表人身份证明（格式八）</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9"/>
        <w:spacing w:line="360" w:lineRule="auto"/>
        <w:rPr>
          <w:rFonts w:hint="eastAsia" w:ascii="仿宋" w:hAnsi="仿宋" w:eastAsia="仿宋" w:cs="仿宋"/>
          <w:snapToGrid w:val="0"/>
          <w:kern w:val="24"/>
          <w:sz w:val="24"/>
          <w:szCs w:val="24"/>
          <w:highlight w:val="none"/>
        </w:rPr>
      </w:pPr>
    </w:p>
    <w:p>
      <w:pPr>
        <w:pStyle w:val="29"/>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2"/>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MPP数据库</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中选后，本项目所提供产品满足自主可控的要求，符合南方电网相关的数据安全标准和法规，切实保护招标方的隐私和数据安全。</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bidi w:val="0"/>
        <w:rPr>
          <w:rFonts w:hint="eastAsia" w:ascii="仿宋" w:hAnsi="仿宋" w:eastAsia="仿宋" w:cs="仿宋"/>
          <w:b/>
          <w:bCs/>
          <w:sz w:val="24"/>
          <w:szCs w:val="24"/>
          <w:highlight w:val="none"/>
          <w:lang w:val="en-US" w:eastAsia="zh-CN"/>
        </w:rPr>
        <w:sectPr>
          <w:pgSz w:w="11906" w:h="16838"/>
          <w:pgMar w:top="1440" w:right="1800" w:bottom="1440" w:left="1800" w:header="851" w:footer="992" w:gutter="0"/>
          <w:cols w:space="720" w:num="1"/>
          <w:docGrid w:type="lines" w:linePitch="312" w:charSpace="0"/>
        </w:sectPr>
      </w:pPr>
    </w:p>
    <w:p>
      <w:pPr>
        <w:bidi w:val="0"/>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MPP数据库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3"/>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2"/>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2"/>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hd w:val="clear" w:color="auto" w:fill="auto"/>
        <w:spacing w:line="360" w:lineRule="auto"/>
        <w:jc w:val="center"/>
        <w:rPr>
          <w:rFonts w:hint="eastAsia" w:ascii="仿宋" w:hAnsi="仿宋" w:eastAsia="仿宋" w:cs="仿宋"/>
          <w:b/>
          <w:bCs/>
          <w:sz w:val="24"/>
          <w:szCs w:val="24"/>
          <w:highlight w:val="none"/>
          <w:lang w:val="en-US" w:eastAsia="zh-CN"/>
        </w:rPr>
      </w:pPr>
    </w:p>
    <w:p>
      <w:pPr>
        <w:shd w:val="clear" w:color="auto" w:fill="auto"/>
        <w:spacing w:line="360" w:lineRule="auto"/>
        <w:jc w:val="center"/>
        <w:rPr>
          <w:rFonts w:hint="default"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近年财务状况表</w:t>
      </w:r>
    </w:p>
    <w:tbl>
      <w:tblPr>
        <w:tblStyle w:val="22"/>
        <w:tblW w:w="8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1075"/>
        <w:gridCol w:w="1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营业收入</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营业净利率</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现金净流量（万元）</w:t>
            </w: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流动负债（万元）</w:t>
            </w: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净现金流动比率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default"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平均值</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ascii="仿宋" w:hAnsi="仿宋" w:eastAsia="仿宋" w:cs="仿宋"/>
          <w:i w:val="0"/>
          <w:iCs w:val="0"/>
          <w:color w:val="0000FF"/>
          <w:sz w:val="24"/>
          <w:szCs w:val="24"/>
          <w:highlight w:val="none"/>
          <w:u w:val="single"/>
          <w:lang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2"/>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3.1.2环境管理体系认证等有效证明文件</w:t>
      </w:r>
    </w:p>
    <w:p>
      <w:pPr>
        <w:spacing w:beforeLines="0" w:afterLines="0" w:line="360" w:lineRule="auto"/>
        <w:rPr>
          <w:rFonts w:hint="eastAsia" w:ascii="仿宋" w:hAnsi="仿宋" w:eastAsia="仿宋" w:cs="仿宋"/>
          <w:sz w:val="24"/>
          <w:szCs w:val="24"/>
          <w:highlight w:val="none"/>
        </w:rPr>
      </w:pPr>
      <w:r>
        <w:rPr>
          <w:rFonts w:hint="eastAsia" w:ascii="仿宋" w:hAnsi="仿宋" w:eastAsia="仿宋" w:cs="仿宋"/>
          <w:i/>
          <w:color w:val="0000FF"/>
          <w:kern w:val="0"/>
          <w:sz w:val="24"/>
          <w:szCs w:val="24"/>
          <w:highlight w:val="none"/>
          <w:u w:val="single"/>
          <w:lang w:bidi="ar"/>
        </w:rPr>
        <w:t>（说明：根据询价内容及要求，提供制造商（原厂）环境管理体系认证及其他相关资质等。）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（说明：根据询价内容及要求，提供制造商（原厂）职业健康安全管理体系认证及其他相关资质等。）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（说明：根据询价内容及要求，提供制造商（原厂）信息安全管理体系认证及其他相关资质等。）</w:t>
      </w:r>
    </w:p>
    <w:p>
      <w:pPr>
        <w:pStyle w:val="2"/>
        <w:rPr>
          <w:rFonts w:hint="eastAsia"/>
          <w:highlight w:val="none"/>
          <w:lang w:val="en-US" w:eastAsia="zh-CN"/>
        </w:rPr>
      </w:pPr>
    </w:p>
    <w:p>
      <w:pPr>
        <w:bidi w:val="0"/>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spacing w:line="240" w:lineRule="auto"/>
        <w:rPr>
          <w:rFonts w:hint="eastAsia" w:ascii="仿宋" w:hAnsi="仿宋" w:eastAsia="仿宋" w:cs="仿宋"/>
          <w:b/>
          <w:bCs/>
          <w:kern w:val="2"/>
          <w:sz w:val="24"/>
          <w:szCs w:val="24"/>
          <w:highlight w:val="none"/>
          <w:lang w:val="en-US" w:eastAsia="zh-CN" w:bidi="ar-SA"/>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（说明：根据询价内容及要求，提供被授权经销商质量管理体系认证及其他相关资质等，若是制造商作为本次寻源的响应方的，则无需填写。）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3.2.2</w:t>
      </w:r>
      <w:r>
        <w:rPr>
          <w:rFonts w:hint="eastAsia" w:ascii="仿宋" w:hAnsi="仿宋" w:eastAsia="仿宋" w:cs="仿宋"/>
          <w:b/>
          <w:sz w:val="24"/>
          <w:szCs w:val="24"/>
          <w:highlight w:val="none"/>
        </w:rPr>
        <w:t>环境管理体系认证等有效证明文件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（说明：根据询价内容及要求，提供被授权经销商环境管理体系认证及其他相关资质等，若是制造商作为本次寻源的响应方的，则无需填写。）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（说明：根据询价内容及要求，提供被授权经销商职业健康安全管理体系认证及其他相关资质等，若是制造商作为本次寻源的响应方的，则无需填写。）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（说明：根据询价内容及要求，提供被授权经销商信息安全管理体系认证及其他相关资质等，若是制造商作为本次寻源的响应方的，则无需填写。）</w:t>
      </w:r>
    </w:p>
    <w:p>
      <w:pPr>
        <w:spacing w:line="360" w:lineRule="auto"/>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诚信经营</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4.1企业纳税信用等级</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lang w:val="en-US" w:eastAsia="zh-CN"/>
        </w:rPr>
        <w:t>（提供税务机关出具的近三年纳税等级证明材料。）</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4.2信用情况</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（提供国家企业信用信息公示系统（www.gsxt.gov.cn）和“信用中国”（www.creditchina.gov.cn）查询截图）</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numPr>
          <w:ilvl w:val="0"/>
          <w:numId w:val="2"/>
        </w:numPr>
        <w:spacing w:line="360" w:lineRule="auto"/>
        <w:ind w:left="0" w:leftChars="0" w:firstLine="0" w:firstLineChars="0"/>
        <w:outlineLvl w:val="1"/>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商务响应性</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5.1质保期保证</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说明：若是制造商作为本次寻源的响应方的，则由制造商填写。若是被授权的代理商作为本次寻源的响应方的，则由被授权代理商填写。须提供响应质保期材料，格式自定义。</w:t>
      </w:r>
      <w:r>
        <w:rPr>
          <w:rFonts w:ascii="仿宋" w:hAnsi="仿宋" w:eastAsia="仿宋" w:cs="仿宋"/>
          <w:i/>
          <w:iCs/>
          <w:color w:val="0000FF"/>
          <w:kern w:val="0"/>
          <w:sz w:val="24"/>
          <w:szCs w:val="24"/>
          <w:highlight w:val="none"/>
          <w:u w:val="single"/>
          <w:lang w:val="en-US" w:eastAsia="zh-CN" w:bidi="ar"/>
        </w:rPr>
        <w:t>）</w:t>
      </w: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bidi w:val="0"/>
        <w:rPr>
          <w:rFonts w:hint="default"/>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5.2供应稳定</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widowControl/>
        <w:bidi w:val="0"/>
        <w:jc w:val="left"/>
        <w:rPr>
          <w:rFonts w:hint="eastAsia" w:ascii="仿宋" w:hAnsi="仿宋" w:eastAsia="仿宋" w:cs="仿宋"/>
          <w:highlight w:val="none"/>
        </w:rPr>
      </w:pPr>
      <w:r>
        <w:rPr>
          <w:rFonts w:hint="eastAsia" w:ascii="仿宋" w:hAnsi="仿宋" w:eastAsia="仿宋" w:cs="仿宋"/>
          <w:b/>
          <w:bCs/>
          <w:sz w:val="22"/>
          <w:szCs w:val="28"/>
          <w:highlight w:val="none"/>
          <w:lang w:val="en-US" w:eastAsia="zh-CN"/>
        </w:rPr>
        <w:t>（一）供应能力承诺函</w:t>
      </w:r>
    </w:p>
    <w:p>
      <w:pPr>
        <w:keepNext w:val="0"/>
        <w:keepLines w:val="0"/>
        <w:pageBreakBefore w:val="0"/>
        <w:widowControl w:val="0"/>
        <w:kinsoku/>
        <w:wordWrap/>
        <w:overflowPunct/>
        <w:topLinePunct w:val="0"/>
        <w:autoSpaceDE/>
        <w:autoSpaceDN/>
        <w:bidi w:val="0"/>
        <w:adjustRightInd/>
        <w:snapToGrid/>
        <w:spacing w:before="240" w:after="120" w:line="560" w:lineRule="exact"/>
        <w:jc w:val="center"/>
        <w:textAlignment w:val="auto"/>
        <w:rPr>
          <w:rFonts w:hint="default"/>
          <w:highlight w:val="none"/>
        </w:rPr>
      </w:pPr>
      <w:r>
        <w:rPr>
          <w:rFonts w:hint="eastAsia"/>
          <w:b/>
          <w:bCs/>
          <w:color w:val="auto"/>
          <w:sz w:val="24"/>
          <w:szCs w:val="32"/>
          <w:highlight w:val="none"/>
          <w:lang w:val="en-US" w:eastAsia="zh-CN"/>
        </w:rPr>
        <w:t>供应能力承诺函</w:t>
      </w:r>
    </w:p>
    <w:p>
      <w:pPr>
        <w:pStyle w:val="19"/>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40" w:lineRule="exact"/>
        <w:ind w:left="0" w:right="0"/>
        <w:jc w:val="both"/>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lang w:val="en-US" w:eastAsia="zh-CN" w:bidi="ar"/>
        </w:rPr>
        <w:t>致：南方电网数据平台与安全（广东）有限公司</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bCs w:val="0"/>
          <w:i w:val="0"/>
          <w:caps w:val="0"/>
          <w:spacing w:val="0"/>
          <w:kern w:val="0"/>
          <w:sz w:val="24"/>
          <w:szCs w:val="24"/>
          <w:highlight w:val="none"/>
          <w:shd w:val="clear" w:color="auto" w:fill="FFFFFF"/>
          <w:lang w:val="en-US" w:eastAsia="zh-CN" w:bidi="ar"/>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我司参与</w:t>
      </w:r>
      <w:r>
        <w:rPr>
          <w:rFonts w:hint="eastAsia" w:ascii="仿宋" w:hAnsi="仿宋" w:eastAsia="仿宋" w:cs="仿宋"/>
          <w:b w:val="0"/>
          <w:bCs w:val="0"/>
          <w:i w:val="0"/>
          <w:caps w:val="0"/>
          <w:spacing w:val="0"/>
          <w:kern w:val="0"/>
          <w:sz w:val="24"/>
          <w:szCs w:val="24"/>
          <w:highlight w:val="none"/>
          <w:u w:val="single"/>
          <w:shd w:val="clear" w:color="auto" w:fill="FFFFFF"/>
          <w:lang w:val="en-US" w:eastAsia="zh-CN" w:bidi="ar"/>
        </w:rPr>
        <w:t>2026年南方电网数据平台与安全（广东）有限公司大数据底座软件投标寻源项目</w:t>
      </w:r>
      <w:r>
        <w:rPr>
          <w:rFonts w:hint="eastAsia" w:ascii="仿宋" w:hAnsi="仿宋" w:eastAsia="仿宋" w:cs="仿宋"/>
          <w:b w:val="0"/>
          <w:bCs w:val="0"/>
          <w:i w:val="0"/>
          <w:caps w:val="0"/>
          <w:spacing w:val="0"/>
          <w:kern w:val="0"/>
          <w:sz w:val="24"/>
          <w:szCs w:val="24"/>
          <w:highlight w:val="none"/>
          <w:shd w:val="clear" w:color="auto" w:fill="FFFFFF"/>
          <w:lang w:val="en-US" w:eastAsia="zh-CN" w:bidi="ar"/>
        </w:rPr>
        <w:t>寻源响应，承诺中选后将严格按照寻源需求文件响应情况完成产品供应和技术服务提供，具体内容如下：</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DD960" w:themeFill="accent3" w:themeFillTint="99"/>
          <w:lang w:val="en-US" w:eastAsia="zh-CN" w:bidi="ar"/>
        </w:rPr>
        <w:t>承诺/不承诺</w:t>
      </w:r>
      <w:r>
        <w:rPr>
          <w:rFonts w:hint="eastAsia" w:ascii="仿宋" w:hAnsi="仿宋" w:eastAsia="仿宋" w:cs="仿宋"/>
          <w:b w:val="0"/>
          <w:i w:val="0"/>
          <w:caps w:val="0"/>
          <w:spacing w:val="0"/>
          <w:kern w:val="0"/>
          <w:sz w:val="24"/>
          <w:szCs w:val="24"/>
          <w:highlight w:val="none"/>
          <w:shd w:val="clear" w:color="auto" w:fill="FFFFFF"/>
          <w:lang w:val="en-US" w:eastAsia="zh-CN" w:bidi="ar"/>
        </w:rPr>
        <w:t>提供全生命周期内免费补丁升级服务。</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我司对所响应产品的质量安全承担连带责任。若因响应产品的质量问题引发安全事故、造成经济损失或不良影响，我方无异议并自愿接受相应处理。</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针对所响应的产品全生命周期在合同履行及产品质保周期内，提供版本维护、缺陷修复、安全补丁、兼容性适配、技术资料及必要的技术支持服务；产品全生命周期内持续提供缺陷修复、安全补丁及必要的技术支持服务，保障软件产品持续可用、稳定运行和后续运维升级需求。</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我司承诺因改扩建等后期项目建设要求，为保证功能配套而需要继续采用单一来源采购的寻源响应产品，承诺以不高于同期响应价格提供同型号产品。</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若违反本承诺，寻源方有权根据南方电网数据平台与安全（广东）有限公司供应商失信扣分实</w:t>
      </w:r>
      <w:r>
        <w:rPr>
          <w:rFonts w:hint="eastAsia" w:ascii="仿宋" w:hAnsi="仿宋" w:eastAsia="仿宋" w:cs="仿宋"/>
          <w:b w:val="0"/>
          <w:i w:val="0"/>
          <w:caps w:val="0"/>
          <w:spacing w:val="0"/>
          <w:kern w:val="0"/>
          <w:sz w:val="24"/>
          <w:szCs w:val="24"/>
          <w:highlight w:val="none"/>
          <w:shd w:val="clear" w:color="auto" w:fill="FFFFFF"/>
          <w:lang w:val="en-US" w:eastAsia="zh-CN" w:bidi="ar"/>
        </w:rPr>
        <w:t>施细则有关内容对我司进行处罚，我司愿承担由此导致的不利信用评价风险。</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特此承诺。</w:t>
      </w:r>
    </w:p>
    <w:p>
      <w:pPr>
        <w:spacing w:line="360" w:lineRule="auto"/>
        <w:jc w:val="right"/>
        <w:rPr>
          <w:rFonts w:hint="eastAsia" w:ascii="仿宋" w:hAnsi="仿宋" w:eastAsia="仿宋" w:cs="仿宋"/>
          <w:b/>
          <w:bCs/>
          <w:sz w:val="24"/>
          <w:highlight w:val="none"/>
        </w:rPr>
      </w:pPr>
    </w:p>
    <w:p>
      <w:pPr>
        <w:spacing w:line="360" w:lineRule="auto"/>
        <w:jc w:val="righ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供应商</w:t>
      </w:r>
      <w:r>
        <w:rPr>
          <w:rFonts w:hint="eastAsia" w:ascii="宋体" w:hAnsi="宋体" w:eastAsia="宋体" w:cs="宋体"/>
          <w:b w:val="0"/>
          <w:bCs w:val="0"/>
          <w:sz w:val="21"/>
          <w:szCs w:val="21"/>
          <w:highlight w:val="none"/>
          <w:lang w:val="en-US"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（公章或电子签章）</w:t>
      </w:r>
    </w:p>
    <w:p>
      <w:pPr>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5.3其他（如有）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按照寻源公告中的资格条件提供寻源产品的相关资质证书等。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6.2技术培训方案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（须提供培训方案、培训课件、培训人员履历或简历等材料，格式自定义。）</w:t>
      </w: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6.3售后服务</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（提供售后服务响应机制和售后服务承诺函等材料，格式自定义。）</w:t>
      </w:r>
    </w:p>
    <w:p>
      <w:pPr>
        <w:rPr>
          <w:rFonts w:hint="eastAsia"/>
          <w:highlight w:val="none"/>
          <w:lang w:val="en-US" w:eastAsia="zh-CN"/>
        </w:rPr>
      </w:pP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6.4功能完备性</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宋体" w:hAnsi="宋体" w:cs="宋体"/>
          <w:b/>
          <w:bCs/>
          <w:i/>
          <w:iCs/>
          <w:color w:val="FF0000"/>
          <w:highlight w:val="none"/>
          <w:lang w:val="en-US" w:eastAsia="zh-CN"/>
        </w:rPr>
      </w:pPr>
      <w:r>
        <w:rPr>
          <w:rFonts w:hint="eastAsia" w:hAnsi="宋体" w:cs="宋体"/>
          <w:b/>
          <w:bCs/>
          <w:highlight w:val="none"/>
          <w:lang w:val="en-US" w:eastAsia="zh-CN"/>
        </w:rPr>
        <w:t>技术参数应答及相关证明材料</w:t>
      </w:r>
      <w:r>
        <w:rPr>
          <w:rFonts w:hint="eastAsia"/>
          <w:b/>
          <w:bCs/>
          <w:highlight w:val="none"/>
          <w:lang w:eastAsia="zh-CN"/>
        </w:rPr>
        <w:t>：</w:t>
      </w:r>
      <w:r>
        <w:rPr>
          <w:rFonts w:hint="eastAsia"/>
          <w:b/>
          <w:bCs/>
          <w:i/>
          <w:iCs/>
          <w:color w:val="FF0000"/>
          <w:highlight w:val="none"/>
          <w:lang w:eastAsia="zh-CN"/>
        </w:rPr>
        <w:t>（</w:t>
      </w:r>
      <w:r>
        <w:rPr>
          <w:rFonts w:hint="eastAsia"/>
          <w:b/>
          <w:bCs/>
          <w:i/>
          <w:iCs/>
          <w:color w:val="FF0000"/>
          <w:highlight w:val="none"/>
          <w:lang w:val="en-US" w:eastAsia="zh-CN"/>
        </w:rPr>
        <w:t>带</w:t>
      </w:r>
      <w:r>
        <w:rPr>
          <w:rFonts w:hint="eastAsia" w:ascii="宋体" w:hAnsi="宋体" w:eastAsia="宋体" w:cs="宋体"/>
          <w:b/>
          <w:bCs/>
          <w:i/>
          <w:iCs/>
          <w:color w:val="FF0000"/>
          <w:highlight w:val="none"/>
          <w:lang w:val="en-US" w:eastAsia="zh-CN"/>
        </w:rPr>
        <w:t>★</w:t>
      </w:r>
      <w:r>
        <w:rPr>
          <w:rFonts w:hint="eastAsia" w:ascii="宋体" w:hAnsi="宋体" w:cs="宋体"/>
          <w:b/>
          <w:bCs/>
          <w:i/>
          <w:iCs/>
          <w:color w:val="FF0000"/>
          <w:highlight w:val="none"/>
          <w:lang w:val="en-US" w:eastAsia="zh-CN"/>
        </w:rPr>
        <w:t>的为关键技术参数，</w:t>
      </w:r>
      <w:r>
        <w:rPr>
          <w:rFonts w:hint="eastAsia" w:cs="Times New Roman"/>
          <w:b/>
          <w:bCs/>
          <w:i/>
          <w:iCs/>
          <w:color w:val="FF0000"/>
          <w:highlight w:val="none"/>
          <w:lang w:val="en-US" w:eastAsia="zh-CN"/>
        </w:rPr>
        <w:t>应答时必须</w:t>
      </w:r>
      <w:r>
        <w:rPr>
          <w:rFonts w:hint="eastAsia" w:ascii="宋体" w:hAnsi="宋体" w:cs="宋体"/>
          <w:b/>
          <w:bCs/>
          <w:i/>
          <w:iCs/>
          <w:color w:val="FF0000"/>
          <w:highlight w:val="none"/>
          <w:lang w:val="en-US" w:eastAsia="zh-CN"/>
        </w:rPr>
        <w:t>提供相应的证明材料，包括第三方测试报告、产品白皮书、产品性能承诺书等类似材料）</w:t>
      </w:r>
    </w:p>
    <w:p>
      <w:pPr>
        <w:pStyle w:val="2"/>
        <w:rPr>
          <w:rFonts w:hint="default"/>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6.4.1功能\性能要求</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1.支持分析函数，包含常见的窗口分析函数如rank(）、dense_rank(）、percent_rank(）、lead(）、lag(）、row_number(）、cume_dist() 、ntile(）等。</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2.支持复杂数据分析，支持多表连接查询、物化视图、Rollup、Cube 等复杂数据分析语句。同时通过 RBO/CBO 优化器进行复杂查询优化。</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3.★支持子查询能力，支持相关/非相关子查询、exists/or/in/not in/not exists等多种子查询语句可以自动优化为关联语句，提升查询性能，无需用户手动重写SQL。</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4.支持分区表能力，兼容PG社区分区表，并支持基于分区键的数据查询剪枝，支持基于分区键的关联剪枝。</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5.★支持自定义函数：支持通过SQL和其他扩展语言（python Java 等）编写自定义函数，支持库内自定义数据类型，支持存储过程 PL/pgSQL等复杂SQL服务器端编程。</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6.DDL回滚：针对Drop table，drop index，truncate table等危险操作，在事务结束前可以回滚。</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7.SQL绑定变量：数据库支持绑定变量，实现 SQL 预解析。支持标准的 JDBC/ODBC 协议。</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8.支持列存表：支持列存储表，列存与行存表一样支持事务、DML、DDL、索引等能力。支持行存表与列存表混合关联查询。</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9.支持列存局部聚簇索引：支持列存局部聚簇索引 Partial Cluster Key，提高数据压缩比，并通过提高谓词下推扫描过滤效果提升整体查询效率。</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10.列存表压缩：支持 lz4、zstd 等透明压缩，支持 Delta、RLE、字典压缩等多种轻量级压缩算法；支持表级别、列级别、分区表级别的压缩；支持自动根据压缩等级low/middle/high为用户选择合适的压缩算法，而无需用户指定。</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11.列存支持辅助行存表：列存支持增加辅助行存表（stash 辅助表）设计，一张表同时支持高并发高频DML写入以及海量数据查询性能优化。支持Auto Stash Merge进程自动将stash行存表中数据合并为列存格式，对用户透明；支持参数控制自动合并判断的行数阈值、最大等待时间阈值，最小执行时间阈值等。</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12.向量化/JIT：支持全流程向量化执行引擎，引入SIMD指令进行深入优化。支持JIT运行时编译技术，提供核心算子、表达式计算、向量化执行等多层次的运行时编译能力，提供高效查询分析能力。</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13.分区表支持：支持创建分区表，分区表类型支持range、list、hash分区，支持创建二级子分区。</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14.存储过程：支持存储过程的创建、更新、删除以及执行。</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15.触发器：对数据表的INSERT、UPDATE、DELETE进行监控，当发生上述行为时执行相应的触发器动作。</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16.在线创建索引：创建在线索引，在创建索引和重建索引过程中，对表加共享锁，允许UPDATE/DELETE/INSERT操作并发执行，从而不影响在线业务的执行。</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17.Json数据类型支持：数据表支持Json数据类型（包含Json/Jsonb），可以存储JSON类型半结构化数据；支持JSON相关操作和运算函数；Jsonb类型支持函数和索引能力。</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18.字符集扩展：支持创建数据库、指定编码创建表或导出文件，支持GBK及GB18030字符集。</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19.★数据类型：支持数字、字符串，时间类型，以及货币、几何、UUID、Array、JSON、Range等数据类型。</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20.数据库对象扩展：包含常用数据库对象，包括支持视图，序列，大对象。</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21.外部表扩展：支持COS/HDFS/Kafka/文件 等多个平台的外部数据导入导出和分析，支持 csv/txt/orc/parquet 等多种数据格式。</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22.接口兼容：兼容Java/shell/C/Python/PHP/Golang等大多数开发语言的API。</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23.扩展语言支持：支持使用plpython pljava进行库内用户自定义函数创建。</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24.SQL 防火墙：支持创建SQL防火墙规则。避免高耗资源SQL引发集群宕机。</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25.慢SQL执行计划采集：可选择开启慢SQL执行计划打印工具。可以打印慢SQL发生时的执行计划，便于事后进行SQL调优。</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26.满足公司自主可控要求。</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27.支持集群任意节点的动态扩缩容能力，支持扩缩容后基于节点及磁盘粒度进行数据自动重分布。</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28.支持与消息队列组件集成，即支持从消息队列中写入数据；</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29.仓外挂湖，支持连接中间件适配数据湖存储将数据湖中的文件存储、hive表映射为MPP平台外表；</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30.实时采集任务集成，感知表字段变化并实时反馈警告，动态添加、删除采集库、表，支持任务失败重试；</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31.离线集成，支持整表和整库迁移；</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32.数据对账，支持数据源和数据内容对比，包括表、视图、函数、索引、序列名、扩展包等一致性，以及对源表和目标表的大小、记录总数、字段等内容进行比对；</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33.自动建表，支持异构数据库与MPP数据库之间进行DDL建表语句的自动同步；</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34.自动故障探测和管理，支持基于主备间物理日志复制提供一主多备配置、备机可读、数据备份与恢复、故障自动探测和管理能力；</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35.★资源组管理，支持用户级别绑定、优先级设定、等待队列管理、算子级别内存占用控制；支持分布式策略管理，基于散列、复制等数据分布策略能力解决数据倾斜问题。</w:t>
      </w:r>
    </w:p>
    <w:p>
      <w:p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36.</w:t>
      </w:r>
      <w:r>
        <w:rPr>
          <w:rFonts w:hint="eastAsia" w:ascii="仿宋" w:hAnsi="仿宋" w:eastAsia="仿宋" w:cs="仿宋"/>
          <w:b w:val="0"/>
          <w:bCs w:val="0"/>
          <w:sz w:val="24"/>
          <w:szCs w:val="24"/>
          <w:highlight w:val="none"/>
        </w:rPr>
        <w:t>★支持数据存储文件随机读取操作不少于1GB/秒，支持单点插入及更新事务数响应请求数不少于100个/秒，支持数据吞吐量不少于100MB/秒。</w:t>
      </w:r>
    </w:p>
    <w:p>
      <w:pPr>
        <w:numPr>
          <w:ilvl w:val="0"/>
          <w:numId w:val="0"/>
        </w:numPr>
        <w:spacing w:line="360" w:lineRule="auto"/>
        <w:ind w:leftChars="0"/>
        <w:rPr>
          <w:rFonts w:hint="eastAsia" w:ascii="仿宋" w:hAnsi="仿宋" w:eastAsia="仿宋" w:cs="仿宋"/>
          <w:b/>
          <w:bCs/>
          <w:sz w:val="24"/>
          <w:szCs w:val="24"/>
          <w:highlight w:val="none"/>
        </w:rPr>
      </w:pPr>
    </w:p>
    <w:p>
      <w:pPr>
        <w:pStyle w:val="2"/>
        <w:rPr>
          <w:rFonts w:hint="default"/>
          <w:b/>
          <w:b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6.4.2自主可控要求</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1.优先使用《南网云平台技术白皮书》所发布的服务与组件，采用南网云平台的中间件、数据库组件、计算、存储资源等技术或开源技术保证自主可控；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本项目涉及的所有应用和软硬件产品必须符合自主可控要求，且本项目涉及的所有应用能够适配未来自主可控环境潜在变化需求，目前南方电网公司CPU、浏览器、操作系统、数据库中间件等情况包括但不仅限于：</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1）★CPU：兼容自主可控CPU（ARM、MIPS、X86、ALPHA等）架构。</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2）浏览器：兼容统信浏览器、麒麟奇安信浏览器、360安全浏览器、搜狗浏览器、红芯浏览器等自主可控浏览器。</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3）★操作系统：该软件兼容 UOS、麒麟等通过国家安全可靠测评的桌面和服务器操作系统。</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4）★数据库中间件：可以兼容国内主流自主可控数据库（如：达梦等）、中间件（如：中创等）。</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5）本项目涉及的所有应用和软硬件产品需要提供自主可控证明文件。</w:t>
      </w:r>
    </w:p>
    <w:p>
      <w:pPr>
        <w:pStyle w:val="2"/>
        <w:rPr>
          <w:rFonts w:hint="eastAsia" w:ascii="宋体" w:hAnsi="宋体" w:cs="宋体"/>
          <w:b/>
          <w:bCs/>
          <w:i/>
          <w:i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6.4.3其它要求（根据技术参数偏离表响应）</w:t>
      </w:r>
    </w:p>
    <w:p>
      <w:pPr>
        <w:pStyle w:val="6"/>
        <w:numPr>
          <w:ilvl w:val="1"/>
          <w:numId w:val="0"/>
        </w:numPr>
        <w:bidi w:val="0"/>
        <w:spacing w:line="360" w:lineRule="auto"/>
        <w:ind w:leftChars="0"/>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6.5实施方案</w:t>
      </w:r>
    </w:p>
    <w:p>
      <w:pPr>
        <w:spacing w:beforeLines="0" w:afterLines="0"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6.5.1实施计划及保障措施</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（请根据技术评审要素要求及技术偏差表要求提供相关内容/证明材料（包括实施进度计划及服务承诺、保障措施、技术服务机制等内容）），格式自定义。</w:t>
      </w:r>
    </w:p>
    <w:p>
      <w:pPr>
        <w:pStyle w:val="2"/>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6.6其他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2"/>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213"/>
        <w:gridCol w:w="540"/>
        <w:gridCol w:w="630"/>
        <w:gridCol w:w="1245"/>
        <w:gridCol w:w="1247"/>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6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4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24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eastAsia" w:ascii="仿宋" w:hAnsi="仿宋" w:eastAsia="仿宋" w:cs="仿宋"/>
                <w:bCs/>
                <w:sz w:val="24"/>
                <w:szCs w:val="24"/>
                <w:highlight w:val="none"/>
                <w:lang w:val="en-US" w:eastAsia="zh-CN"/>
              </w:rPr>
              <w:t>MPP数据库</w:t>
            </w:r>
          </w:p>
        </w:tc>
        <w:tc>
          <w:tcPr>
            <w:tcW w:w="12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套</w:t>
            </w:r>
          </w:p>
        </w:tc>
        <w:tc>
          <w:tcPr>
            <w:tcW w:w="6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103</w:t>
            </w:r>
          </w:p>
        </w:tc>
        <w:tc>
          <w:tcPr>
            <w:tcW w:w="12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3078F309"/>
    <w:multiLevelType w:val="singleLevel"/>
    <w:tmpl w:val="3078F309"/>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2F6015"/>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EE93F42"/>
    <w:rsid w:val="0F672F6E"/>
    <w:rsid w:val="0FA364D6"/>
    <w:rsid w:val="0FC70711"/>
    <w:rsid w:val="0FEA5585"/>
    <w:rsid w:val="115F642C"/>
    <w:rsid w:val="11872D38"/>
    <w:rsid w:val="11E179DF"/>
    <w:rsid w:val="12154D3D"/>
    <w:rsid w:val="123B6E88"/>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4D4BE6"/>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261CCE"/>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5E941D3"/>
    <w:rsid w:val="268312DA"/>
    <w:rsid w:val="26AB4CBF"/>
    <w:rsid w:val="26EC6D72"/>
    <w:rsid w:val="274176DD"/>
    <w:rsid w:val="274D3E81"/>
    <w:rsid w:val="27C94D1D"/>
    <w:rsid w:val="27FA6F96"/>
    <w:rsid w:val="282D0BDB"/>
    <w:rsid w:val="282E58E6"/>
    <w:rsid w:val="292F0661"/>
    <w:rsid w:val="293C5506"/>
    <w:rsid w:val="294A08D7"/>
    <w:rsid w:val="2A314286"/>
    <w:rsid w:val="2B3A34A2"/>
    <w:rsid w:val="2B4D3342"/>
    <w:rsid w:val="2B65794F"/>
    <w:rsid w:val="2BA969BD"/>
    <w:rsid w:val="2C320FD7"/>
    <w:rsid w:val="2CBF201D"/>
    <w:rsid w:val="2CF134CA"/>
    <w:rsid w:val="2D2C76B3"/>
    <w:rsid w:val="2D480265"/>
    <w:rsid w:val="2DA44F15"/>
    <w:rsid w:val="2DB256DE"/>
    <w:rsid w:val="2DE53FC1"/>
    <w:rsid w:val="2DF61A6F"/>
    <w:rsid w:val="2E3E6240"/>
    <w:rsid w:val="2E4A3E2D"/>
    <w:rsid w:val="2EE2477F"/>
    <w:rsid w:val="2F1D06C4"/>
    <w:rsid w:val="2F51666C"/>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1322A6"/>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11F97"/>
    <w:rsid w:val="40BB2DD0"/>
    <w:rsid w:val="40DF6356"/>
    <w:rsid w:val="40F87666"/>
    <w:rsid w:val="417A14FB"/>
    <w:rsid w:val="41BF069E"/>
    <w:rsid w:val="41C04416"/>
    <w:rsid w:val="422704F3"/>
    <w:rsid w:val="422F6EA6"/>
    <w:rsid w:val="426E4AEA"/>
    <w:rsid w:val="427B1627"/>
    <w:rsid w:val="42A62E30"/>
    <w:rsid w:val="42C11714"/>
    <w:rsid w:val="42C84DBE"/>
    <w:rsid w:val="42EB0859"/>
    <w:rsid w:val="43086E28"/>
    <w:rsid w:val="43255201"/>
    <w:rsid w:val="432F53AF"/>
    <w:rsid w:val="43BC29BB"/>
    <w:rsid w:val="43E06D85"/>
    <w:rsid w:val="43EF4B3E"/>
    <w:rsid w:val="43F8578A"/>
    <w:rsid w:val="44336579"/>
    <w:rsid w:val="445C6678"/>
    <w:rsid w:val="446342B3"/>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9E75AC8"/>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C57E48"/>
    <w:rsid w:val="51E333FD"/>
    <w:rsid w:val="527D69BB"/>
    <w:rsid w:val="52BF281F"/>
    <w:rsid w:val="537B1F4B"/>
    <w:rsid w:val="538B4884"/>
    <w:rsid w:val="539D6365"/>
    <w:rsid w:val="53A00470"/>
    <w:rsid w:val="53A21BCD"/>
    <w:rsid w:val="53AF7E46"/>
    <w:rsid w:val="54353EFA"/>
    <w:rsid w:val="545F7CD0"/>
    <w:rsid w:val="548A17D5"/>
    <w:rsid w:val="54A651D7"/>
    <w:rsid w:val="54FB4AFB"/>
    <w:rsid w:val="552705DC"/>
    <w:rsid w:val="5577641C"/>
    <w:rsid w:val="55A63A05"/>
    <w:rsid w:val="55CA76DF"/>
    <w:rsid w:val="566F1681"/>
    <w:rsid w:val="56B57E6A"/>
    <w:rsid w:val="56E85B49"/>
    <w:rsid w:val="56EF6DF2"/>
    <w:rsid w:val="575E6C7E"/>
    <w:rsid w:val="580531F2"/>
    <w:rsid w:val="584D3E3E"/>
    <w:rsid w:val="58CB44FD"/>
    <w:rsid w:val="59060509"/>
    <w:rsid w:val="59092CF6"/>
    <w:rsid w:val="5911563C"/>
    <w:rsid w:val="591A248A"/>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CB10F45"/>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60B01"/>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EFB1EE"/>
    <w:rsid w:val="7BFA66D6"/>
    <w:rsid w:val="7C1868E6"/>
    <w:rsid w:val="7C672305"/>
    <w:rsid w:val="7C7F6448"/>
    <w:rsid w:val="7CB50EE6"/>
    <w:rsid w:val="7CCD33BE"/>
    <w:rsid w:val="7CFC55FB"/>
    <w:rsid w:val="7D2B1642"/>
    <w:rsid w:val="7D4603FA"/>
    <w:rsid w:val="7D586CD5"/>
    <w:rsid w:val="7D7F5C64"/>
    <w:rsid w:val="7DB84B82"/>
    <w:rsid w:val="7DEFADAD"/>
    <w:rsid w:val="7E9B797F"/>
    <w:rsid w:val="7F030EC3"/>
    <w:rsid w:val="7F4A64A2"/>
    <w:rsid w:val="7F4C0ABC"/>
    <w:rsid w:val="7F74591C"/>
    <w:rsid w:val="7F9B327E"/>
    <w:rsid w:val="7FFF53E7"/>
    <w:rsid w:val="9DFAAFE1"/>
    <w:rsid w:val="BDBF5BB2"/>
    <w:rsid w:val="CFFF5DBD"/>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26"/>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7"/>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character" w:customStyle="1" w:styleId="26">
    <w:name w:val="标题 1 Char"/>
    <w:link w:val="4"/>
    <w:qFormat/>
    <w:uiPriority w:val="0"/>
    <w:rPr>
      <w:b/>
      <w:kern w:val="44"/>
      <w:sz w:val="44"/>
    </w:rPr>
  </w:style>
  <w:style w:type="character" w:customStyle="1" w:styleId="27">
    <w:name w:val="标题 4 Char"/>
    <w:link w:val="7"/>
    <w:qFormat/>
    <w:uiPriority w:val="0"/>
    <w:rPr>
      <w:rFonts w:ascii="Arial" w:hAnsi="Arial" w:eastAsia="黑体"/>
      <w:sz w:val="28"/>
    </w:rPr>
  </w:style>
  <w:style w:type="paragraph" w:customStyle="1" w:styleId="28">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9">
    <w:name w:val="南网格式"/>
    <w:basedOn w:val="1"/>
    <w:qFormat/>
    <w:uiPriority w:val="0"/>
    <w:pPr>
      <w:widowControl/>
      <w:spacing w:before="120" w:line="360" w:lineRule="auto"/>
      <w:jc w:val="left"/>
    </w:pPr>
    <w:rPr>
      <w:rFonts w:ascii="宋体" w:hAnsi="宋体"/>
      <w:kern w:val="0"/>
      <w:sz w:val="24"/>
      <w:szCs w:val="28"/>
    </w:rPr>
  </w:style>
  <w:style w:type="paragraph" w:customStyle="1" w:styleId="30">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7340</Words>
  <Characters>8143</Characters>
  <Lines>0</Lines>
  <Paragraphs>0</Paragraphs>
  <TotalTime>0</TotalTime>
  <ScaleCrop>false</ScaleCrop>
  <LinksUpToDate>false</LinksUpToDate>
  <CharactersWithSpaces>8931</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2023-10-23T17:32:00Z</dcterms:created>
  <dc:creator>风影</dc:creator>
  <cp:lastModifiedBy>HZHB-CHENXIAOCHUN</cp:lastModifiedBy>
  <dcterms:modified xsi:type="dcterms:W3CDTF">2026-08-07T15:07:07Z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eyJoZGlkIjoiYzY0ZTZmNWU5Zjg4MDliNTgxZjYxMjg2NmY4YTQzNDEiLCJ1c2VySWQiOiI3NzE0MzQ3NTAifQ==</vt:lpwstr>
  </property>
</Properties>
</file>