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680B8">
      <w:pPr>
        <w:pStyle w:val="8"/>
        <w:jc w:val="center"/>
        <w:rPr>
          <w:rFonts w:ascii="隶书" w:eastAsia="隶书"/>
          <w:sz w:val="56"/>
          <w:szCs w:val="56"/>
        </w:rPr>
      </w:pPr>
      <w:bookmarkStart w:id="0" w:name="_Toc1572"/>
      <w:bookmarkStart w:id="1" w:name="_Toc6059"/>
    </w:p>
    <w:p w14:paraId="63DA3BDF">
      <w:pPr>
        <w:pStyle w:val="8"/>
        <w:jc w:val="center"/>
        <w:rPr>
          <w:rFonts w:ascii="隶书" w:eastAsia="隶书"/>
          <w:sz w:val="56"/>
          <w:szCs w:val="56"/>
        </w:rPr>
      </w:pPr>
    </w:p>
    <w:p w14:paraId="0A2E0FCE">
      <w:pPr>
        <w:pStyle w:val="19"/>
        <w:rPr>
          <w:rFonts w:hint="eastAsia" w:ascii="黑体" w:hAnsi="黑体" w:eastAsia="黑体" w:cs="黑体"/>
          <w:sz w:val="48"/>
          <w:szCs w:val="48"/>
        </w:rPr>
      </w:pPr>
      <w:bookmarkStart w:id="2" w:name="_Hlk235439700"/>
      <w:r>
        <w:rPr>
          <w:rFonts w:hint="eastAsia" w:ascii="黑体" w:hAnsi="黑体" w:eastAsia="黑体" w:cs="黑体"/>
          <w:sz w:val="48"/>
          <w:szCs w:val="48"/>
        </w:rPr>
        <w:t>标的1：定向钻施工地下电缆智能检测</w:t>
      </w:r>
    </w:p>
    <w:p w14:paraId="5F0E3AE7">
      <w:pPr>
        <w:pStyle w:val="19"/>
        <w:rPr>
          <w:rFonts w:ascii="隶书"/>
          <w:sz w:val="48"/>
          <w:szCs w:val="48"/>
        </w:rPr>
      </w:pPr>
      <w:r>
        <w:rPr>
          <w:rFonts w:hint="eastAsia" w:ascii="黑体" w:hAnsi="黑体" w:eastAsia="黑体" w:cs="黑体"/>
          <w:sz w:val="48"/>
          <w:szCs w:val="48"/>
        </w:rPr>
        <w:t>与风险预警研究（技术开发）</w:t>
      </w:r>
    </w:p>
    <w:bookmarkEnd w:id="2"/>
    <w:p w14:paraId="4F9520CC">
      <w:pPr>
        <w:pStyle w:val="8"/>
        <w:jc w:val="center"/>
        <w:rPr>
          <w:rFonts w:ascii="隶书" w:eastAsia="隶书"/>
          <w:sz w:val="48"/>
          <w:szCs w:val="48"/>
        </w:rPr>
      </w:pPr>
    </w:p>
    <w:p w14:paraId="58B19F95">
      <w:pPr>
        <w:pStyle w:val="8"/>
        <w:jc w:val="center"/>
        <w:rPr>
          <w:rFonts w:ascii="隶书" w:eastAsia="隶书"/>
          <w:sz w:val="48"/>
          <w:szCs w:val="48"/>
        </w:rPr>
      </w:pPr>
    </w:p>
    <w:p w14:paraId="5E0F3BD9">
      <w:pPr>
        <w:pStyle w:val="8"/>
        <w:jc w:val="center"/>
        <w:rPr>
          <w:rFonts w:hint="eastAsia" w:ascii="黑体" w:hAnsi="黑体" w:eastAsia="黑体" w:cs="黑体"/>
          <w:sz w:val="52"/>
          <w:szCs w:val="52"/>
        </w:rPr>
      </w:pPr>
      <w:r>
        <w:rPr>
          <w:rFonts w:hint="eastAsia" w:ascii="黑体" w:hAnsi="黑体" w:eastAsia="黑体" w:cs="黑体"/>
          <w:sz w:val="52"/>
          <w:szCs w:val="52"/>
        </w:rPr>
        <w:t>技术规范书</w:t>
      </w:r>
    </w:p>
    <w:p w14:paraId="04950F85">
      <w:pPr>
        <w:spacing w:before="156" w:beforeLines="50"/>
        <w:rPr>
          <w:rFonts w:hint="eastAsia" w:ascii="楷体_GB2312" w:hAnsi="宋体" w:eastAsia="楷体_GB2312"/>
          <w:sz w:val="32"/>
          <w:szCs w:val="32"/>
        </w:rPr>
      </w:pPr>
    </w:p>
    <w:p w14:paraId="44C4ECB6">
      <w:pPr>
        <w:spacing w:before="156" w:beforeLines="50"/>
        <w:jc w:val="center"/>
        <w:rPr>
          <w:rFonts w:hint="eastAsia" w:ascii="楷体_GB2312" w:hAnsi="宋体" w:eastAsia="楷体_GB2312"/>
          <w:sz w:val="32"/>
          <w:szCs w:val="32"/>
        </w:rPr>
      </w:pPr>
    </w:p>
    <w:p w14:paraId="0DCA3BB9">
      <w:pPr>
        <w:spacing w:before="156" w:beforeLines="50"/>
        <w:rPr>
          <w:rFonts w:hint="eastAsia" w:ascii="楷体_GB2312" w:hAnsi="宋体" w:eastAsia="楷体_GB2312"/>
          <w:sz w:val="32"/>
          <w:szCs w:val="32"/>
        </w:rPr>
      </w:pPr>
    </w:p>
    <w:p w14:paraId="6C518856">
      <w:pPr>
        <w:pStyle w:val="20"/>
        <w:rPr>
          <w:rStyle w:val="22"/>
          <w:rFonts w:hint="eastAsia" w:ascii="黑体" w:hAnsi="黑体" w:eastAsia="黑体" w:cs="黑体"/>
          <w:highlight w:val="yellow"/>
        </w:rPr>
      </w:pPr>
    </w:p>
    <w:p w14:paraId="66A8A208">
      <w:pPr>
        <w:pStyle w:val="20"/>
        <w:rPr>
          <w:rStyle w:val="22"/>
          <w:rFonts w:hint="eastAsia" w:ascii="黑体" w:hAnsi="黑体" w:eastAsia="黑体" w:cs="黑体"/>
          <w:highlight w:val="yellow"/>
        </w:rPr>
      </w:pPr>
    </w:p>
    <w:p w14:paraId="6262EC43">
      <w:pPr>
        <w:pStyle w:val="20"/>
        <w:rPr>
          <w:rFonts w:hint="eastAsia" w:ascii="黑体" w:hAnsi="黑体" w:eastAsia="黑体" w:cs="黑体"/>
        </w:rPr>
        <w:sectPr>
          <w:pgSz w:w="11906" w:h="16838"/>
          <w:pgMar w:top="1440" w:right="1800" w:bottom="1440" w:left="1800" w:header="851" w:footer="992" w:gutter="0"/>
          <w:cols w:space="425" w:num="1"/>
          <w:docGrid w:type="lines" w:linePitch="312" w:charSpace="0"/>
        </w:sectPr>
      </w:pPr>
      <w:bookmarkStart w:id="3" w:name="_Toc30850"/>
      <w:r>
        <w:rPr>
          <w:rStyle w:val="22"/>
          <w:rFonts w:hint="eastAsia" w:ascii="黑体" w:hAnsi="黑体" w:eastAsia="黑体" w:cs="黑体"/>
        </w:rPr>
        <w:t>2026年7月</w:t>
      </w:r>
    </w:p>
    <w:p w14:paraId="7110E809">
      <w:pPr>
        <w:snapToGrid w:val="0"/>
        <w:spacing w:line="360" w:lineRule="auto"/>
        <w:jc w:val="center"/>
        <w:rPr>
          <w:rFonts w:hint="eastAsia" w:ascii="黑体" w:hAnsi="黑体" w:eastAsia="黑体" w:cs="黑体"/>
          <w:bCs/>
          <w:sz w:val="44"/>
          <w:szCs w:val="36"/>
        </w:rPr>
      </w:pPr>
      <w:r>
        <w:rPr>
          <w:rFonts w:hint="eastAsia" w:ascii="黑体" w:hAnsi="黑体" w:eastAsia="黑体" w:cs="黑体"/>
          <w:bCs/>
          <w:sz w:val="44"/>
          <w:szCs w:val="36"/>
        </w:rPr>
        <w:t>目 录</w:t>
      </w:r>
      <w:bookmarkEnd w:id="0"/>
      <w:bookmarkEnd w:id="1"/>
      <w:bookmarkEnd w:id="3"/>
    </w:p>
    <w:p w14:paraId="26A53B54">
      <w:pPr>
        <w:pStyle w:val="11"/>
        <w:tabs>
          <w:tab w:val="right" w:leader="dot" w:pos="8306"/>
        </w:tabs>
        <w:snapToGrid w:val="0"/>
        <w:spacing w:line="360" w:lineRule="auto"/>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TOC \o "1-2" \h \u </w:instrText>
      </w:r>
      <w:r>
        <w:rPr>
          <w:rFonts w:hint="eastAsia" w:ascii="宋体" w:hAnsi="宋体" w:cs="宋体"/>
          <w:sz w:val="24"/>
        </w:rPr>
        <w:fldChar w:fldCharType="separate"/>
      </w:r>
      <w:r>
        <w:fldChar w:fldCharType="begin"/>
      </w:r>
      <w:r>
        <w:instrText xml:space="preserve"> HYPERLINK \l "_Toc9347" </w:instrText>
      </w:r>
      <w:r>
        <w:fldChar w:fldCharType="separate"/>
      </w:r>
      <w:r>
        <w:rPr>
          <w:rFonts w:hint="eastAsia" w:ascii="宋体" w:hAnsi="宋体" w:cs="宋体"/>
          <w:sz w:val="24"/>
        </w:rPr>
        <w:t>总 则</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_Toc9347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p>
    <w:p w14:paraId="5DAA546F">
      <w:pPr>
        <w:pStyle w:val="11"/>
        <w:tabs>
          <w:tab w:val="right" w:leader="dot" w:pos="8306"/>
        </w:tabs>
        <w:snapToGrid w:val="0"/>
        <w:spacing w:line="360" w:lineRule="auto"/>
        <w:rPr>
          <w:rFonts w:hint="eastAsia" w:ascii="宋体" w:hAnsi="宋体" w:cs="宋体"/>
          <w:sz w:val="24"/>
        </w:rPr>
      </w:pPr>
      <w:r>
        <w:fldChar w:fldCharType="begin"/>
      </w:r>
      <w:r>
        <w:instrText xml:space="preserve"> HYPERLINK \l "_Toc3738" </w:instrText>
      </w:r>
      <w:r>
        <w:fldChar w:fldCharType="separate"/>
      </w:r>
      <w:r>
        <w:rPr>
          <w:rFonts w:hint="eastAsia" w:ascii="宋体" w:hAnsi="宋体" w:cs="宋体"/>
          <w:sz w:val="24"/>
        </w:rPr>
        <w:t>1  标的概况</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_Toc3738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0C098129">
      <w:pPr>
        <w:pStyle w:val="11"/>
        <w:tabs>
          <w:tab w:val="right" w:leader="dot" w:pos="8306"/>
        </w:tabs>
        <w:snapToGrid w:val="0"/>
        <w:spacing w:line="360" w:lineRule="auto"/>
        <w:rPr>
          <w:rFonts w:hint="eastAsia" w:ascii="宋体" w:hAnsi="宋体" w:cs="宋体"/>
          <w:sz w:val="24"/>
        </w:rPr>
      </w:pPr>
      <w:r>
        <w:fldChar w:fldCharType="begin"/>
      </w:r>
      <w:r>
        <w:instrText xml:space="preserve"> HYPERLINK \l "_Toc7667" </w:instrText>
      </w:r>
      <w:r>
        <w:fldChar w:fldCharType="separate"/>
      </w:r>
      <w:r>
        <w:rPr>
          <w:rFonts w:hint="eastAsia" w:ascii="宋体" w:hAnsi="宋体" w:cs="宋体"/>
          <w:sz w:val="24"/>
        </w:rPr>
        <w:t>2  研究内容及目的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_Toc7667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5725EBDF">
      <w:pPr>
        <w:pStyle w:val="12"/>
        <w:tabs>
          <w:tab w:val="right" w:leader="dot" w:pos="8306"/>
          <w:tab w:val="clear" w:pos="8302"/>
        </w:tabs>
        <w:rPr>
          <w:rFonts w:hint="eastAsia" w:ascii="宋体" w:hAnsi="宋体" w:cs="宋体"/>
          <w:szCs w:val="24"/>
        </w:rPr>
      </w:pPr>
      <w:r>
        <w:fldChar w:fldCharType="begin"/>
      </w:r>
      <w:r>
        <w:instrText xml:space="preserve"> HYPERLINK \l "_Toc29882" </w:instrText>
      </w:r>
      <w:r>
        <w:fldChar w:fldCharType="separate"/>
      </w:r>
      <w:r>
        <w:rPr>
          <w:rFonts w:hint="eastAsia" w:ascii="宋体" w:hAnsi="宋体" w:cs="宋体"/>
          <w:bCs/>
          <w:szCs w:val="24"/>
        </w:rPr>
        <w:t>2.1 研究内容</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_Toc29882 \h </w:instrText>
      </w:r>
      <w:r>
        <w:rPr>
          <w:rFonts w:hint="eastAsia" w:ascii="宋体" w:hAnsi="宋体" w:cs="宋体"/>
          <w:szCs w:val="24"/>
        </w:rPr>
        <w:fldChar w:fldCharType="separate"/>
      </w:r>
      <w:r>
        <w:rPr>
          <w:rFonts w:hint="eastAsia" w:ascii="宋体" w:hAnsi="宋体" w:cs="宋体"/>
          <w:szCs w:val="24"/>
        </w:rPr>
        <w:t>3</w:t>
      </w:r>
      <w:r>
        <w:rPr>
          <w:rFonts w:hint="eastAsia" w:ascii="宋体" w:hAnsi="宋体" w:cs="宋体"/>
          <w:szCs w:val="24"/>
        </w:rPr>
        <w:fldChar w:fldCharType="end"/>
      </w:r>
      <w:r>
        <w:rPr>
          <w:rFonts w:hint="eastAsia" w:ascii="宋体" w:hAnsi="宋体" w:cs="宋体"/>
          <w:szCs w:val="24"/>
        </w:rPr>
        <w:fldChar w:fldCharType="end"/>
      </w:r>
    </w:p>
    <w:p w14:paraId="55ADD02F">
      <w:pPr>
        <w:pStyle w:val="12"/>
        <w:tabs>
          <w:tab w:val="right" w:leader="dot" w:pos="8306"/>
          <w:tab w:val="clear" w:pos="8302"/>
        </w:tabs>
        <w:rPr>
          <w:rFonts w:hint="eastAsia" w:ascii="宋体" w:hAnsi="宋体" w:cs="宋体"/>
          <w:szCs w:val="24"/>
        </w:rPr>
      </w:pPr>
      <w:r>
        <w:fldChar w:fldCharType="begin"/>
      </w:r>
      <w:r>
        <w:instrText xml:space="preserve"> HYPERLINK \l "_Toc22754" </w:instrText>
      </w:r>
      <w:r>
        <w:fldChar w:fldCharType="separate"/>
      </w:r>
      <w:r>
        <w:rPr>
          <w:rFonts w:hint="eastAsia" w:ascii="宋体" w:hAnsi="宋体" w:cs="宋体"/>
          <w:bCs/>
          <w:szCs w:val="24"/>
        </w:rPr>
        <w:t>2.2 研究目的</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_Toc22754 \h </w:instrText>
      </w:r>
      <w:r>
        <w:rPr>
          <w:rFonts w:hint="eastAsia" w:ascii="宋体" w:hAnsi="宋体" w:cs="宋体"/>
          <w:szCs w:val="24"/>
        </w:rPr>
        <w:fldChar w:fldCharType="separate"/>
      </w:r>
      <w:r>
        <w:rPr>
          <w:rFonts w:hint="eastAsia" w:ascii="宋体" w:hAnsi="宋体" w:cs="宋体"/>
          <w:szCs w:val="24"/>
        </w:rPr>
        <w:t>3</w:t>
      </w:r>
      <w:r>
        <w:rPr>
          <w:rFonts w:hint="eastAsia" w:ascii="宋体" w:hAnsi="宋体" w:cs="宋体"/>
          <w:szCs w:val="24"/>
        </w:rPr>
        <w:fldChar w:fldCharType="end"/>
      </w:r>
      <w:r>
        <w:rPr>
          <w:rFonts w:hint="eastAsia" w:ascii="宋体" w:hAnsi="宋体" w:cs="宋体"/>
          <w:szCs w:val="24"/>
        </w:rPr>
        <w:fldChar w:fldCharType="end"/>
      </w:r>
    </w:p>
    <w:p w14:paraId="2F794FA0">
      <w:pPr>
        <w:pStyle w:val="11"/>
        <w:tabs>
          <w:tab w:val="right" w:leader="dot" w:pos="8306"/>
        </w:tabs>
        <w:snapToGrid w:val="0"/>
        <w:spacing w:line="360" w:lineRule="auto"/>
        <w:rPr>
          <w:rFonts w:hint="eastAsia" w:ascii="宋体" w:hAnsi="宋体" w:cs="宋体"/>
          <w:sz w:val="24"/>
        </w:rPr>
      </w:pPr>
      <w:r>
        <w:fldChar w:fldCharType="begin"/>
      </w:r>
      <w:r>
        <w:instrText xml:space="preserve"> HYPERLINK \l "_Toc20003" </w:instrText>
      </w:r>
      <w:r>
        <w:fldChar w:fldCharType="separate"/>
      </w:r>
      <w:r>
        <w:rPr>
          <w:rFonts w:hint="eastAsia" w:ascii="宋体" w:hAnsi="宋体" w:cs="宋体"/>
          <w:sz w:val="24"/>
        </w:rPr>
        <w:t>3  主要技术指标要求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_Toc20003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10FEDEBA">
      <w:pPr>
        <w:pStyle w:val="11"/>
        <w:tabs>
          <w:tab w:val="right" w:leader="dot" w:pos="8306"/>
        </w:tabs>
        <w:snapToGrid w:val="0"/>
        <w:spacing w:line="360" w:lineRule="auto"/>
        <w:rPr>
          <w:rFonts w:hint="eastAsia" w:ascii="宋体" w:hAnsi="宋体" w:cs="宋体"/>
          <w:sz w:val="24"/>
        </w:rPr>
      </w:pPr>
      <w:r>
        <w:fldChar w:fldCharType="begin"/>
      </w:r>
      <w:r>
        <w:instrText xml:space="preserve"> HYPERLINK \l "_Toc14246" </w:instrText>
      </w:r>
      <w:r>
        <w:fldChar w:fldCharType="separate"/>
      </w:r>
      <w:r>
        <w:rPr>
          <w:rFonts w:hint="eastAsia" w:ascii="宋体" w:hAnsi="宋体" w:cs="宋体"/>
          <w:sz w:val="24"/>
        </w:rPr>
        <w:t>4  时间进度要求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_Toc20003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12895029">
      <w:pPr>
        <w:pStyle w:val="11"/>
        <w:tabs>
          <w:tab w:val="right" w:leader="dot" w:pos="8306"/>
        </w:tabs>
        <w:snapToGrid w:val="0"/>
        <w:spacing w:line="360" w:lineRule="auto"/>
        <w:rPr>
          <w:rFonts w:hint="eastAsia" w:ascii="宋体" w:hAnsi="宋体" w:cs="宋体"/>
          <w:sz w:val="24"/>
        </w:rPr>
      </w:pPr>
      <w:r>
        <w:fldChar w:fldCharType="begin"/>
      </w:r>
      <w:r>
        <w:instrText xml:space="preserve"> HYPERLINK \l "_Toc21501" </w:instrText>
      </w:r>
      <w:r>
        <w:fldChar w:fldCharType="separate"/>
      </w:r>
      <w:r>
        <w:rPr>
          <w:rFonts w:hint="eastAsia" w:ascii="宋体" w:hAnsi="宋体" w:cs="宋体"/>
          <w:sz w:val="24"/>
        </w:rPr>
        <w:t>5  成果交付与验收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_Toc21501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14:paraId="4D713941">
      <w:pPr>
        <w:pStyle w:val="12"/>
        <w:tabs>
          <w:tab w:val="right" w:leader="dot" w:pos="8306"/>
          <w:tab w:val="clear" w:pos="8302"/>
        </w:tabs>
        <w:rPr>
          <w:rFonts w:hint="eastAsia" w:ascii="宋体" w:hAnsi="宋体" w:cs="宋体"/>
          <w:szCs w:val="24"/>
        </w:rPr>
      </w:pPr>
      <w:r>
        <w:fldChar w:fldCharType="begin"/>
      </w:r>
      <w:r>
        <w:instrText xml:space="preserve"> HYPERLINK \l "_Toc5704" </w:instrText>
      </w:r>
      <w:r>
        <w:fldChar w:fldCharType="separate"/>
      </w:r>
      <w:r>
        <w:rPr>
          <w:rFonts w:hint="eastAsia" w:ascii="宋体" w:hAnsi="宋体" w:cs="宋体"/>
          <w:bCs/>
          <w:szCs w:val="24"/>
        </w:rPr>
        <w:t>5.1 成果形式及数量要求</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_Toc5704 \h </w:instrText>
      </w:r>
      <w:r>
        <w:rPr>
          <w:rFonts w:hint="eastAsia" w:ascii="宋体" w:hAnsi="宋体" w:cs="宋体"/>
          <w:szCs w:val="24"/>
        </w:rPr>
        <w:fldChar w:fldCharType="separate"/>
      </w:r>
      <w:r>
        <w:rPr>
          <w:rFonts w:hint="eastAsia" w:ascii="宋体" w:hAnsi="宋体" w:cs="宋体"/>
          <w:szCs w:val="24"/>
        </w:rPr>
        <w:t>4</w:t>
      </w:r>
      <w:r>
        <w:rPr>
          <w:rFonts w:hint="eastAsia" w:ascii="宋体" w:hAnsi="宋体" w:cs="宋体"/>
          <w:szCs w:val="24"/>
        </w:rPr>
        <w:fldChar w:fldCharType="end"/>
      </w:r>
      <w:r>
        <w:rPr>
          <w:rFonts w:hint="eastAsia" w:ascii="宋体" w:hAnsi="宋体" w:cs="宋体"/>
          <w:szCs w:val="24"/>
        </w:rPr>
        <w:fldChar w:fldCharType="end"/>
      </w:r>
    </w:p>
    <w:p w14:paraId="55F0D792">
      <w:pPr>
        <w:pStyle w:val="12"/>
        <w:tabs>
          <w:tab w:val="right" w:leader="dot" w:pos="8306"/>
          <w:tab w:val="clear" w:pos="8302"/>
        </w:tabs>
        <w:rPr>
          <w:rFonts w:hint="eastAsia" w:ascii="宋体" w:hAnsi="宋体" w:cs="宋体"/>
          <w:szCs w:val="24"/>
        </w:rPr>
      </w:pPr>
      <w:r>
        <w:fldChar w:fldCharType="begin"/>
      </w:r>
      <w:r>
        <w:instrText xml:space="preserve"> HYPERLINK \l "_Toc25508" </w:instrText>
      </w:r>
      <w:r>
        <w:fldChar w:fldCharType="separate"/>
      </w:r>
      <w:r>
        <w:rPr>
          <w:rFonts w:hint="eastAsia" w:ascii="宋体" w:hAnsi="宋体" w:cs="宋体"/>
          <w:bCs/>
          <w:szCs w:val="24"/>
        </w:rPr>
        <w:t>★5.2 成果的权属要求</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_Toc25508 \h </w:instrText>
      </w:r>
      <w:r>
        <w:rPr>
          <w:rFonts w:hint="eastAsia" w:ascii="宋体" w:hAnsi="宋体" w:cs="宋体"/>
          <w:szCs w:val="24"/>
        </w:rPr>
        <w:fldChar w:fldCharType="separate"/>
      </w:r>
      <w:r>
        <w:rPr>
          <w:rFonts w:hint="eastAsia" w:ascii="宋体" w:hAnsi="宋体" w:cs="宋体"/>
          <w:szCs w:val="24"/>
        </w:rPr>
        <w:t>5</w:t>
      </w:r>
      <w:r>
        <w:rPr>
          <w:rFonts w:hint="eastAsia" w:ascii="宋体" w:hAnsi="宋体" w:cs="宋体"/>
          <w:szCs w:val="24"/>
        </w:rPr>
        <w:fldChar w:fldCharType="end"/>
      </w:r>
      <w:r>
        <w:rPr>
          <w:rFonts w:hint="eastAsia" w:ascii="宋体" w:hAnsi="宋体" w:cs="宋体"/>
          <w:szCs w:val="24"/>
        </w:rPr>
        <w:fldChar w:fldCharType="end"/>
      </w:r>
    </w:p>
    <w:p w14:paraId="49673B26">
      <w:pPr>
        <w:pStyle w:val="12"/>
        <w:tabs>
          <w:tab w:val="right" w:leader="dot" w:pos="8306"/>
          <w:tab w:val="clear" w:pos="8302"/>
        </w:tabs>
        <w:rPr>
          <w:rFonts w:hint="eastAsia" w:ascii="宋体" w:hAnsi="宋体" w:cs="宋体"/>
          <w:szCs w:val="24"/>
        </w:rPr>
      </w:pPr>
      <w:r>
        <w:fldChar w:fldCharType="begin"/>
      </w:r>
      <w:r>
        <w:instrText xml:space="preserve"> HYPERLINK \l "_Toc28744" </w:instrText>
      </w:r>
      <w:r>
        <w:fldChar w:fldCharType="separate"/>
      </w:r>
      <w:r>
        <w:rPr>
          <w:rFonts w:hint="eastAsia" w:ascii="宋体" w:hAnsi="宋体" w:cs="宋体"/>
          <w:bCs/>
          <w:szCs w:val="24"/>
        </w:rPr>
        <w:t>5.3技术架构要求</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_Toc28744 \h </w:instrText>
      </w:r>
      <w:r>
        <w:rPr>
          <w:rFonts w:hint="eastAsia" w:ascii="宋体" w:hAnsi="宋体" w:cs="宋体"/>
          <w:szCs w:val="24"/>
        </w:rPr>
        <w:fldChar w:fldCharType="separate"/>
      </w:r>
      <w:r>
        <w:rPr>
          <w:rFonts w:hint="eastAsia" w:ascii="宋体" w:hAnsi="宋体" w:cs="宋体"/>
          <w:szCs w:val="24"/>
        </w:rPr>
        <w:t>5</w:t>
      </w:r>
      <w:r>
        <w:rPr>
          <w:rFonts w:hint="eastAsia" w:ascii="宋体" w:hAnsi="宋体" w:cs="宋体"/>
          <w:szCs w:val="24"/>
        </w:rPr>
        <w:fldChar w:fldCharType="end"/>
      </w:r>
      <w:r>
        <w:rPr>
          <w:rFonts w:hint="eastAsia" w:ascii="宋体" w:hAnsi="宋体" w:cs="宋体"/>
          <w:szCs w:val="24"/>
        </w:rPr>
        <w:fldChar w:fldCharType="end"/>
      </w:r>
    </w:p>
    <w:p w14:paraId="0F939697">
      <w:pPr>
        <w:pStyle w:val="12"/>
        <w:tabs>
          <w:tab w:val="right" w:leader="dot" w:pos="8306"/>
          <w:tab w:val="clear" w:pos="8302"/>
        </w:tabs>
        <w:rPr>
          <w:rFonts w:hint="eastAsia" w:ascii="宋体" w:hAnsi="宋体" w:cs="宋体"/>
          <w:szCs w:val="24"/>
        </w:rPr>
      </w:pPr>
      <w:r>
        <w:fldChar w:fldCharType="begin"/>
      </w:r>
      <w:r>
        <w:instrText xml:space="preserve"> HYPERLINK \l "_Toc6117" </w:instrText>
      </w:r>
      <w:r>
        <w:fldChar w:fldCharType="separate"/>
      </w:r>
      <w:r>
        <w:rPr>
          <w:rFonts w:hint="eastAsia" w:ascii="宋体" w:hAnsi="宋体" w:cs="宋体"/>
          <w:bCs/>
          <w:szCs w:val="24"/>
        </w:rPr>
        <w:t>5.4成果验收</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_Toc6117 \h </w:instrText>
      </w:r>
      <w:r>
        <w:rPr>
          <w:rFonts w:hint="eastAsia" w:ascii="宋体" w:hAnsi="宋体" w:cs="宋体"/>
          <w:szCs w:val="24"/>
        </w:rPr>
        <w:fldChar w:fldCharType="separate"/>
      </w:r>
      <w:r>
        <w:rPr>
          <w:rFonts w:hint="eastAsia" w:ascii="宋体" w:hAnsi="宋体" w:cs="宋体"/>
          <w:szCs w:val="24"/>
        </w:rPr>
        <w:t>6</w:t>
      </w:r>
      <w:r>
        <w:rPr>
          <w:rFonts w:hint="eastAsia" w:ascii="宋体" w:hAnsi="宋体" w:cs="宋体"/>
          <w:szCs w:val="24"/>
        </w:rPr>
        <w:fldChar w:fldCharType="end"/>
      </w:r>
      <w:r>
        <w:rPr>
          <w:rFonts w:hint="eastAsia" w:ascii="宋体" w:hAnsi="宋体" w:cs="宋体"/>
          <w:szCs w:val="24"/>
        </w:rPr>
        <w:fldChar w:fldCharType="end"/>
      </w:r>
    </w:p>
    <w:p w14:paraId="7C43141C">
      <w:pPr>
        <w:pStyle w:val="11"/>
        <w:tabs>
          <w:tab w:val="right" w:leader="dot" w:pos="8306"/>
        </w:tabs>
        <w:snapToGrid w:val="0"/>
        <w:spacing w:line="360" w:lineRule="auto"/>
        <w:rPr>
          <w:rFonts w:hint="eastAsia" w:ascii="宋体" w:hAnsi="宋体" w:cs="宋体"/>
          <w:sz w:val="24"/>
        </w:rPr>
      </w:pPr>
      <w:r>
        <w:fldChar w:fldCharType="begin"/>
      </w:r>
      <w:r>
        <w:instrText xml:space="preserve"> HYPERLINK \l "_Toc30047" </w:instrText>
      </w:r>
      <w:r>
        <w:fldChar w:fldCharType="separate"/>
      </w:r>
      <w:r>
        <w:rPr>
          <w:rFonts w:hint="eastAsia" w:ascii="宋体" w:hAnsi="宋体" w:cs="宋体"/>
          <w:sz w:val="24"/>
        </w:rPr>
        <w:t>6  投标技术文件要求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_Toc30047 \h </w:instrText>
      </w:r>
      <w:r>
        <w:rPr>
          <w:rFonts w:hint="eastAsia" w:ascii="宋体" w:hAnsi="宋体" w:cs="宋体"/>
          <w:sz w:val="24"/>
        </w:rPr>
        <w:fldChar w:fldCharType="separate"/>
      </w:r>
      <w:r>
        <w:rPr>
          <w:rFonts w:hint="eastAsia" w:ascii="宋体" w:hAnsi="宋体" w:cs="宋体"/>
          <w:sz w:val="24"/>
        </w:rPr>
        <w:t>6</w:t>
      </w:r>
      <w:r>
        <w:rPr>
          <w:rFonts w:hint="eastAsia" w:ascii="宋体" w:hAnsi="宋体" w:cs="宋体"/>
          <w:sz w:val="24"/>
        </w:rPr>
        <w:fldChar w:fldCharType="end"/>
      </w:r>
      <w:r>
        <w:rPr>
          <w:rFonts w:hint="eastAsia" w:ascii="宋体" w:hAnsi="宋体" w:cs="宋体"/>
          <w:sz w:val="24"/>
        </w:rPr>
        <w:fldChar w:fldCharType="end"/>
      </w:r>
    </w:p>
    <w:p w14:paraId="0566DA14">
      <w:pPr>
        <w:pStyle w:val="12"/>
        <w:tabs>
          <w:tab w:val="right" w:leader="dot" w:pos="8306"/>
          <w:tab w:val="clear" w:pos="8302"/>
        </w:tabs>
        <w:rPr>
          <w:rFonts w:hint="eastAsia" w:ascii="宋体" w:hAnsi="宋体" w:cs="宋体"/>
          <w:szCs w:val="24"/>
        </w:rPr>
      </w:pPr>
      <w:r>
        <w:fldChar w:fldCharType="begin"/>
      </w:r>
      <w:r>
        <w:instrText xml:space="preserve"> HYPERLINK \l "_Toc26928" </w:instrText>
      </w:r>
      <w:r>
        <w:fldChar w:fldCharType="separate"/>
      </w:r>
      <w:r>
        <w:rPr>
          <w:rFonts w:hint="eastAsia" w:ascii="宋体" w:hAnsi="宋体" w:cs="宋体"/>
          <w:bCs/>
          <w:szCs w:val="24"/>
        </w:rPr>
        <w:t>6.1 研究方案</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_Toc26928 \h </w:instrText>
      </w:r>
      <w:r>
        <w:rPr>
          <w:rFonts w:hint="eastAsia" w:ascii="宋体" w:hAnsi="宋体" w:cs="宋体"/>
          <w:szCs w:val="24"/>
        </w:rPr>
        <w:fldChar w:fldCharType="separate"/>
      </w:r>
      <w:r>
        <w:rPr>
          <w:rFonts w:hint="eastAsia" w:ascii="宋体" w:hAnsi="宋体" w:cs="宋体"/>
          <w:szCs w:val="24"/>
        </w:rPr>
        <w:t>6</w:t>
      </w:r>
      <w:r>
        <w:rPr>
          <w:rFonts w:hint="eastAsia" w:ascii="宋体" w:hAnsi="宋体" w:cs="宋体"/>
          <w:szCs w:val="24"/>
        </w:rPr>
        <w:fldChar w:fldCharType="end"/>
      </w:r>
      <w:r>
        <w:rPr>
          <w:rFonts w:hint="eastAsia" w:ascii="宋体" w:hAnsi="宋体" w:cs="宋体"/>
          <w:szCs w:val="24"/>
        </w:rPr>
        <w:fldChar w:fldCharType="end"/>
      </w:r>
    </w:p>
    <w:p w14:paraId="042EF3F0">
      <w:pPr>
        <w:pStyle w:val="12"/>
        <w:tabs>
          <w:tab w:val="right" w:leader="dot" w:pos="8306"/>
          <w:tab w:val="clear" w:pos="8302"/>
        </w:tabs>
        <w:rPr>
          <w:rFonts w:hint="eastAsia" w:ascii="宋体" w:hAnsi="宋体" w:cs="宋体"/>
          <w:szCs w:val="24"/>
        </w:rPr>
      </w:pPr>
      <w:r>
        <w:fldChar w:fldCharType="begin"/>
      </w:r>
      <w:r>
        <w:instrText xml:space="preserve"> HYPERLINK \l "_Toc3443" </w:instrText>
      </w:r>
      <w:r>
        <w:fldChar w:fldCharType="separate"/>
      </w:r>
      <w:r>
        <w:rPr>
          <w:rFonts w:hint="eastAsia" w:ascii="宋体" w:hAnsi="宋体" w:cs="宋体"/>
          <w:bCs/>
          <w:szCs w:val="24"/>
        </w:rPr>
        <w:t>6.2 项目管理实施</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_Toc3443 \h </w:instrText>
      </w:r>
      <w:r>
        <w:rPr>
          <w:rFonts w:hint="eastAsia" w:ascii="宋体" w:hAnsi="宋体" w:cs="宋体"/>
          <w:szCs w:val="24"/>
        </w:rPr>
        <w:fldChar w:fldCharType="separate"/>
      </w:r>
      <w:r>
        <w:rPr>
          <w:rFonts w:hint="eastAsia" w:ascii="宋体" w:hAnsi="宋体" w:cs="宋体"/>
          <w:szCs w:val="24"/>
        </w:rPr>
        <w:t>6</w:t>
      </w:r>
      <w:r>
        <w:rPr>
          <w:rFonts w:hint="eastAsia" w:ascii="宋体" w:hAnsi="宋体" w:cs="宋体"/>
          <w:szCs w:val="24"/>
        </w:rPr>
        <w:fldChar w:fldCharType="end"/>
      </w:r>
      <w:r>
        <w:rPr>
          <w:rFonts w:hint="eastAsia" w:ascii="宋体" w:hAnsi="宋体" w:cs="宋体"/>
          <w:szCs w:val="24"/>
        </w:rPr>
        <w:fldChar w:fldCharType="end"/>
      </w:r>
    </w:p>
    <w:p w14:paraId="39E7F671">
      <w:pPr>
        <w:pStyle w:val="12"/>
        <w:tabs>
          <w:tab w:val="right" w:leader="dot" w:pos="8306"/>
          <w:tab w:val="clear" w:pos="8302"/>
        </w:tabs>
        <w:rPr>
          <w:rFonts w:hint="eastAsia" w:ascii="宋体" w:hAnsi="宋体" w:cs="宋体"/>
          <w:szCs w:val="24"/>
        </w:rPr>
      </w:pPr>
      <w:r>
        <w:fldChar w:fldCharType="begin"/>
      </w:r>
      <w:r>
        <w:instrText xml:space="preserve"> HYPERLINK \l "_Toc29755" </w:instrText>
      </w:r>
      <w:r>
        <w:fldChar w:fldCharType="separate"/>
      </w:r>
      <w:r>
        <w:rPr>
          <w:rFonts w:hint="eastAsia" w:ascii="宋体" w:hAnsi="宋体" w:cs="宋体"/>
          <w:bCs/>
          <w:szCs w:val="24"/>
        </w:rPr>
        <w:t>6.3 项目技术支撑能力</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_Toc29755 \h </w:instrText>
      </w:r>
      <w:r>
        <w:rPr>
          <w:rFonts w:hint="eastAsia" w:ascii="宋体" w:hAnsi="宋体" w:cs="宋体"/>
          <w:szCs w:val="24"/>
        </w:rPr>
        <w:fldChar w:fldCharType="separate"/>
      </w:r>
      <w:r>
        <w:rPr>
          <w:rFonts w:hint="eastAsia" w:ascii="宋体" w:hAnsi="宋体" w:cs="宋体"/>
          <w:szCs w:val="24"/>
        </w:rPr>
        <w:t>6</w:t>
      </w:r>
      <w:r>
        <w:rPr>
          <w:rFonts w:hint="eastAsia" w:ascii="宋体" w:hAnsi="宋体" w:cs="宋体"/>
          <w:szCs w:val="24"/>
        </w:rPr>
        <w:fldChar w:fldCharType="end"/>
      </w:r>
      <w:r>
        <w:rPr>
          <w:rFonts w:hint="eastAsia" w:ascii="宋体" w:hAnsi="宋体" w:cs="宋体"/>
          <w:szCs w:val="24"/>
        </w:rPr>
        <w:fldChar w:fldCharType="end"/>
      </w:r>
    </w:p>
    <w:p w14:paraId="34586FDE">
      <w:pPr>
        <w:pStyle w:val="12"/>
        <w:tabs>
          <w:tab w:val="right" w:leader="dot" w:pos="8306"/>
          <w:tab w:val="clear" w:pos="8302"/>
        </w:tabs>
        <w:rPr>
          <w:rFonts w:hint="eastAsia" w:ascii="宋体" w:hAnsi="宋体" w:cs="宋体"/>
          <w:szCs w:val="24"/>
        </w:rPr>
      </w:pPr>
      <w:r>
        <w:fldChar w:fldCharType="begin"/>
      </w:r>
      <w:r>
        <w:instrText xml:space="preserve"> HYPERLINK \l "_Toc3357" </w:instrText>
      </w:r>
      <w:r>
        <w:fldChar w:fldCharType="separate"/>
      </w:r>
      <w:r>
        <w:rPr>
          <w:rFonts w:hint="eastAsia" w:ascii="宋体" w:hAnsi="宋体" w:cs="宋体"/>
          <w:bCs/>
          <w:szCs w:val="24"/>
        </w:rPr>
        <w:t>6.4 技术支持与售后服务</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_Toc3357 \h </w:instrText>
      </w:r>
      <w:r>
        <w:rPr>
          <w:rFonts w:hint="eastAsia" w:ascii="宋体" w:hAnsi="宋体" w:cs="宋体"/>
          <w:szCs w:val="24"/>
        </w:rPr>
        <w:fldChar w:fldCharType="separate"/>
      </w:r>
      <w:r>
        <w:rPr>
          <w:rFonts w:hint="eastAsia" w:ascii="宋体" w:hAnsi="宋体" w:cs="宋体"/>
          <w:szCs w:val="24"/>
        </w:rPr>
        <w:t>7</w:t>
      </w:r>
      <w:r>
        <w:rPr>
          <w:rFonts w:hint="eastAsia" w:ascii="宋体" w:hAnsi="宋体" w:cs="宋体"/>
          <w:szCs w:val="24"/>
        </w:rPr>
        <w:fldChar w:fldCharType="end"/>
      </w:r>
      <w:r>
        <w:rPr>
          <w:rFonts w:hint="eastAsia" w:ascii="宋体" w:hAnsi="宋体" w:cs="宋体"/>
          <w:szCs w:val="24"/>
        </w:rPr>
        <w:fldChar w:fldCharType="end"/>
      </w:r>
    </w:p>
    <w:p w14:paraId="1EDF86F9">
      <w:pPr>
        <w:pStyle w:val="12"/>
        <w:tabs>
          <w:tab w:val="right" w:leader="dot" w:pos="8306"/>
          <w:tab w:val="clear" w:pos="8302"/>
        </w:tabs>
        <w:rPr>
          <w:rFonts w:hint="eastAsia" w:ascii="宋体" w:hAnsi="宋体" w:cs="宋体"/>
          <w:szCs w:val="24"/>
        </w:rPr>
      </w:pPr>
      <w:r>
        <w:fldChar w:fldCharType="begin"/>
      </w:r>
      <w:r>
        <w:instrText xml:space="preserve"> HYPERLINK \l "_Toc17138" </w:instrText>
      </w:r>
      <w:r>
        <w:fldChar w:fldCharType="separate"/>
      </w:r>
      <w:r>
        <w:rPr>
          <w:rFonts w:hint="eastAsia" w:ascii="宋体" w:hAnsi="宋体" w:cs="宋体"/>
          <w:bCs/>
          <w:szCs w:val="24"/>
        </w:rPr>
        <w:t>6.5 技术差异表</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_Toc17138 \h </w:instrText>
      </w:r>
      <w:r>
        <w:rPr>
          <w:rFonts w:hint="eastAsia" w:ascii="宋体" w:hAnsi="宋体" w:cs="宋体"/>
          <w:szCs w:val="24"/>
        </w:rPr>
        <w:fldChar w:fldCharType="separate"/>
      </w:r>
      <w:r>
        <w:rPr>
          <w:rFonts w:hint="eastAsia" w:ascii="宋体" w:hAnsi="宋体" w:cs="宋体"/>
          <w:szCs w:val="24"/>
        </w:rPr>
        <w:t>7</w:t>
      </w:r>
      <w:r>
        <w:rPr>
          <w:rFonts w:hint="eastAsia" w:ascii="宋体" w:hAnsi="宋体" w:cs="宋体"/>
          <w:szCs w:val="24"/>
        </w:rPr>
        <w:fldChar w:fldCharType="end"/>
      </w:r>
      <w:r>
        <w:rPr>
          <w:rFonts w:hint="eastAsia" w:ascii="宋体" w:hAnsi="宋体" w:cs="宋体"/>
          <w:szCs w:val="24"/>
        </w:rPr>
        <w:fldChar w:fldCharType="end"/>
      </w:r>
    </w:p>
    <w:p w14:paraId="0A3B64ED">
      <w:pPr>
        <w:pStyle w:val="12"/>
        <w:tabs>
          <w:tab w:val="right" w:leader="dot" w:pos="8306"/>
          <w:tab w:val="clear" w:pos="8302"/>
        </w:tabs>
        <w:rPr>
          <w:rFonts w:hint="eastAsia" w:ascii="宋体" w:hAnsi="宋体" w:cs="宋体"/>
          <w:szCs w:val="24"/>
        </w:rPr>
      </w:pPr>
      <w:r>
        <w:fldChar w:fldCharType="begin"/>
      </w:r>
      <w:r>
        <w:instrText xml:space="preserve"> HYPERLINK \l "_Toc10100" </w:instrText>
      </w:r>
      <w:r>
        <w:fldChar w:fldCharType="separate"/>
      </w:r>
      <w:r>
        <w:rPr>
          <w:rFonts w:hint="eastAsia" w:ascii="宋体" w:hAnsi="宋体" w:cs="宋体"/>
          <w:szCs w:val="24"/>
        </w:rPr>
        <w:t>6.6 其它补充说明</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_Toc10100 \h </w:instrText>
      </w:r>
      <w:r>
        <w:rPr>
          <w:rFonts w:hint="eastAsia" w:ascii="宋体" w:hAnsi="宋体" w:cs="宋体"/>
          <w:szCs w:val="24"/>
        </w:rPr>
        <w:fldChar w:fldCharType="separate"/>
      </w:r>
      <w:r>
        <w:rPr>
          <w:rFonts w:hint="eastAsia" w:ascii="宋体" w:hAnsi="宋体" w:cs="宋体"/>
          <w:szCs w:val="24"/>
        </w:rPr>
        <w:t>7</w:t>
      </w:r>
      <w:r>
        <w:rPr>
          <w:rFonts w:hint="eastAsia" w:ascii="宋体" w:hAnsi="宋体" w:cs="宋体"/>
          <w:szCs w:val="24"/>
        </w:rPr>
        <w:fldChar w:fldCharType="end"/>
      </w:r>
      <w:r>
        <w:rPr>
          <w:rFonts w:hint="eastAsia" w:ascii="宋体" w:hAnsi="宋体" w:cs="宋体"/>
          <w:szCs w:val="24"/>
        </w:rPr>
        <w:fldChar w:fldCharType="end"/>
      </w:r>
    </w:p>
    <w:p w14:paraId="151B5366">
      <w:pPr>
        <w:pStyle w:val="11"/>
        <w:tabs>
          <w:tab w:val="right" w:leader="dot" w:pos="8306"/>
        </w:tabs>
        <w:snapToGrid w:val="0"/>
        <w:spacing w:line="360" w:lineRule="auto"/>
        <w:rPr>
          <w:rFonts w:hint="eastAsia" w:ascii="黑体" w:hAnsi="黑体" w:eastAsia="黑体" w:cs="黑体"/>
          <w:b/>
          <w:sz w:val="24"/>
        </w:rPr>
      </w:pPr>
      <w:r>
        <w:rPr>
          <w:rFonts w:hint="eastAsia" w:ascii="宋体" w:hAnsi="宋体" w:cs="宋体"/>
          <w:sz w:val="24"/>
        </w:rPr>
        <w:fldChar w:fldCharType="end"/>
      </w:r>
    </w:p>
    <w:p w14:paraId="392A3FC6">
      <w:pPr>
        <w:rPr>
          <w:rFonts w:hint="eastAsia" w:ascii="宋体" w:hAnsi="宋体"/>
          <w:b/>
          <w:sz w:val="30"/>
        </w:rPr>
      </w:pPr>
      <w:r>
        <w:rPr>
          <w:rFonts w:ascii="宋体" w:hAnsi="宋体"/>
          <w:b/>
          <w:sz w:val="30"/>
        </w:rPr>
        <w:br w:type="page"/>
      </w:r>
    </w:p>
    <w:p w14:paraId="14AE6949">
      <w:pPr>
        <w:spacing w:line="480" w:lineRule="auto"/>
        <w:jc w:val="center"/>
        <w:outlineLvl w:val="0"/>
        <w:rPr>
          <w:rFonts w:hint="eastAsia" w:ascii="宋体" w:hAnsi="宋体"/>
          <w:b/>
          <w:sz w:val="32"/>
        </w:rPr>
      </w:pPr>
      <w:bookmarkStart w:id="4" w:name="_Toc9347"/>
      <w:bookmarkStart w:id="5" w:name="_Toc19589"/>
      <w:bookmarkStart w:id="6" w:name="_Toc266713645"/>
      <w:bookmarkStart w:id="7" w:name="_Toc17586"/>
      <w:bookmarkStart w:id="8" w:name="_Toc32374"/>
      <w:r>
        <w:rPr>
          <w:rFonts w:hint="eastAsia" w:ascii="宋体" w:hAnsi="宋体"/>
          <w:b/>
          <w:sz w:val="32"/>
        </w:rPr>
        <w:t>总 则</w:t>
      </w:r>
      <w:bookmarkEnd w:id="4"/>
      <w:bookmarkEnd w:id="5"/>
      <w:bookmarkEnd w:id="6"/>
      <w:bookmarkEnd w:id="7"/>
      <w:bookmarkEnd w:id="8"/>
    </w:p>
    <w:p w14:paraId="1B4B42BA">
      <w:pPr>
        <w:numPr>
          <w:ilvl w:val="0"/>
          <w:numId w:val="2"/>
        </w:numPr>
        <w:spacing w:line="360" w:lineRule="auto"/>
        <w:rPr>
          <w:rFonts w:hint="eastAsia" w:ascii="宋体" w:hAnsi="宋体"/>
          <w:bCs/>
          <w:sz w:val="24"/>
        </w:rPr>
      </w:pPr>
      <w:r>
        <w:rPr>
          <w:rFonts w:hint="eastAsia" w:ascii="宋体" w:hAnsi="宋体"/>
          <w:bCs/>
          <w:sz w:val="24"/>
        </w:rPr>
        <w:t>本文件为该采购项目的技术招标文件。</w:t>
      </w:r>
    </w:p>
    <w:p w14:paraId="2454D14B">
      <w:pPr>
        <w:numPr>
          <w:ilvl w:val="0"/>
          <w:numId w:val="2"/>
        </w:numPr>
        <w:spacing w:line="360" w:lineRule="auto"/>
        <w:rPr>
          <w:rFonts w:hint="eastAsia" w:ascii="宋体" w:hAnsi="宋体"/>
          <w:bCs/>
          <w:sz w:val="24"/>
        </w:rPr>
      </w:pPr>
      <w:r>
        <w:rPr>
          <w:rFonts w:hint="eastAsia" w:ascii="宋体" w:hAnsi="宋体"/>
          <w:bCs/>
          <w:sz w:val="24"/>
        </w:rPr>
        <w:t>本文件所描述的各</w:t>
      </w:r>
      <w:r>
        <w:rPr>
          <w:rFonts w:hint="eastAsia" w:hAnsi="宋体"/>
          <w:bCs/>
          <w:sz w:val="24"/>
        </w:rPr>
        <w:t>项技术要求</w:t>
      </w:r>
      <w:r>
        <w:rPr>
          <w:rFonts w:hint="eastAsia" w:ascii="宋体" w:hAnsi="宋体"/>
          <w:bCs/>
          <w:sz w:val="24"/>
        </w:rPr>
        <w:t>仅供投标方编制投标文件之用。</w:t>
      </w:r>
    </w:p>
    <w:p w14:paraId="23E8BD30">
      <w:pPr>
        <w:numPr>
          <w:ilvl w:val="0"/>
          <w:numId w:val="2"/>
        </w:numPr>
        <w:spacing w:line="360" w:lineRule="auto"/>
        <w:rPr>
          <w:rFonts w:hint="eastAsia" w:ascii="宋体" w:hAnsi="宋体"/>
          <w:bCs/>
          <w:sz w:val="24"/>
        </w:rPr>
      </w:pPr>
      <w:r>
        <w:rPr>
          <w:rFonts w:hint="eastAsia" w:ascii="宋体" w:hAnsi="宋体"/>
          <w:bCs/>
          <w:sz w:val="24"/>
        </w:rPr>
        <w:t>本标书仅描述基本的技术需求，并未对一切技术细节做出规定，也未充分引述有关标准和技术条文，投标方应根据需求目标提供进一步具体的可满足要求的</w:t>
      </w:r>
      <w:r>
        <w:rPr>
          <w:rFonts w:hint="eastAsia" w:hAnsi="宋体"/>
          <w:bCs/>
          <w:sz w:val="24"/>
        </w:rPr>
        <w:t>技术</w:t>
      </w:r>
      <w:r>
        <w:rPr>
          <w:rFonts w:hint="eastAsia" w:ascii="宋体" w:hAnsi="宋体"/>
          <w:bCs/>
          <w:sz w:val="24"/>
        </w:rPr>
        <w:t>指标。</w:t>
      </w:r>
    </w:p>
    <w:p w14:paraId="35C18F38">
      <w:pPr>
        <w:numPr>
          <w:ilvl w:val="0"/>
          <w:numId w:val="2"/>
        </w:numPr>
        <w:spacing w:line="360" w:lineRule="auto"/>
        <w:rPr>
          <w:rFonts w:hint="eastAsia" w:ascii="宋体" w:hAnsi="宋体"/>
          <w:bCs/>
          <w:sz w:val="24"/>
        </w:rPr>
      </w:pPr>
      <w:r>
        <w:rPr>
          <w:rFonts w:hint="eastAsia" w:ascii="宋体" w:hAnsi="宋体"/>
          <w:bCs/>
          <w:sz w:val="24"/>
        </w:rPr>
        <w:t>投标技术文件要求文字精练、数据准确、表述及图示清晰明确，具有针对性。</w:t>
      </w:r>
    </w:p>
    <w:p w14:paraId="00ACD75C">
      <w:pPr>
        <w:numPr>
          <w:ilvl w:val="0"/>
          <w:numId w:val="2"/>
        </w:numPr>
        <w:spacing w:line="360" w:lineRule="auto"/>
        <w:rPr>
          <w:rFonts w:hint="eastAsia" w:ascii="宋体" w:hAnsi="宋体"/>
          <w:bCs/>
          <w:sz w:val="24"/>
        </w:rPr>
      </w:pPr>
      <w:r>
        <w:rPr>
          <w:rFonts w:hint="eastAsia" w:ascii="宋体" w:hAnsi="宋体"/>
          <w:bCs/>
          <w:sz w:val="24"/>
          <w:szCs w:val="22"/>
        </w:rPr>
        <w:t>投标方在投标技术文件中应对本标书逐项予以说明和答复,应如实反映投标</w:t>
      </w:r>
      <w:r>
        <w:rPr>
          <w:rFonts w:hint="eastAsia" w:hAnsi="宋体"/>
          <w:bCs/>
          <w:sz w:val="24"/>
          <w:szCs w:val="22"/>
        </w:rPr>
        <w:t>服务</w:t>
      </w:r>
      <w:r>
        <w:rPr>
          <w:rFonts w:hint="eastAsia" w:ascii="宋体" w:hAnsi="宋体"/>
          <w:bCs/>
          <w:sz w:val="24"/>
          <w:szCs w:val="22"/>
        </w:rPr>
        <w:t>与本技术规范书的技术差异。如果投标方没有提出技术差异，而在执行合同的过程中，招标方发现投标方提供的</w:t>
      </w:r>
      <w:r>
        <w:rPr>
          <w:rFonts w:hint="eastAsia" w:hAnsi="宋体"/>
          <w:bCs/>
          <w:sz w:val="24"/>
          <w:szCs w:val="22"/>
        </w:rPr>
        <w:t>服务</w:t>
      </w:r>
      <w:r>
        <w:rPr>
          <w:rFonts w:hint="eastAsia" w:ascii="宋体" w:hAnsi="宋体"/>
          <w:bCs/>
          <w:sz w:val="24"/>
          <w:szCs w:val="22"/>
        </w:rPr>
        <w:t>与其投标技术文件的条文存在差异，招标方</w:t>
      </w:r>
      <w:r>
        <w:rPr>
          <w:rFonts w:hint="eastAsia" w:hAnsi="宋体"/>
          <w:bCs/>
          <w:sz w:val="24"/>
          <w:szCs w:val="22"/>
        </w:rPr>
        <w:t>将</w:t>
      </w:r>
      <w:r>
        <w:rPr>
          <w:rFonts w:hint="eastAsia" w:ascii="宋体" w:hAnsi="宋体"/>
          <w:bCs/>
          <w:sz w:val="24"/>
          <w:szCs w:val="22"/>
        </w:rPr>
        <w:t>追究投标方违约责任</w:t>
      </w:r>
      <w:r>
        <w:rPr>
          <w:rFonts w:hint="eastAsia" w:ascii="宋体" w:hAnsi="宋体"/>
          <w:bCs/>
          <w:sz w:val="24"/>
        </w:rPr>
        <w:t>。</w:t>
      </w:r>
    </w:p>
    <w:p w14:paraId="7FAF441C">
      <w:pPr>
        <w:numPr>
          <w:ilvl w:val="0"/>
          <w:numId w:val="2"/>
        </w:numPr>
        <w:spacing w:line="360" w:lineRule="auto"/>
        <w:rPr>
          <w:rFonts w:hint="eastAsia" w:ascii="宋体" w:hAnsi="宋体"/>
          <w:bCs/>
          <w:sz w:val="24"/>
        </w:rPr>
      </w:pPr>
      <w:r>
        <w:rPr>
          <w:rFonts w:hint="eastAsia" w:ascii="宋体" w:hAnsi="宋体"/>
          <w:bCs/>
          <w:sz w:val="24"/>
          <w:szCs w:val="22"/>
        </w:rPr>
        <w:t>投标方应在投标技术部分按本技术规范书的要求</w:t>
      </w:r>
      <w:r>
        <w:rPr>
          <w:rFonts w:hint="eastAsia" w:hAnsi="宋体"/>
          <w:bCs/>
          <w:sz w:val="24"/>
          <w:szCs w:val="22"/>
        </w:rPr>
        <w:t>内容</w:t>
      </w:r>
      <w:r>
        <w:rPr>
          <w:rFonts w:hint="eastAsia" w:ascii="宋体" w:hAnsi="宋体"/>
          <w:bCs/>
          <w:sz w:val="24"/>
          <w:szCs w:val="22"/>
        </w:rPr>
        <w:t>如实详细填写投标</w:t>
      </w:r>
      <w:r>
        <w:rPr>
          <w:rFonts w:hint="eastAsia" w:hAnsi="宋体"/>
          <w:bCs/>
          <w:sz w:val="24"/>
          <w:szCs w:val="22"/>
        </w:rPr>
        <w:t>服务</w:t>
      </w:r>
      <w:r>
        <w:rPr>
          <w:rFonts w:hint="eastAsia" w:ascii="宋体" w:hAnsi="宋体"/>
          <w:bCs/>
          <w:sz w:val="24"/>
          <w:szCs w:val="22"/>
        </w:rPr>
        <w:t>的</w:t>
      </w:r>
      <w:r>
        <w:rPr>
          <w:rFonts w:hint="eastAsia" w:hAnsi="宋体"/>
          <w:bCs/>
          <w:sz w:val="24"/>
          <w:szCs w:val="22"/>
        </w:rPr>
        <w:t>范围及明细</w:t>
      </w:r>
      <w:r>
        <w:rPr>
          <w:rFonts w:hint="eastAsia" w:ascii="宋体" w:hAnsi="宋体"/>
          <w:bCs/>
          <w:sz w:val="24"/>
          <w:szCs w:val="22"/>
        </w:rPr>
        <w:t>，并在投标商务部分</w:t>
      </w:r>
      <w:r>
        <w:rPr>
          <w:rFonts w:hint="eastAsia" w:hAnsi="宋体"/>
          <w:bCs/>
          <w:sz w:val="24"/>
          <w:szCs w:val="22"/>
        </w:rPr>
        <w:t>（或报价部分）</w:t>
      </w:r>
      <w:r>
        <w:rPr>
          <w:rFonts w:hint="eastAsia" w:ascii="宋体" w:hAnsi="宋体"/>
          <w:bCs/>
          <w:sz w:val="24"/>
          <w:szCs w:val="22"/>
        </w:rPr>
        <w:t>按</w:t>
      </w:r>
      <w:r>
        <w:rPr>
          <w:rFonts w:hint="eastAsia" w:hAnsi="宋体"/>
          <w:bCs/>
          <w:sz w:val="24"/>
          <w:szCs w:val="22"/>
        </w:rPr>
        <w:t>此范围及明细</w:t>
      </w:r>
      <w:r>
        <w:rPr>
          <w:rFonts w:hint="eastAsia" w:ascii="宋体" w:hAnsi="宋体"/>
          <w:bCs/>
          <w:sz w:val="24"/>
          <w:szCs w:val="22"/>
        </w:rPr>
        <w:t>进行</w:t>
      </w:r>
      <w:r>
        <w:rPr>
          <w:rFonts w:hint="eastAsia" w:hAnsi="宋体"/>
          <w:bCs/>
          <w:sz w:val="24"/>
          <w:szCs w:val="22"/>
        </w:rPr>
        <w:t>分项</w:t>
      </w:r>
      <w:r>
        <w:rPr>
          <w:rFonts w:hint="eastAsia" w:ascii="宋体" w:hAnsi="宋体"/>
          <w:bCs/>
          <w:sz w:val="24"/>
          <w:szCs w:val="22"/>
        </w:rPr>
        <w:t>报价，如发现</w:t>
      </w:r>
      <w:r>
        <w:rPr>
          <w:rFonts w:hint="eastAsia" w:hAnsi="宋体"/>
          <w:bCs/>
          <w:sz w:val="24"/>
          <w:szCs w:val="22"/>
        </w:rPr>
        <w:t>总报价与分项报价</w:t>
      </w:r>
      <w:r>
        <w:rPr>
          <w:rFonts w:hint="eastAsia" w:ascii="宋体" w:hAnsi="宋体"/>
          <w:bCs/>
          <w:sz w:val="24"/>
          <w:szCs w:val="22"/>
        </w:rPr>
        <w:t>有矛盾之处，将按有利于招标方的条款执行</w:t>
      </w:r>
      <w:r>
        <w:rPr>
          <w:rFonts w:hint="eastAsia" w:hAnsi="宋体"/>
          <w:bCs/>
          <w:sz w:val="24"/>
          <w:szCs w:val="22"/>
        </w:rPr>
        <w:t>。</w:t>
      </w:r>
      <w:r>
        <w:rPr>
          <w:rFonts w:hint="eastAsia" w:ascii="宋体" w:hAnsi="宋体"/>
          <w:bCs/>
          <w:sz w:val="24"/>
          <w:szCs w:val="22"/>
        </w:rPr>
        <w:t xml:space="preserve"> </w:t>
      </w:r>
    </w:p>
    <w:p w14:paraId="6E34104E">
      <w:pPr>
        <w:numPr>
          <w:ilvl w:val="0"/>
          <w:numId w:val="2"/>
        </w:numPr>
        <w:spacing w:line="360" w:lineRule="auto"/>
        <w:rPr>
          <w:rFonts w:hint="eastAsia" w:ascii="宋体" w:hAnsi="宋体"/>
          <w:bCs/>
          <w:sz w:val="24"/>
          <w:szCs w:val="22"/>
        </w:rPr>
      </w:pPr>
      <w:r>
        <w:rPr>
          <w:rFonts w:hint="eastAsia" w:ascii="宋体" w:hAnsi="宋体"/>
          <w:bCs/>
          <w:sz w:val="24"/>
          <w:szCs w:val="22"/>
        </w:rPr>
        <w:t>投标方必须仔细阅读采购文件的全部条款，并作出明确响应。采购文件带“★”号的条款及要求，投标方必须满足，若有一项不满足将否决投标。</w:t>
      </w:r>
    </w:p>
    <w:p w14:paraId="7F68FF64">
      <w:pPr>
        <w:numPr>
          <w:ilvl w:val="0"/>
          <w:numId w:val="2"/>
        </w:numPr>
        <w:spacing w:line="360" w:lineRule="auto"/>
        <w:rPr>
          <w:rFonts w:hint="eastAsia" w:ascii="宋体" w:hAnsi="宋体"/>
          <w:bCs/>
          <w:sz w:val="24"/>
          <w:szCs w:val="22"/>
        </w:rPr>
      </w:pPr>
      <w:r>
        <w:rPr>
          <w:rFonts w:hint="eastAsia" w:ascii="宋体" w:hAnsi="宋体"/>
          <w:bCs/>
          <w:sz w:val="24"/>
          <w:szCs w:val="22"/>
        </w:rPr>
        <w:t>本技术规范书未尽事宜，由双方协商确定。</w:t>
      </w:r>
    </w:p>
    <w:p w14:paraId="54A88A7A">
      <w:pPr>
        <w:numPr>
          <w:ilvl w:val="0"/>
          <w:numId w:val="2"/>
        </w:numPr>
        <w:spacing w:line="360" w:lineRule="auto"/>
        <w:rPr>
          <w:rFonts w:hint="eastAsia" w:ascii="宋体" w:hAnsi="宋体"/>
          <w:bCs/>
          <w:sz w:val="24"/>
        </w:rPr>
      </w:pPr>
      <w:r>
        <w:rPr>
          <w:rFonts w:hint="eastAsia" w:ascii="宋体" w:hAnsi="宋体"/>
          <w:bCs/>
          <w:sz w:val="24"/>
        </w:rPr>
        <w:t>本标书的最终解释权归招标方。</w:t>
      </w:r>
    </w:p>
    <w:p w14:paraId="7F32174E">
      <w:pPr>
        <w:pStyle w:val="23"/>
        <w:spacing w:before="312"/>
        <w:rPr>
          <w:rFonts w:hint="eastAsia"/>
          <w:szCs w:val="22"/>
        </w:rPr>
      </w:pPr>
      <w:r>
        <w:rPr>
          <w:rFonts w:hint="eastAsia"/>
          <w:szCs w:val="22"/>
        </w:rPr>
        <w:br w:type="page"/>
      </w:r>
    </w:p>
    <w:p w14:paraId="18C73468">
      <w:pPr>
        <w:pStyle w:val="23"/>
        <w:spacing w:before="312"/>
        <w:outlineLvl w:val="0"/>
        <w:rPr>
          <w:rFonts w:hint="eastAsia" w:ascii="黑体" w:hAnsi="黑体" w:eastAsia="黑体" w:cs="黑体"/>
          <w:sz w:val="28"/>
          <w:szCs w:val="28"/>
        </w:rPr>
      </w:pPr>
      <w:bookmarkStart w:id="9" w:name="_Toc3738"/>
      <w:r>
        <w:rPr>
          <w:rFonts w:hint="eastAsia" w:ascii="黑体" w:hAnsi="黑体" w:eastAsia="黑体" w:cs="黑体"/>
          <w:sz w:val="28"/>
          <w:szCs w:val="28"/>
        </w:rPr>
        <w:t>1  标的概况</w:t>
      </w:r>
      <w:bookmarkEnd w:id="9"/>
    </w:p>
    <w:p w14:paraId="1B36C5D8">
      <w:pPr>
        <w:adjustRightInd w:val="0"/>
        <w:snapToGrid w:val="0"/>
        <w:spacing w:line="360" w:lineRule="auto"/>
        <w:outlineLvl w:val="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标的名称：</w:t>
      </w:r>
      <w:bookmarkStart w:id="10" w:name="_Hlk235439714"/>
      <w:r>
        <w:rPr>
          <w:rFonts w:hint="eastAsia" w:asciiTheme="minorEastAsia" w:hAnsiTheme="minorEastAsia" w:eastAsiaTheme="minorEastAsia" w:cstheme="minorEastAsia"/>
          <w:color w:val="000000"/>
          <w:sz w:val="24"/>
        </w:rPr>
        <w:t>标的1：定向钻施工地下电缆智能检测与风险预警研究（技术开发）</w:t>
      </w:r>
      <w:bookmarkEnd w:id="10"/>
    </w:p>
    <w:p w14:paraId="0AC90761">
      <w:pPr>
        <w:adjustRightInd w:val="0"/>
        <w:snapToGrid w:val="0"/>
        <w:spacing w:line="360" w:lineRule="auto"/>
        <w:outlineLvl w:val="0"/>
        <w:rPr>
          <w:rFonts w:hint="eastAsia" w:asciiTheme="minorEastAsia" w:hAnsiTheme="minorEastAsia" w:eastAsiaTheme="minorEastAsia" w:cstheme="minorEastAsia"/>
          <w:color w:val="000000"/>
          <w:sz w:val="24"/>
        </w:rPr>
      </w:pPr>
      <w:bookmarkStart w:id="11" w:name="_Toc22746"/>
      <w:bookmarkStart w:id="12" w:name="_Toc30787"/>
      <w:r>
        <w:rPr>
          <w:rFonts w:hint="eastAsia" w:asciiTheme="minorEastAsia" w:hAnsiTheme="minorEastAsia" w:eastAsiaTheme="minorEastAsia" w:cstheme="minorEastAsia"/>
          <w:color w:val="000000"/>
          <w:sz w:val="24"/>
        </w:rPr>
        <w:t>标包名称：</w:t>
      </w:r>
      <w:bookmarkEnd w:id="11"/>
      <w:bookmarkEnd w:id="12"/>
      <w:r>
        <w:rPr>
          <w:rFonts w:hint="eastAsia" w:asciiTheme="minorEastAsia" w:hAnsiTheme="minorEastAsia" w:eastAsiaTheme="minorEastAsia" w:cstheme="minorEastAsia"/>
          <w:color w:val="000000"/>
          <w:sz w:val="24"/>
        </w:rPr>
        <w:t>标的1：定向钻施工地下电缆智能检测与风险预警研究（技术开发）</w:t>
      </w:r>
    </w:p>
    <w:p w14:paraId="259B780A">
      <w:pPr>
        <w:spacing w:line="360" w:lineRule="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概况：该标的针对定向钻施工过程中地下电缆安全风险问题，开发适用于定向钻施工的地下高压电缆智能检测与预警技术。该技术研究需在旋转强振动工况下实现地下电缆的高精度、高可靠性实时检测，精准获取电缆空间几何参数（位置、方向），检测精度达到位置误差≤0.4m、姿态角误差≤5°,支持≥4根电缆的同时检测，实现带电电缆1-5米、停电电缆0.5-2米范围内的动态预警。</w:t>
      </w:r>
    </w:p>
    <w:p w14:paraId="4BBAB6E4">
      <w:pPr>
        <w:pStyle w:val="23"/>
        <w:spacing w:before="0" w:beforeLines="0"/>
        <w:outlineLvl w:val="0"/>
        <w:rPr>
          <w:rFonts w:hint="eastAsia" w:ascii="黑体" w:hAnsi="黑体" w:eastAsia="黑体" w:cs="黑体"/>
          <w:sz w:val="28"/>
          <w:szCs w:val="28"/>
        </w:rPr>
      </w:pPr>
      <w:bookmarkStart w:id="13" w:name="_Toc7667"/>
      <w:r>
        <w:rPr>
          <w:rFonts w:hint="eastAsia" w:ascii="黑体" w:hAnsi="黑体" w:eastAsia="黑体" w:cs="黑体"/>
          <w:sz w:val="28"/>
          <w:szCs w:val="28"/>
        </w:rPr>
        <w:t>2  研究内容及目的</w:t>
      </w:r>
      <w:bookmarkEnd w:id="13"/>
    </w:p>
    <w:p w14:paraId="32FED353">
      <w:pPr>
        <w:spacing w:line="360" w:lineRule="auto"/>
        <w:outlineLvl w:val="1"/>
        <w:rPr>
          <w:rFonts w:hint="eastAsia" w:ascii="黑体" w:hAnsi="黑体" w:eastAsia="黑体" w:cs="黑体"/>
          <w:bCs/>
          <w:sz w:val="24"/>
        </w:rPr>
      </w:pPr>
      <w:bookmarkStart w:id="14" w:name="_Toc29882"/>
      <w:r>
        <w:rPr>
          <w:rFonts w:hint="eastAsia" w:ascii="黑体" w:hAnsi="黑体" w:eastAsia="黑体" w:cs="黑体"/>
          <w:bCs/>
          <w:sz w:val="24"/>
        </w:rPr>
        <w:t>2.1 研究内容</w:t>
      </w:r>
      <w:bookmarkEnd w:id="14"/>
    </w:p>
    <w:p w14:paraId="787020CB">
      <w:pPr>
        <w:adjustRightInd w:val="0"/>
        <w:snapToGrid w:val="0"/>
        <w:spacing w:line="360" w:lineRule="auto"/>
        <w:ind w:firstLine="480" w:firstLineChars="200"/>
        <w:outlineLvl w:val="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研究内容主要包括以下方面：</w:t>
      </w:r>
    </w:p>
    <w:p w14:paraId="421FBC4F">
      <w:pPr>
        <w:numPr>
          <w:ilvl w:val="0"/>
          <w:numId w:val="3"/>
        </w:numPr>
        <w:adjustRightInd w:val="0"/>
        <w:snapToGrid w:val="0"/>
        <w:spacing w:line="360" w:lineRule="auto"/>
        <w:ind w:firstLine="480" w:firstLineChars="200"/>
        <w:outlineLvl w:val="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随钻电缆检测物理与数学模型构建，构建问题模型假设，简化电缆形态与地下空间特性,建立空间坐标系与电磁场计算模型，推导线源参数计算模型，构建传感器感应电压与电缆几何参数的关系方程；采用最小二乘法或迭代算法求解超定方程组，进行参数估计。</w:t>
      </w:r>
    </w:p>
    <w:p w14:paraId="3824207F">
      <w:pPr>
        <w:numPr>
          <w:ilvl w:val="0"/>
          <w:numId w:val="3"/>
        </w:numPr>
        <w:adjustRightInd w:val="0"/>
        <w:snapToGrid w:val="0"/>
        <w:spacing w:line="360" w:lineRule="auto"/>
        <w:ind w:firstLine="480" w:firstLineChars="200"/>
        <w:outlineLvl w:val="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核心关键技术研究与算法开发，研发多传感器融合算法、姿态解算算法、频分信号分离算法等核心算法；开发电磁场信号调理、数据滤波、实时报警等关键算法模块；进行算法仿真验证与性能优化。</w:t>
      </w:r>
    </w:p>
    <w:p w14:paraId="10C39605">
      <w:pPr>
        <w:spacing w:line="360" w:lineRule="auto"/>
        <w:outlineLvl w:val="1"/>
        <w:rPr>
          <w:rFonts w:hint="eastAsia" w:ascii="黑体" w:hAnsi="黑体" w:eastAsia="黑体" w:cs="黑体"/>
          <w:bCs/>
          <w:sz w:val="24"/>
        </w:rPr>
      </w:pPr>
      <w:bookmarkStart w:id="15" w:name="_Toc22754"/>
      <w:r>
        <w:rPr>
          <w:rFonts w:hint="eastAsia" w:ascii="黑体" w:hAnsi="黑体" w:eastAsia="黑体" w:cs="黑体"/>
          <w:bCs/>
          <w:sz w:val="24"/>
        </w:rPr>
        <w:t>2.2 研究目的</w:t>
      </w:r>
      <w:bookmarkEnd w:id="15"/>
    </w:p>
    <w:p w14:paraId="474BAAE1">
      <w:pPr>
        <w:adjustRightInd w:val="0"/>
        <w:snapToGrid w:val="0"/>
        <w:spacing w:line="360" w:lineRule="auto"/>
        <w:ind w:firstLine="480" w:firstLineChars="200"/>
        <w:outlineLvl w:val="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围绕定向钻施工地下电缆智能检测与风险预警技术开展研究，设计面向定向钻作业人员、设备、环境的电缆探测与安全管控解决方案，实现定向钻施工全程管线动态监控。</w:t>
      </w:r>
    </w:p>
    <w:p w14:paraId="000865AD">
      <w:pPr>
        <w:pStyle w:val="23"/>
        <w:spacing w:before="312"/>
        <w:outlineLvl w:val="0"/>
        <w:rPr>
          <w:rFonts w:hint="eastAsia" w:ascii="黑体" w:hAnsi="黑体" w:eastAsia="黑体" w:cs="黑体"/>
          <w:sz w:val="28"/>
          <w:szCs w:val="28"/>
        </w:rPr>
      </w:pPr>
      <w:bookmarkStart w:id="16" w:name="_Toc20003"/>
      <w:r>
        <w:rPr>
          <w:rFonts w:hint="eastAsia" w:ascii="黑体" w:hAnsi="黑体" w:eastAsia="黑体" w:cs="黑体"/>
          <w:sz w:val="28"/>
          <w:szCs w:val="28"/>
        </w:rPr>
        <w:t>3  主要技术指标要求</w:t>
      </w:r>
      <w:bookmarkEnd w:id="16"/>
    </w:p>
    <w:p w14:paraId="6D9E18F6">
      <w:pPr>
        <w:numPr>
          <w:ilvl w:val="255"/>
          <w:numId w:val="0"/>
        </w:numPr>
        <w:adjustRightInd w:val="0"/>
        <w:snapToGrid w:val="0"/>
        <w:spacing w:line="360" w:lineRule="auto"/>
        <w:ind w:firstLine="480" w:firstLineChars="200"/>
        <w:outlineLvl w:val="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形成一套适用于定向钻施工的地下高压电缆智能检测与预警技术体系，实现旋转强振动工况下地下电缆的高精度、高可靠性实时检测，可精准获取电缆空间几何参数（位置、方向），检测精度达到位置误差≤0.4m、姿态角误差≤5°，支持≥4根电缆的同时检测，实现带电电缆1-5米、停电电缆0.5-2米范围内的动态预警。</w:t>
      </w:r>
    </w:p>
    <w:p w14:paraId="77782263">
      <w:pPr>
        <w:pStyle w:val="23"/>
        <w:spacing w:before="0" w:beforeLines="0"/>
        <w:rPr>
          <w:rFonts w:hint="eastAsia" w:asciiTheme="minorEastAsia" w:hAnsiTheme="minorEastAsia" w:eastAsiaTheme="minorEastAsia" w:cstheme="minorEastAsia"/>
          <w:color w:val="000000"/>
        </w:rPr>
      </w:pPr>
      <w:bookmarkStart w:id="38" w:name="_GoBack"/>
      <w:bookmarkEnd w:id="38"/>
      <w:r>
        <w:rPr>
          <w:rFonts w:hint="eastAsia" w:ascii="黑体" w:hAnsi="黑体" w:eastAsia="黑体" w:cs="黑体"/>
          <w:sz w:val="28"/>
          <w:szCs w:val="28"/>
        </w:rPr>
        <w:t>4  时间进度要求</w:t>
      </w:r>
    </w:p>
    <w:tbl>
      <w:tblPr>
        <w:tblStyle w:val="13"/>
        <w:tblW w:w="839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629"/>
      </w:tblGrid>
      <w:tr w14:paraId="7AD65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91" w:type="dxa"/>
            <w:gridSpan w:val="2"/>
            <w:tcBorders>
              <w:tl2br w:val="nil"/>
              <w:tr2bl w:val="nil"/>
            </w:tcBorders>
            <w:vAlign w:val="center"/>
          </w:tcPr>
          <w:p w14:paraId="4493B737">
            <w:pPr>
              <w:spacing w:line="360" w:lineRule="auto"/>
              <w:jc w:val="center"/>
              <w:outlineLvl w:val="0"/>
              <w:rPr>
                <w:rFonts w:hint="eastAsia" w:ascii="宋体" w:hAnsi="宋体"/>
                <w:b/>
                <w:color w:val="000000"/>
                <w:szCs w:val="21"/>
              </w:rPr>
            </w:pPr>
            <w:r>
              <w:rPr>
                <w:rFonts w:hint="eastAsia" w:ascii="宋体" w:hAnsi="宋体"/>
                <w:b/>
                <w:color w:val="000000"/>
                <w:szCs w:val="21"/>
              </w:rPr>
              <w:t>进度计划</w:t>
            </w:r>
          </w:p>
        </w:tc>
      </w:tr>
      <w:tr w14:paraId="135C4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7122F437">
            <w:pPr>
              <w:adjustRightInd w:val="0"/>
              <w:snapToGrid w:val="0"/>
              <w:jc w:val="center"/>
              <w:textAlignment w:val="center"/>
              <w:rPr>
                <w:rFonts w:hint="default" w:ascii="Times New Roman" w:hAnsi="Times New Roman"/>
                <w:b/>
                <w:color w:val="000000"/>
                <w:szCs w:val="21"/>
              </w:rPr>
            </w:pPr>
            <w:r>
              <w:rPr>
                <w:rFonts w:hint="default" w:ascii="Times New Roman" w:hAnsi="Times New Roman"/>
                <w:b/>
                <w:color w:val="000000"/>
                <w:szCs w:val="21"/>
              </w:rPr>
              <w:t>4</w:t>
            </w:r>
            <w:r>
              <w:rPr>
                <w:rFonts w:ascii="Times New Roman" w:hAnsi="Times New Roman"/>
                <w:b/>
                <w:color w:val="000000"/>
                <w:szCs w:val="21"/>
              </w:rPr>
              <w:t>.1</w:t>
            </w:r>
          </w:p>
        </w:tc>
        <w:tc>
          <w:tcPr>
            <w:tcW w:w="7629" w:type="dxa"/>
            <w:tcBorders>
              <w:tl2br w:val="nil"/>
              <w:tr2bl w:val="nil"/>
            </w:tcBorders>
            <w:vAlign w:val="center"/>
          </w:tcPr>
          <w:p w14:paraId="3E062F62">
            <w:pPr>
              <w:adjustRightInd w:val="0"/>
              <w:snapToGrid w:val="0"/>
              <w:textAlignment w:val="center"/>
              <w:rPr>
                <w:rFonts w:hint="default" w:ascii="Times New Roman" w:hAnsi="Times New Roman"/>
                <w:b/>
                <w:color w:val="000000"/>
                <w:szCs w:val="21"/>
              </w:rPr>
            </w:pPr>
            <w:bookmarkStart w:id="17" w:name="OLE_LINK2"/>
            <w:r>
              <w:rPr>
                <w:rFonts w:hint="default" w:ascii="Times New Roman" w:hAnsi="Times New Roman"/>
                <w:b/>
                <w:color w:val="000000"/>
                <w:szCs w:val="21"/>
              </w:rPr>
              <w:t>[自合同签订日起 --</w:t>
            </w:r>
            <w:r>
              <w:rPr>
                <w:rFonts w:ascii="Times New Roman" w:hAnsi="Times New Roman"/>
                <w:b/>
                <w:color w:val="000000"/>
                <w:szCs w:val="21"/>
              </w:rPr>
              <w:t xml:space="preserve"> </w:t>
            </w:r>
            <w:r>
              <w:rPr>
                <w:rFonts w:hint="default" w:ascii="Times New Roman" w:hAnsi="Times New Roman"/>
                <w:b/>
                <w:color w:val="000000"/>
                <w:szCs w:val="21"/>
              </w:rPr>
              <w:t>2027年5月31日]</w:t>
            </w:r>
          </w:p>
          <w:bookmarkEnd w:id="17"/>
          <w:p w14:paraId="5A86F38B">
            <w:pPr>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主要内容：</w:t>
            </w:r>
          </w:p>
          <w:p w14:paraId="58D3225E">
            <w:pPr>
              <w:spacing w:after="80"/>
              <w:ind w:firstLine="480"/>
              <w:jc w:val="left"/>
              <w:rPr>
                <w:rFonts w:hint="default" w:ascii="Times New Roman" w:hAnsi="Times New Roman"/>
                <w:color w:val="000000"/>
                <w:szCs w:val="21"/>
              </w:rPr>
            </w:pPr>
            <w:r>
              <w:rPr>
                <w:rFonts w:hint="default" w:ascii="Times New Roman" w:hAnsi="Times New Roman"/>
                <w:color w:val="000000"/>
                <w:szCs w:val="21"/>
              </w:rPr>
              <w:t>建立随钻电缆检测的物理与数学模型，明确均匀空间中电磁场传播规律、传感器与电缆的空间关系、磁场强度与感应电压的计算逻辑，以及电缆空间几何参数的估计方法。</w:t>
            </w:r>
          </w:p>
          <w:p w14:paraId="1A61AE1C">
            <w:pPr>
              <w:tabs>
                <w:tab w:val="left" w:pos="537"/>
                <w:tab w:val="left" w:pos="763"/>
              </w:tabs>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交付物：</w:t>
            </w:r>
          </w:p>
          <w:p w14:paraId="30613101">
            <w:pPr>
              <w:numPr>
                <w:ilvl w:val="0"/>
                <w:numId w:val="4"/>
              </w:numPr>
              <w:tabs>
                <w:tab w:val="left" w:pos="537"/>
                <w:tab w:val="left" w:pos="763"/>
              </w:tabs>
              <w:adjustRightInd w:val="0"/>
              <w:snapToGrid w:val="0"/>
              <w:jc w:val="left"/>
              <w:textAlignment w:val="center"/>
              <w:rPr>
                <w:rFonts w:hint="default" w:ascii="Times New Roman" w:hAnsi="Times New Roman"/>
                <w:bCs/>
                <w:color w:val="000000"/>
                <w:szCs w:val="21"/>
              </w:rPr>
            </w:pPr>
            <w:r>
              <w:rPr>
                <w:rFonts w:hint="default" w:ascii="Times New Roman" w:hAnsi="Times New Roman"/>
                <w:color w:val="000000"/>
                <w:szCs w:val="21"/>
              </w:rPr>
              <w:t>模型设计报告；</w:t>
            </w:r>
          </w:p>
          <w:p w14:paraId="77B2BE90">
            <w:pPr>
              <w:numPr>
                <w:ilvl w:val="0"/>
                <w:numId w:val="4"/>
              </w:numPr>
              <w:tabs>
                <w:tab w:val="left" w:pos="537"/>
                <w:tab w:val="left" w:pos="763"/>
              </w:tabs>
              <w:adjustRightInd w:val="0"/>
              <w:snapToGrid w:val="0"/>
              <w:ind w:left="0" w:firstLine="0"/>
              <w:jc w:val="left"/>
              <w:textAlignment w:val="center"/>
              <w:rPr>
                <w:rFonts w:hint="default" w:ascii="Times New Roman" w:hAnsi="Times New Roman"/>
                <w:bCs/>
                <w:color w:val="000000"/>
                <w:szCs w:val="21"/>
              </w:rPr>
            </w:pPr>
            <w:r>
              <w:rPr>
                <w:rFonts w:hint="eastAsia"/>
              </w:rPr>
              <w:t>乙方根据甲方需求，协助提供1件项目相关发明专利选题、文献检索、论证方法、数据分析、文本修改的指导服务，直至发明专利受理。</w:t>
            </w:r>
          </w:p>
        </w:tc>
      </w:tr>
      <w:tr w14:paraId="44F140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9" w:hRule="atLeast"/>
        </w:trPr>
        <w:tc>
          <w:tcPr>
            <w:tcW w:w="762" w:type="dxa"/>
            <w:tcBorders>
              <w:tl2br w:val="nil"/>
              <w:tr2bl w:val="nil"/>
            </w:tcBorders>
            <w:vAlign w:val="center"/>
          </w:tcPr>
          <w:p w14:paraId="3891E083">
            <w:pPr>
              <w:widowControl/>
              <w:jc w:val="center"/>
              <w:rPr>
                <w:rFonts w:hint="default" w:ascii="Times New Roman" w:hAnsi="Times New Roman"/>
                <w:b/>
                <w:color w:val="000000"/>
                <w:szCs w:val="21"/>
              </w:rPr>
            </w:pPr>
            <w:r>
              <w:rPr>
                <w:rFonts w:hint="default" w:ascii="Times New Roman" w:hAnsi="Times New Roman"/>
                <w:b/>
                <w:color w:val="000000"/>
                <w:szCs w:val="21"/>
              </w:rPr>
              <w:t>4</w:t>
            </w:r>
            <w:r>
              <w:rPr>
                <w:rFonts w:ascii="Times New Roman" w:hAnsi="Times New Roman"/>
                <w:b/>
                <w:color w:val="000000"/>
                <w:szCs w:val="21"/>
              </w:rPr>
              <w:t>.2</w:t>
            </w:r>
          </w:p>
        </w:tc>
        <w:tc>
          <w:tcPr>
            <w:tcW w:w="7629" w:type="dxa"/>
            <w:tcBorders>
              <w:tl2br w:val="nil"/>
              <w:tr2bl w:val="nil"/>
            </w:tcBorders>
            <w:vAlign w:val="center"/>
          </w:tcPr>
          <w:p w14:paraId="7EEBEAC6">
            <w:pPr>
              <w:adjustRightInd w:val="0"/>
              <w:snapToGrid w:val="0"/>
              <w:textAlignment w:val="center"/>
              <w:rPr>
                <w:rFonts w:hint="default" w:ascii="Times New Roman" w:hAnsi="Times New Roman"/>
                <w:b/>
                <w:color w:val="000000"/>
                <w:szCs w:val="21"/>
              </w:rPr>
            </w:pPr>
            <w:bookmarkStart w:id="18" w:name="OLE_LINK4"/>
            <w:r>
              <w:rPr>
                <w:rFonts w:hint="default" w:ascii="Times New Roman" w:hAnsi="Times New Roman"/>
                <w:b/>
                <w:color w:val="000000"/>
                <w:szCs w:val="21"/>
              </w:rPr>
              <w:t>[2027年3月1日 - 2027年11月30日]</w:t>
            </w:r>
          </w:p>
          <w:p w14:paraId="698D9473">
            <w:pPr>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主要内容：</w:t>
            </w:r>
          </w:p>
          <w:bookmarkEnd w:id="18"/>
          <w:p w14:paraId="375805E5">
            <w:pPr>
              <w:tabs>
                <w:tab w:val="left" w:pos="537"/>
                <w:tab w:val="left" w:pos="763"/>
              </w:tabs>
              <w:adjustRightInd w:val="0"/>
              <w:snapToGrid w:val="0"/>
              <w:ind w:firstLine="420" w:firstLineChars="200"/>
              <w:jc w:val="left"/>
              <w:textAlignment w:val="center"/>
              <w:rPr>
                <w:rFonts w:hint="default" w:ascii="Times New Roman" w:hAnsi="Times New Roman"/>
                <w:color w:val="000000"/>
                <w:szCs w:val="21"/>
              </w:rPr>
            </w:pPr>
            <w:r>
              <w:rPr>
                <w:rFonts w:hint="default" w:ascii="Times New Roman" w:hAnsi="Times New Roman"/>
                <w:color w:val="000000"/>
                <w:szCs w:val="21"/>
              </w:rPr>
              <w:t>开展传感器姿态融合、坐标系转换、噪声过滤、电缆模型识别、参数稳健估计、多电缆信号分离等算法开发，包括旋转强振动环境传感器姿态测量技术、坐标系统转换技术、环境噪声过滤技术、电缆参数稳健估计技术、多电缆频分检测技术，形成完整的核心算法体系</w:t>
            </w:r>
            <w:bookmarkStart w:id="19" w:name="OLE_LINK5"/>
            <w:r>
              <w:rPr>
                <w:rFonts w:hint="default" w:ascii="Times New Roman" w:hAnsi="Times New Roman"/>
                <w:color w:val="000000"/>
                <w:szCs w:val="21"/>
              </w:rPr>
              <w:t>。</w:t>
            </w:r>
          </w:p>
          <w:p w14:paraId="268C4E0C">
            <w:pPr>
              <w:tabs>
                <w:tab w:val="left" w:pos="537"/>
                <w:tab w:val="left" w:pos="763"/>
              </w:tabs>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交付物：</w:t>
            </w:r>
          </w:p>
          <w:p w14:paraId="08ACF076">
            <w:pPr>
              <w:numPr>
                <w:ilvl w:val="0"/>
                <w:numId w:val="5"/>
              </w:numPr>
              <w:tabs>
                <w:tab w:val="left" w:pos="537"/>
                <w:tab w:val="left" w:pos="763"/>
              </w:tabs>
              <w:adjustRightInd w:val="0"/>
              <w:snapToGrid w:val="0"/>
              <w:jc w:val="left"/>
              <w:textAlignment w:val="center"/>
            </w:pPr>
            <w:r>
              <w:rPr>
                <w:rFonts w:hint="eastAsia"/>
              </w:rPr>
              <w:t>算法程序与测试报告；</w:t>
            </w:r>
          </w:p>
          <w:p w14:paraId="50AC46CD">
            <w:pPr>
              <w:numPr>
                <w:ilvl w:val="0"/>
                <w:numId w:val="5"/>
              </w:numPr>
              <w:tabs>
                <w:tab w:val="left" w:pos="537"/>
                <w:tab w:val="left" w:pos="763"/>
              </w:tabs>
              <w:adjustRightInd w:val="0"/>
              <w:snapToGrid w:val="0"/>
              <w:jc w:val="left"/>
              <w:textAlignment w:val="center"/>
            </w:pPr>
            <w:bookmarkStart w:id="20" w:name="OLE_LINK1"/>
            <w:r>
              <w:t>乙方根据甲方需求，协助提供</w:t>
            </w:r>
            <w:r>
              <w:rPr>
                <w:rFonts w:hint="eastAsia"/>
              </w:rPr>
              <w:t>1</w:t>
            </w:r>
            <w:r>
              <w:t>篇项目相关论文的论证方法、数据分析、文本修改的指导服务，直至论文录用或发表</w:t>
            </w:r>
            <w:r>
              <w:rPr>
                <w:rFonts w:hint="eastAsia"/>
              </w:rPr>
              <w:t>；</w:t>
            </w:r>
          </w:p>
          <w:p w14:paraId="79A6E8CF">
            <w:pPr>
              <w:numPr>
                <w:ilvl w:val="0"/>
                <w:numId w:val="5"/>
              </w:numPr>
              <w:tabs>
                <w:tab w:val="left" w:pos="537"/>
                <w:tab w:val="left" w:pos="763"/>
              </w:tabs>
              <w:adjustRightInd w:val="0"/>
              <w:snapToGrid w:val="0"/>
              <w:jc w:val="left"/>
              <w:textAlignment w:val="center"/>
              <w:rPr>
                <w:rFonts w:hint="default" w:ascii="Times New Roman" w:hAnsi="Times New Roman"/>
                <w:bCs/>
                <w:color w:val="000000"/>
                <w:szCs w:val="21"/>
              </w:rPr>
            </w:pPr>
            <w:bookmarkStart w:id="21" w:name="OLE_LINK3"/>
            <w:r>
              <w:rPr>
                <w:rFonts w:hint="default" w:ascii="Times New Roman" w:hAnsi="Times New Roman"/>
                <w:color w:val="000000"/>
                <w:szCs w:val="21"/>
              </w:rPr>
              <w:t>乙方根据甲方需求，协助提供1件项目相关发明专利选题、文献检索、论证方法、数据分析、文本修改的指导服务，直至发明专利受理。</w:t>
            </w:r>
            <w:bookmarkEnd w:id="19"/>
            <w:bookmarkEnd w:id="20"/>
            <w:bookmarkEnd w:id="21"/>
          </w:p>
        </w:tc>
      </w:tr>
      <w:tr w14:paraId="2E65FC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762" w:type="dxa"/>
            <w:tcBorders>
              <w:tl2br w:val="nil"/>
              <w:tr2bl w:val="nil"/>
            </w:tcBorders>
            <w:vAlign w:val="center"/>
          </w:tcPr>
          <w:p w14:paraId="03D5F27F">
            <w:pPr>
              <w:widowControl/>
              <w:jc w:val="center"/>
              <w:rPr>
                <w:rFonts w:hint="default" w:ascii="Times New Roman" w:hAnsi="Times New Roman"/>
                <w:b/>
                <w:color w:val="000000"/>
                <w:szCs w:val="21"/>
              </w:rPr>
            </w:pPr>
            <w:r>
              <w:rPr>
                <w:rFonts w:hint="default" w:ascii="Times New Roman" w:hAnsi="Times New Roman"/>
                <w:b/>
                <w:color w:val="000000"/>
                <w:szCs w:val="21"/>
              </w:rPr>
              <w:t>4.3</w:t>
            </w:r>
          </w:p>
        </w:tc>
        <w:tc>
          <w:tcPr>
            <w:tcW w:w="7629" w:type="dxa"/>
            <w:tcBorders>
              <w:tl2br w:val="nil"/>
              <w:tr2bl w:val="nil"/>
            </w:tcBorders>
            <w:vAlign w:val="center"/>
          </w:tcPr>
          <w:p w14:paraId="5606A17A">
            <w:pPr>
              <w:adjustRightInd w:val="0"/>
              <w:snapToGrid w:val="0"/>
              <w:textAlignment w:val="center"/>
              <w:rPr>
                <w:rFonts w:hint="default" w:ascii="Times New Roman" w:hAnsi="Times New Roman"/>
                <w:b/>
                <w:color w:val="000000"/>
                <w:szCs w:val="21"/>
              </w:rPr>
            </w:pPr>
            <w:r>
              <w:rPr>
                <w:rFonts w:hint="default" w:ascii="Times New Roman" w:hAnsi="Times New Roman"/>
                <w:b/>
                <w:color w:val="000000"/>
                <w:szCs w:val="21"/>
              </w:rPr>
              <w:t>[2027年7月1日 - 2027年7月30日]</w:t>
            </w:r>
          </w:p>
          <w:p w14:paraId="576DAFF1">
            <w:pPr>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主要内容：</w:t>
            </w:r>
          </w:p>
          <w:p w14:paraId="26039C99">
            <w:pPr>
              <w:tabs>
                <w:tab w:val="left" w:pos="537"/>
                <w:tab w:val="left" w:pos="763"/>
              </w:tabs>
              <w:adjustRightInd w:val="0"/>
              <w:snapToGrid w:val="0"/>
              <w:ind w:firstLine="420" w:firstLineChars="200"/>
              <w:jc w:val="left"/>
              <w:textAlignment w:val="center"/>
              <w:rPr>
                <w:rFonts w:hint="default" w:ascii="Times New Roman" w:hAnsi="Times New Roman"/>
                <w:szCs w:val="21"/>
              </w:rPr>
            </w:pPr>
            <w:r>
              <w:rPr>
                <w:rFonts w:hint="default" w:ascii="Times New Roman" w:hAnsi="Times New Roman"/>
                <w:szCs w:val="21"/>
              </w:rPr>
              <w:t>配合甲方完成项目中期检查。</w:t>
            </w:r>
          </w:p>
          <w:p w14:paraId="739B7092">
            <w:pPr>
              <w:tabs>
                <w:tab w:val="left" w:pos="537"/>
                <w:tab w:val="left" w:pos="763"/>
              </w:tabs>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交付物：</w:t>
            </w:r>
          </w:p>
          <w:p w14:paraId="41C49A73">
            <w:pPr>
              <w:adjustRightInd w:val="0"/>
              <w:snapToGrid w:val="0"/>
              <w:textAlignment w:val="center"/>
              <w:rPr>
                <w:rFonts w:hint="default" w:ascii="Times New Roman" w:hAnsi="Times New Roman"/>
                <w:b/>
                <w:color w:val="000000"/>
                <w:szCs w:val="21"/>
              </w:rPr>
            </w:pPr>
            <w:r>
              <w:rPr>
                <w:rFonts w:hint="default" w:ascii="Times New Roman" w:hAnsi="Times New Roman"/>
                <w:szCs w:val="21"/>
              </w:rPr>
              <w:t xml:space="preserve">(1) </w:t>
            </w:r>
            <w:r>
              <w:rPr>
                <w:rFonts w:hint="default" w:ascii="Times New Roman" w:hAnsi="Times New Roman"/>
                <w:color w:val="000000"/>
                <w:szCs w:val="21"/>
              </w:rPr>
              <w:t>协助甲方完成</w:t>
            </w:r>
            <w:r>
              <w:rPr>
                <w:rFonts w:hint="default" w:ascii="Times New Roman" w:hAnsi="Times New Roman"/>
                <w:color w:val="000000"/>
              </w:rPr>
              <w:t>中期检查。</w:t>
            </w:r>
          </w:p>
        </w:tc>
      </w:tr>
      <w:tr w14:paraId="29686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762" w:type="dxa"/>
            <w:tcBorders>
              <w:tl2br w:val="nil"/>
              <w:tr2bl w:val="nil"/>
            </w:tcBorders>
            <w:vAlign w:val="center"/>
          </w:tcPr>
          <w:p w14:paraId="13787438">
            <w:pPr>
              <w:adjustRightInd w:val="0"/>
              <w:snapToGrid w:val="0"/>
              <w:jc w:val="center"/>
              <w:textAlignment w:val="center"/>
              <w:rPr>
                <w:rFonts w:hint="default" w:ascii="Times New Roman" w:hAnsi="Times New Roman"/>
                <w:b/>
                <w:color w:val="000000"/>
                <w:szCs w:val="21"/>
              </w:rPr>
            </w:pPr>
            <w:r>
              <w:rPr>
                <w:rFonts w:hint="default" w:ascii="Times New Roman" w:hAnsi="Times New Roman"/>
                <w:b/>
                <w:color w:val="000000"/>
                <w:szCs w:val="21"/>
              </w:rPr>
              <w:t>4</w:t>
            </w:r>
            <w:r>
              <w:rPr>
                <w:rFonts w:ascii="Times New Roman" w:hAnsi="Times New Roman"/>
                <w:b/>
                <w:color w:val="000000"/>
                <w:szCs w:val="21"/>
              </w:rPr>
              <w:t>.</w:t>
            </w:r>
            <w:r>
              <w:rPr>
                <w:rFonts w:hint="default" w:ascii="Times New Roman" w:hAnsi="Times New Roman"/>
                <w:b/>
                <w:color w:val="000000"/>
                <w:szCs w:val="21"/>
              </w:rPr>
              <w:t>4</w:t>
            </w:r>
          </w:p>
        </w:tc>
        <w:tc>
          <w:tcPr>
            <w:tcW w:w="7629" w:type="dxa"/>
            <w:tcBorders>
              <w:tl2br w:val="nil"/>
              <w:tr2bl w:val="nil"/>
            </w:tcBorders>
            <w:vAlign w:val="center"/>
          </w:tcPr>
          <w:p w14:paraId="487A65DF">
            <w:pPr>
              <w:adjustRightInd w:val="0"/>
              <w:snapToGrid w:val="0"/>
              <w:textAlignment w:val="center"/>
              <w:rPr>
                <w:rFonts w:hint="default" w:ascii="Times New Roman" w:hAnsi="Times New Roman"/>
                <w:b/>
                <w:color w:val="000000"/>
                <w:szCs w:val="21"/>
              </w:rPr>
            </w:pPr>
            <w:r>
              <w:rPr>
                <w:rFonts w:hint="default" w:ascii="Times New Roman" w:hAnsi="Times New Roman"/>
                <w:b/>
                <w:color w:val="000000"/>
                <w:szCs w:val="21"/>
              </w:rPr>
              <w:t>[2028年4月1日 - 2028年6月30日]</w:t>
            </w:r>
          </w:p>
          <w:p w14:paraId="41B5FF24">
            <w:pPr>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主要内容：</w:t>
            </w:r>
          </w:p>
          <w:p w14:paraId="7D7C1492">
            <w:pPr>
              <w:tabs>
                <w:tab w:val="left" w:pos="537"/>
                <w:tab w:val="left" w:pos="763"/>
              </w:tabs>
              <w:adjustRightInd w:val="0"/>
              <w:snapToGrid w:val="0"/>
              <w:ind w:firstLine="420" w:firstLineChars="200"/>
              <w:jc w:val="left"/>
              <w:textAlignment w:val="center"/>
              <w:rPr>
                <w:rFonts w:hint="default" w:ascii="Times New Roman" w:hAnsi="Times New Roman"/>
                <w:szCs w:val="21"/>
              </w:rPr>
            </w:pPr>
            <w:r>
              <w:rPr>
                <w:rFonts w:hint="default" w:ascii="Times New Roman" w:hAnsi="Times New Roman"/>
                <w:szCs w:val="21"/>
              </w:rPr>
              <w:t>协助甲方完成项目整体验收、完成技术鉴定、开展成果转化等。</w:t>
            </w:r>
          </w:p>
          <w:p w14:paraId="2650CDAA">
            <w:pPr>
              <w:tabs>
                <w:tab w:val="left" w:pos="537"/>
                <w:tab w:val="left" w:pos="763"/>
              </w:tabs>
              <w:adjustRightInd w:val="0"/>
              <w:snapToGrid w:val="0"/>
              <w:jc w:val="left"/>
              <w:textAlignment w:val="center"/>
              <w:rPr>
                <w:rFonts w:hint="default" w:ascii="Times New Roman" w:hAnsi="Times New Roman"/>
                <w:b/>
                <w:color w:val="000000"/>
                <w:szCs w:val="21"/>
              </w:rPr>
            </w:pPr>
            <w:r>
              <w:rPr>
                <w:rFonts w:hint="default" w:ascii="Times New Roman" w:hAnsi="Times New Roman"/>
                <w:b/>
                <w:color w:val="000000"/>
                <w:szCs w:val="21"/>
              </w:rPr>
              <w:t>交付物：</w:t>
            </w:r>
          </w:p>
          <w:p w14:paraId="00906720">
            <w:pPr>
              <w:numPr>
                <w:ilvl w:val="0"/>
                <w:numId w:val="6"/>
              </w:numPr>
              <w:tabs>
                <w:tab w:val="left" w:pos="537"/>
                <w:tab w:val="left" w:pos="763"/>
              </w:tabs>
              <w:adjustRightInd w:val="0"/>
              <w:snapToGrid w:val="0"/>
              <w:jc w:val="left"/>
              <w:textAlignment w:val="center"/>
              <w:rPr>
                <w:rFonts w:hint="default" w:ascii="Times New Roman" w:hAnsi="Times New Roman"/>
                <w:color w:val="000000"/>
                <w:szCs w:val="21"/>
              </w:rPr>
            </w:pPr>
            <w:r>
              <w:rPr>
                <w:rFonts w:hint="default" w:ascii="Times New Roman" w:hAnsi="Times New Roman"/>
                <w:color w:val="000000"/>
                <w:szCs w:val="21"/>
              </w:rPr>
              <w:t>随钻电缆检测技术研究报告；</w:t>
            </w:r>
          </w:p>
          <w:p w14:paraId="7A3ECBD3">
            <w:pPr>
              <w:numPr>
                <w:ilvl w:val="0"/>
                <w:numId w:val="6"/>
              </w:numPr>
              <w:tabs>
                <w:tab w:val="left" w:pos="537"/>
                <w:tab w:val="left" w:pos="763"/>
              </w:tabs>
              <w:adjustRightInd w:val="0"/>
              <w:snapToGrid w:val="0"/>
              <w:jc w:val="left"/>
              <w:textAlignment w:val="center"/>
            </w:pPr>
            <w:r>
              <w:rPr>
                <w:rFonts w:hint="default" w:ascii="Times New Roman" w:hAnsi="Times New Roman"/>
                <w:color w:val="000000"/>
                <w:szCs w:val="21"/>
              </w:rPr>
              <w:t>通过项目验收评审。</w:t>
            </w:r>
          </w:p>
        </w:tc>
      </w:tr>
    </w:tbl>
    <w:p w14:paraId="5FA37BEE">
      <w:pPr>
        <w:pStyle w:val="23"/>
        <w:spacing w:before="312"/>
        <w:outlineLvl w:val="0"/>
        <w:rPr>
          <w:rFonts w:hint="eastAsia" w:ascii="黑体" w:hAnsi="黑体" w:eastAsia="黑体" w:cs="黑体"/>
          <w:sz w:val="28"/>
          <w:szCs w:val="28"/>
        </w:rPr>
      </w:pPr>
      <w:bookmarkStart w:id="22" w:name="_Toc21501"/>
      <w:r>
        <w:rPr>
          <w:rFonts w:hint="eastAsia" w:ascii="黑体" w:hAnsi="黑体" w:eastAsia="黑体" w:cs="黑体"/>
          <w:sz w:val="28"/>
          <w:szCs w:val="28"/>
        </w:rPr>
        <w:t>5  成果交付与验收</w:t>
      </w:r>
      <w:bookmarkEnd w:id="22"/>
    </w:p>
    <w:p w14:paraId="30830210">
      <w:pPr>
        <w:spacing w:line="360" w:lineRule="auto"/>
        <w:outlineLvl w:val="1"/>
        <w:rPr>
          <w:rFonts w:hint="eastAsia" w:ascii="黑体" w:hAnsi="黑体" w:eastAsia="黑体" w:cs="黑体"/>
          <w:bCs/>
          <w:sz w:val="24"/>
        </w:rPr>
      </w:pPr>
      <w:bookmarkStart w:id="23" w:name="_Toc5704"/>
      <w:r>
        <w:rPr>
          <w:rFonts w:hint="eastAsia" w:ascii="黑体" w:hAnsi="黑体" w:eastAsia="黑体" w:cs="黑体"/>
          <w:bCs/>
          <w:sz w:val="24"/>
        </w:rPr>
        <w:t>5.1 成果形式及数量要求</w:t>
      </w:r>
      <w:bookmarkEnd w:id="23"/>
    </w:p>
    <w:p w14:paraId="580876C5">
      <w:pPr>
        <w:spacing w:line="360" w:lineRule="auto"/>
        <w:ind w:firstLine="480" w:firstLineChars="200"/>
        <w:outlineLvl w:val="1"/>
        <w:rPr>
          <w:rFonts w:hint="eastAsia" w:ascii="宋体" w:hAnsi="宋体" w:cs="宋体"/>
          <w:color w:val="000000"/>
          <w:sz w:val="24"/>
        </w:rPr>
      </w:pPr>
      <w:bookmarkStart w:id="24" w:name="_Hlk25764254"/>
      <w:r>
        <w:rPr>
          <w:rFonts w:hint="eastAsia" w:ascii="宋体" w:hAnsi="宋体" w:cs="宋体"/>
          <w:color w:val="000000"/>
          <w:sz w:val="24"/>
        </w:rPr>
        <w:t>（1）定向钻施工地下电缆智能检测与风险预警技术研究报告1份；</w:t>
      </w:r>
    </w:p>
    <w:p w14:paraId="7B81A6CF">
      <w:pPr>
        <w:spacing w:line="360" w:lineRule="auto"/>
        <w:ind w:firstLine="480" w:firstLineChars="200"/>
        <w:outlineLvl w:val="1"/>
        <w:rPr>
          <w:rFonts w:hint="eastAsia" w:ascii="宋体" w:hAnsi="宋体" w:cs="宋体"/>
          <w:color w:val="000000"/>
          <w:sz w:val="24"/>
        </w:rPr>
      </w:pPr>
      <w:r>
        <w:rPr>
          <w:rFonts w:hint="eastAsia" w:ascii="宋体" w:hAnsi="宋体" w:cs="宋体"/>
          <w:color w:val="000000"/>
          <w:sz w:val="24"/>
        </w:rPr>
        <w:t>（2）</w:t>
      </w:r>
      <w:r>
        <w:rPr>
          <w:rFonts w:ascii="宋体" w:hAnsi="宋体" w:cs="宋体"/>
          <w:color w:val="000000"/>
          <w:sz w:val="24"/>
        </w:rPr>
        <w:t>乙方根据甲方需求，协助提供</w:t>
      </w:r>
      <w:r>
        <w:rPr>
          <w:rFonts w:hint="eastAsia" w:ascii="宋体" w:hAnsi="宋体" w:cs="宋体"/>
          <w:color w:val="000000"/>
          <w:sz w:val="24"/>
        </w:rPr>
        <w:t>1</w:t>
      </w:r>
      <w:r>
        <w:rPr>
          <w:rFonts w:ascii="宋体" w:hAnsi="宋体" w:cs="宋体"/>
          <w:color w:val="000000"/>
          <w:sz w:val="24"/>
        </w:rPr>
        <w:t>篇项目相关论文的论证方法、数据分析、文本修改的指导服务，直至论文录用或发表。</w:t>
      </w:r>
    </w:p>
    <w:p w14:paraId="78D44FBA">
      <w:pPr>
        <w:spacing w:line="360" w:lineRule="auto"/>
        <w:ind w:firstLine="480" w:firstLineChars="200"/>
        <w:outlineLvl w:val="1"/>
        <w:rPr>
          <w:rFonts w:hint="eastAsia" w:ascii="宋体" w:hAnsi="宋体" w:cs="宋体"/>
          <w:color w:val="000000"/>
          <w:sz w:val="24"/>
        </w:rPr>
      </w:pPr>
      <w:r>
        <w:rPr>
          <w:rFonts w:hint="eastAsia" w:ascii="宋体" w:hAnsi="宋体" w:cs="宋体"/>
          <w:color w:val="000000"/>
          <w:sz w:val="24"/>
        </w:rPr>
        <w:t>（3）乙方根据甲方需求，协助提供2件项目相关发明专利选题、文献检索、论证方法、数据分析、文本修改的指导服务，直至发明专利受理。</w:t>
      </w:r>
    </w:p>
    <w:p w14:paraId="385F58FE">
      <w:pPr>
        <w:spacing w:line="360" w:lineRule="auto"/>
        <w:ind w:firstLine="480" w:firstLineChars="200"/>
        <w:outlineLvl w:val="1"/>
        <w:rPr>
          <w:rFonts w:hint="eastAsia" w:ascii="宋体" w:hAnsi="宋体" w:eastAsia="宋体" w:cs="宋体"/>
          <w:color w:val="000000"/>
          <w:sz w:val="24"/>
          <w:lang w:eastAsia="zh-CN"/>
        </w:rPr>
      </w:pPr>
      <w:r>
        <w:rPr>
          <w:rFonts w:hint="eastAsia" w:ascii="宋体" w:hAnsi="宋体" w:cs="宋体"/>
          <w:color w:val="000000"/>
          <w:sz w:val="24"/>
          <w:lang w:eastAsia="zh-CN"/>
        </w:rPr>
        <w:t>（</w:t>
      </w:r>
      <w:r>
        <w:rPr>
          <w:rFonts w:hint="eastAsia" w:ascii="宋体" w:hAnsi="宋体" w:cs="宋体"/>
          <w:color w:val="000000"/>
          <w:sz w:val="24"/>
          <w:lang w:val="en-US" w:eastAsia="zh-CN"/>
        </w:rPr>
        <w:t>4</w:t>
      </w:r>
      <w:r>
        <w:rPr>
          <w:rFonts w:hint="eastAsia" w:ascii="宋体" w:hAnsi="宋体" w:cs="宋体"/>
          <w:color w:val="000000"/>
          <w:sz w:val="24"/>
          <w:lang w:eastAsia="zh-CN"/>
        </w:rPr>
        <w:t>）</w:t>
      </w:r>
      <w:r>
        <w:rPr>
          <w:rFonts w:hint="eastAsia" w:ascii="宋体" w:hAnsi="宋体" w:cs="宋体"/>
          <w:color w:val="000000"/>
          <w:sz w:val="24"/>
          <w:szCs w:val="24"/>
        </w:rPr>
        <w:t>模型设计报告</w:t>
      </w:r>
      <w:r>
        <w:rPr>
          <w:rFonts w:hint="eastAsia" w:ascii="宋体" w:hAnsi="宋体" w:cs="宋体"/>
          <w:color w:val="000000"/>
          <w:sz w:val="24"/>
          <w:szCs w:val="24"/>
          <w:lang w:eastAsia="zh-CN"/>
        </w:rPr>
        <w:t>、</w:t>
      </w:r>
      <w:r>
        <w:rPr>
          <w:rFonts w:hint="eastAsia" w:ascii="宋体" w:hAnsi="宋体" w:cs="宋体"/>
          <w:color w:val="000000"/>
          <w:sz w:val="24"/>
        </w:rPr>
        <w:t>算法程序与测试报告</w:t>
      </w:r>
      <w:r>
        <w:rPr>
          <w:rFonts w:hint="eastAsia" w:ascii="宋体" w:hAnsi="宋体" w:cs="宋体"/>
          <w:color w:val="000000"/>
          <w:sz w:val="24"/>
          <w:lang w:eastAsia="zh-CN"/>
        </w:rPr>
        <w:t>。</w:t>
      </w:r>
    </w:p>
    <w:p w14:paraId="78DD3BDC">
      <w:pPr>
        <w:spacing w:line="360" w:lineRule="auto"/>
        <w:outlineLvl w:val="1"/>
        <w:rPr>
          <w:rFonts w:hint="eastAsia" w:ascii="黑体" w:hAnsi="黑体" w:eastAsia="黑体" w:cs="黑体"/>
          <w:bCs/>
          <w:sz w:val="24"/>
        </w:rPr>
      </w:pPr>
      <w:bookmarkStart w:id="25" w:name="_Toc25508"/>
      <w:r>
        <w:rPr>
          <w:rFonts w:hint="eastAsia" w:ascii="黑体" w:hAnsi="黑体" w:eastAsia="黑体" w:cs="黑体"/>
          <w:bCs/>
          <w:sz w:val="24"/>
        </w:rPr>
        <w:t>★5.2 成果的权属要求</w:t>
      </w:r>
      <w:bookmarkEnd w:id="25"/>
    </w:p>
    <w:bookmarkEnd w:id="24"/>
    <w:p w14:paraId="69F3ADE7">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本项目形成的论文、专利等知识产权划分方法如下：</w:t>
      </w:r>
    </w:p>
    <w:p w14:paraId="35330417">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14:paraId="05400B59">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（1）本合同项下的研究成果申请专利的权利归甲方享有，未经甲方许可，乙方不得单独申请专利或向第三方转让专利申请权。乙方取得专利权的，未经甲方许可，不得转让专利权或许可第三方实施该专利。</w:t>
      </w:r>
    </w:p>
    <w:p w14:paraId="09A9AD59">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（2）甲乙双方均享有本合同项下研究成果的使用权，但乙方仅能在甲方许可的范围内使用该研究成果。因使用该研究成果所产生的效益，由甲乙双方共同协商确定分配方式。</w:t>
      </w:r>
    </w:p>
    <w:p w14:paraId="7D705C6A">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（3）本合同项下的研究成果的转让权属于甲方，乙方不得向第三方转让，亦不得许可第三方实施使用，乙方擅自转让所产生的利益归甲方所有。</w:t>
      </w:r>
    </w:p>
    <w:p w14:paraId="39160EDA">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（4）本合同项下的研究成果申请奖励的权利归甲方享有。未经甲方许可，乙方不得单方申请奖励。</w:t>
      </w:r>
    </w:p>
    <w:p w14:paraId="23FBF394">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（5）本合同项下的研究成果的发表权由甲乙双方共同享有。未经一方许可，另一方不得单方发表。根据项目研究成果发表论文须注明“南方电网公司科技项目资助(项目编号：</w:t>
      </w:r>
      <w:r>
        <w:rPr>
          <w:rFonts w:ascii="宋体" w:hAnsi="宋体" w:cs="仿宋"/>
          <w:color w:val="000000"/>
          <w:sz w:val="24"/>
        </w:rPr>
        <w:t>030100KC26030050（GDKJXM20260268）</w:t>
      </w:r>
      <w:r>
        <w:rPr>
          <w:rFonts w:hint="eastAsia" w:asciiTheme="minorEastAsia" w:hAnsiTheme="minorEastAsia" w:eastAsiaTheme="minorEastAsia" w:cstheme="minorEastAsia"/>
          <w:color w:val="000000"/>
          <w:sz w:val="24"/>
        </w:rPr>
        <w:t>)”；项目参加人员个人发表有关项目研究内容的论文须征得甲乙双方的同意。</w:t>
      </w:r>
    </w:p>
    <w:p w14:paraId="7D81887F">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（6）使用履行本合同产生的研究成果参与国际标准、国家标准或行业标准等的制定或修订工作的权利属于甲方所有，未经甲方许可，乙方不得单独参与此类工作。</w:t>
      </w:r>
    </w:p>
    <w:p w14:paraId="78095EDA">
      <w:pPr>
        <w:spacing w:line="360" w:lineRule="auto"/>
        <w:outlineLvl w:val="1"/>
        <w:rPr>
          <w:rFonts w:hint="eastAsia" w:ascii="黑体" w:hAnsi="黑体" w:eastAsia="黑体" w:cs="黑体"/>
          <w:bCs/>
          <w:sz w:val="24"/>
        </w:rPr>
      </w:pPr>
      <w:bookmarkStart w:id="26" w:name="_Toc28744"/>
      <w:r>
        <w:rPr>
          <w:rFonts w:hint="eastAsia" w:ascii="黑体" w:hAnsi="黑体" w:eastAsia="黑体" w:cs="黑体"/>
          <w:bCs/>
          <w:sz w:val="24"/>
        </w:rPr>
        <w:t>5.3技术架构要求</w:t>
      </w:r>
      <w:bookmarkEnd w:id="26"/>
    </w:p>
    <w:p w14:paraId="06C3FD5B">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本项目若涉及软硬件开发/试制应符合自主可控要求：</w:t>
      </w:r>
    </w:p>
    <w:p w14:paraId="5DE527EC">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（1）CPU：兼容自主可控CPU（ARM、X86、MIPS）架构。</w:t>
      </w:r>
    </w:p>
    <w:p w14:paraId="50CBC3F8">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（2）浏览器：兼容Chrome和Firefox内核浏览器。</w:t>
      </w:r>
    </w:p>
    <w:p w14:paraId="78598EC5">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（3）操作系统：兼容UOS、麒麟等linux类型桌面操作系统和服务器自主可控操作系统。</w:t>
      </w:r>
    </w:p>
    <w:p w14:paraId="48281E95">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（4）数据库中间件：可以兼容国内主流自主可控数据库、中间件。</w:t>
      </w:r>
    </w:p>
    <w:p w14:paraId="7921DA87">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（5）应用架构设计：应用架构具备在多种基础环境下运行的设计。（硬件层：需要除x86架构外如ARM架构或MISP架构运行；操作系统层：需要能在Windows系列、Linux系列运行）</w:t>
      </w:r>
    </w:p>
    <w:p w14:paraId="6958FC11">
      <w:pPr>
        <w:spacing w:line="360" w:lineRule="auto"/>
        <w:outlineLvl w:val="1"/>
        <w:rPr>
          <w:rFonts w:hint="eastAsia" w:ascii="黑体" w:hAnsi="黑体" w:eastAsia="黑体" w:cs="黑体"/>
          <w:bCs/>
          <w:sz w:val="24"/>
        </w:rPr>
      </w:pPr>
      <w:bookmarkStart w:id="27" w:name="_Toc6117"/>
      <w:r>
        <w:rPr>
          <w:rFonts w:hint="eastAsia" w:ascii="黑体" w:hAnsi="黑体" w:eastAsia="黑体" w:cs="黑体"/>
          <w:bCs/>
          <w:sz w:val="24"/>
        </w:rPr>
        <w:t>5.4成果验收</w:t>
      </w:r>
      <w:bookmarkEnd w:id="27"/>
    </w:p>
    <w:p w14:paraId="0F71C3CE">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项目完成后，由甲方组织专家组对项目的主要技术指标、成果等进行验收。</w:t>
      </w:r>
      <w:r>
        <w:rPr>
          <w:rFonts w:hint="eastAsia" w:ascii="宋体" w:hAnsi="宋体" w:cs="宋体"/>
          <w:color w:val="000000"/>
          <w:sz w:val="24"/>
        </w:rPr>
        <w:t>关于定向钻施工地下电缆智能检测与风险预警技术研究的报告需通过专家评审，专利需收到受理通知，论文需收到录用通知书。</w:t>
      </w:r>
    </w:p>
    <w:p w14:paraId="25A7987C">
      <w:pPr>
        <w:pStyle w:val="23"/>
        <w:spacing w:before="0" w:beforeLines="0"/>
        <w:outlineLvl w:val="0"/>
        <w:rPr>
          <w:rFonts w:hint="eastAsia" w:ascii="黑体" w:hAnsi="黑体" w:eastAsia="黑体" w:cs="黑体"/>
          <w:sz w:val="28"/>
          <w:szCs w:val="28"/>
        </w:rPr>
      </w:pPr>
      <w:bookmarkStart w:id="28" w:name="_Toc30047"/>
      <w:r>
        <w:rPr>
          <w:rFonts w:hint="eastAsia" w:ascii="黑体" w:hAnsi="黑体" w:eastAsia="黑体" w:cs="黑体"/>
          <w:sz w:val="28"/>
          <w:szCs w:val="28"/>
        </w:rPr>
        <w:t>6  投标技术文件要求</w:t>
      </w:r>
      <w:bookmarkEnd w:id="28"/>
    </w:p>
    <w:p w14:paraId="63B785C8">
      <w:pPr>
        <w:spacing w:line="360" w:lineRule="auto"/>
        <w:outlineLvl w:val="1"/>
        <w:rPr>
          <w:rFonts w:hint="eastAsia" w:ascii="黑体" w:hAnsi="黑体" w:eastAsia="黑体" w:cs="黑体"/>
          <w:bCs/>
          <w:sz w:val="24"/>
        </w:rPr>
      </w:pPr>
      <w:bookmarkStart w:id="29" w:name="_Toc26928"/>
      <w:r>
        <w:rPr>
          <w:rFonts w:hint="eastAsia" w:ascii="黑体" w:hAnsi="黑体" w:eastAsia="黑体" w:cs="黑体"/>
          <w:bCs/>
          <w:sz w:val="24"/>
        </w:rPr>
        <w:t>6.1 研究方案</w:t>
      </w:r>
      <w:bookmarkEnd w:id="29"/>
    </w:p>
    <w:p w14:paraId="616B1662">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（1）项目技术路线</w:t>
      </w:r>
    </w:p>
    <w:p w14:paraId="53D3B6D8">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项目实施的总体研究思路和总体框架。</w:t>
      </w:r>
    </w:p>
    <w:p w14:paraId="064F4E05">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（2）技术方案</w:t>
      </w:r>
    </w:p>
    <w:p w14:paraId="13025BC8">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投标方应针对每项研究内容提供详尽的技术解决方案。</w:t>
      </w:r>
    </w:p>
    <w:p w14:paraId="2473858F">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（3）重点解决的技术难题</w:t>
      </w:r>
    </w:p>
    <w:p w14:paraId="1F609337">
      <w:pPr>
        <w:spacing w:line="360" w:lineRule="auto"/>
        <w:outlineLvl w:val="2"/>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（4）主要技术指标实现的可行性</w:t>
      </w:r>
    </w:p>
    <w:p w14:paraId="40E3CB27">
      <w:pPr>
        <w:spacing w:line="360" w:lineRule="auto"/>
        <w:outlineLvl w:val="1"/>
        <w:rPr>
          <w:rFonts w:hint="eastAsia" w:ascii="黑体" w:hAnsi="黑体" w:eastAsia="黑体" w:cs="黑体"/>
          <w:bCs/>
          <w:sz w:val="24"/>
        </w:rPr>
      </w:pPr>
      <w:bookmarkStart w:id="30" w:name="_Toc3443"/>
      <w:bookmarkStart w:id="31" w:name="_Toc12714"/>
      <w:r>
        <w:rPr>
          <w:rFonts w:hint="eastAsia" w:ascii="黑体" w:hAnsi="黑体" w:eastAsia="黑体" w:cs="黑体"/>
          <w:bCs/>
          <w:sz w:val="24"/>
        </w:rPr>
        <w:t>6.2 项目管理实施</w:t>
      </w:r>
      <w:bookmarkEnd w:id="30"/>
      <w:bookmarkEnd w:id="31"/>
    </w:p>
    <w:p w14:paraId="6D651A22">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（1）项目人员组织</w:t>
      </w:r>
    </w:p>
    <w:p w14:paraId="13ACFA4D">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介绍项目人员组织情况、职责分工。</w:t>
      </w:r>
    </w:p>
    <w:p w14:paraId="113ECCBF">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（2）项目进度</w:t>
      </w:r>
    </w:p>
    <w:p w14:paraId="6016EA5C">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提交详细的项目实施计划，明确里程碑。</w:t>
      </w:r>
    </w:p>
    <w:p w14:paraId="7B538330">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（3）项目交付项</w:t>
      </w:r>
    </w:p>
    <w:p w14:paraId="500B3FF9">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说明项目阶段任务完成后，投标方根据成果交付与验收要求应提交给招标方的产品、服务以及交接文件等，并附上相应的交付时间计划表。</w:t>
      </w:r>
    </w:p>
    <w:p w14:paraId="2D96D159">
      <w:pPr>
        <w:spacing w:line="360" w:lineRule="auto"/>
        <w:outlineLvl w:val="1"/>
        <w:rPr>
          <w:rFonts w:hint="eastAsia" w:ascii="黑体" w:hAnsi="黑体" w:eastAsia="黑体" w:cs="黑体"/>
          <w:bCs/>
          <w:sz w:val="24"/>
        </w:rPr>
      </w:pPr>
      <w:bookmarkStart w:id="32" w:name="_Toc29755"/>
      <w:r>
        <w:rPr>
          <w:rFonts w:hint="eastAsia" w:ascii="黑体" w:hAnsi="黑体" w:eastAsia="黑体" w:cs="黑体"/>
          <w:bCs/>
          <w:sz w:val="24"/>
        </w:rPr>
        <w:t>6.3 项目技术支撑能力</w:t>
      </w:r>
      <w:bookmarkEnd w:id="32"/>
    </w:p>
    <w:p w14:paraId="2C4C7343">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（1）项目经验</w:t>
      </w:r>
    </w:p>
    <w:p w14:paraId="1CAC45D4">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该部分填写与标的物相关的项目研究经验、合同情况、论文专利和获奖情况。</w:t>
      </w:r>
    </w:p>
    <w:p w14:paraId="5ECD31B5">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（2）人员支撑能力</w:t>
      </w:r>
    </w:p>
    <w:p w14:paraId="5497B26A">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该部分填写与标的物相关的本项目研究成员详细资料（包括学历、资质、研究方向/工作经验等），提供相关支撑材料。</w:t>
      </w:r>
    </w:p>
    <w:p w14:paraId="11FC94D4">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（3）设备支撑能力</w:t>
      </w:r>
    </w:p>
    <w:p w14:paraId="0BF19E22">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该部分填写与标的物相关的、支撑该项目研究的设备、平台、实验室等。</w:t>
      </w:r>
    </w:p>
    <w:p w14:paraId="65A07176">
      <w:pPr>
        <w:spacing w:line="360" w:lineRule="auto"/>
        <w:outlineLvl w:val="1"/>
        <w:rPr>
          <w:rFonts w:hint="eastAsia" w:ascii="黑体" w:hAnsi="黑体" w:eastAsia="黑体" w:cs="黑体"/>
          <w:bCs/>
          <w:sz w:val="24"/>
        </w:rPr>
      </w:pPr>
      <w:bookmarkStart w:id="33" w:name="_Toc3357"/>
      <w:bookmarkStart w:id="34" w:name="_Toc25058"/>
      <w:r>
        <w:rPr>
          <w:rFonts w:hint="eastAsia" w:ascii="黑体" w:hAnsi="黑体" w:eastAsia="黑体" w:cs="黑体"/>
          <w:bCs/>
          <w:sz w:val="24"/>
        </w:rPr>
        <w:t>6.4 技术支持与售后服务</w:t>
      </w:r>
      <w:bookmarkEnd w:id="33"/>
      <w:bookmarkEnd w:id="34"/>
    </w:p>
    <w:p w14:paraId="6956A62D">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投标方要明确所能提供的服务内容，服务方式，服务承诺和售后服务等情况。</w:t>
      </w:r>
    </w:p>
    <w:p w14:paraId="5E166729">
      <w:pPr>
        <w:spacing w:line="360" w:lineRule="auto"/>
        <w:outlineLvl w:val="1"/>
        <w:rPr>
          <w:rFonts w:hint="eastAsia" w:ascii="黑体" w:hAnsi="黑体" w:eastAsia="黑体" w:cs="黑体"/>
          <w:bCs/>
          <w:sz w:val="24"/>
        </w:rPr>
      </w:pPr>
      <w:bookmarkStart w:id="35" w:name="_Toc17138"/>
      <w:r>
        <w:rPr>
          <w:rFonts w:hint="eastAsia" w:ascii="黑体" w:hAnsi="黑体" w:eastAsia="黑体" w:cs="黑体"/>
          <w:bCs/>
          <w:sz w:val="24"/>
        </w:rPr>
        <w:t>6.5 技术差异表</w:t>
      </w:r>
      <w:bookmarkEnd w:id="35"/>
    </w:p>
    <w:p w14:paraId="1002FB1D">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投标方应针对主要技术指标要求、成果交付数量要求等填写响应的差异情况。</w:t>
      </w:r>
    </w:p>
    <w:p w14:paraId="7785F9B9">
      <w:pPr>
        <w:spacing w:line="360" w:lineRule="auto"/>
        <w:jc w:val="center"/>
        <w:rPr>
          <w:rFonts w:hint="eastAsia" w:ascii="黑体" w:hAnsi="黑体" w:eastAsia="黑体" w:cs="黑体"/>
          <w:bCs/>
          <w:color w:val="000000"/>
          <w:szCs w:val="21"/>
        </w:rPr>
      </w:pPr>
      <w:r>
        <w:rPr>
          <w:rFonts w:hint="eastAsia" w:ascii="黑体" w:hAnsi="黑体" w:eastAsia="黑体" w:cs="黑体"/>
          <w:bCs/>
          <w:color w:val="000000"/>
          <w:szCs w:val="21"/>
        </w:rPr>
        <w:t>表6.1 技术指标差异表（投标方填写）</w:t>
      </w:r>
    </w:p>
    <w:tbl>
      <w:tblPr>
        <w:tblStyle w:val="14"/>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14:paraId="68A2D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14:paraId="0AEBD105">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序号</w:t>
            </w:r>
          </w:p>
        </w:tc>
        <w:tc>
          <w:tcPr>
            <w:tcW w:w="1782" w:type="dxa"/>
            <w:tcBorders>
              <w:tl2br w:val="nil"/>
              <w:tr2bl w:val="nil"/>
            </w:tcBorders>
            <w:vAlign w:val="center"/>
          </w:tcPr>
          <w:p w14:paraId="1682DF9E">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名称</w:t>
            </w:r>
          </w:p>
          <w:p w14:paraId="24B69DAB">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（技术指标/成果要求）</w:t>
            </w:r>
          </w:p>
        </w:tc>
        <w:tc>
          <w:tcPr>
            <w:tcW w:w="1574" w:type="dxa"/>
            <w:tcBorders>
              <w:tl2br w:val="nil"/>
              <w:tr2bl w:val="nil"/>
            </w:tcBorders>
            <w:vAlign w:val="center"/>
          </w:tcPr>
          <w:p w14:paraId="66A17624">
            <w:pPr>
              <w:widowControl/>
              <w:jc w:val="center"/>
              <w:textAlignment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招标方要求值</w:t>
            </w:r>
          </w:p>
        </w:tc>
        <w:tc>
          <w:tcPr>
            <w:tcW w:w="1485" w:type="dxa"/>
            <w:tcBorders>
              <w:tl2br w:val="nil"/>
              <w:tr2bl w:val="nil"/>
            </w:tcBorders>
            <w:vAlign w:val="center"/>
          </w:tcPr>
          <w:p w14:paraId="152C77CA">
            <w:pPr>
              <w:widowControl/>
              <w:jc w:val="center"/>
              <w:textAlignment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投标方保证值</w:t>
            </w:r>
          </w:p>
        </w:tc>
        <w:tc>
          <w:tcPr>
            <w:tcW w:w="1713" w:type="dxa"/>
            <w:tcBorders>
              <w:tl2br w:val="nil"/>
              <w:tr2bl w:val="nil"/>
            </w:tcBorders>
            <w:vAlign w:val="center"/>
          </w:tcPr>
          <w:p w14:paraId="0854792A">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关键指标允许响应情况（正偏差/负偏差/无偏差）</w:t>
            </w:r>
          </w:p>
        </w:tc>
        <w:tc>
          <w:tcPr>
            <w:tcW w:w="1351" w:type="dxa"/>
            <w:tcBorders>
              <w:tl2br w:val="nil"/>
              <w:tr2bl w:val="nil"/>
            </w:tcBorders>
            <w:vAlign w:val="center"/>
          </w:tcPr>
          <w:p w14:paraId="3A22785A">
            <w:pPr>
              <w:widowControl/>
              <w:jc w:val="center"/>
              <w:textAlignment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技术方案或保障措施所在的页码</w:t>
            </w:r>
          </w:p>
        </w:tc>
      </w:tr>
      <w:tr w14:paraId="0382FC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14:paraId="457BC5C2">
            <w:pPr>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782" w:type="dxa"/>
            <w:tcBorders>
              <w:tl2br w:val="nil"/>
              <w:tr2bl w:val="nil"/>
            </w:tcBorders>
            <w:vAlign w:val="center"/>
          </w:tcPr>
          <w:p w14:paraId="71FF6F10">
            <w:pPr>
              <w:jc w:val="center"/>
              <w:rPr>
                <w:rFonts w:hint="eastAsia" w:asciiTheme="minorEastAsia" w:hAnsiTheme="minorEastAsia" w:eastAsiaTheme="minorEastAsia" w:cstheme="minorEastAsia"/>
                <w:szCs w:val="21"/>
                <w:highlight w:val="yellow"/>
              </w:rPr>
            </w:pPr>
          </w:p>
        </w:tc>
        <w:tc>
          <w:tcPr>
            <w:tcW w:w="1574" w:type="dxa"/>
            <w:tcBorders>
              <w:tl2br w:val="nil"/>
              <w:tr2bl w:val="nil"/>
            </w:tcBorders>
            <w:vAlign w:val="center"/>
          </w:tcPr>
          <w:p w14:paraId="674B6A01">
            <w:pPr>
              <w:jc w:val="center"/>
              <w:rPr>
                <w:rFonts w:hint="eastAsia" w:asciiTheme="minorEastAsia" w:hAnsiTheme="minorEastAsia" w:eastAsiaTheme="minorEastAsia" w:cstheme="minorEastAsia"/>
                <w:szCs w:val="21"/>
                <w:highlight w:val="yellow"/>
              </w:rPr>
            </w:pPr>
          </w:p>
        </w:tc>
        <w:tc>
          <w:tcPr>
            <w:tcW w:w="1485" w:type="dxa"/>
            <w:tcBorders>
              <w:tl2br w:val="nil"/>
              <w:tr2bl w:val="nil"/>
            </w:tcBorders>
            <w:vAlign w:val="center"/>
          </w:tcPr>
          <w:p w14:paraId="321CE4E5">
            <w:pPr>
              <w:jc w:val="center"/>
              <w:rPr>
                <w:rFonts w:hint="eastAsia"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276627C0">
            <w:pPr>
              <w:widowControl/>
              <w:jc w:val="center"/>
              <w:textAlignment w:val="center"/>
              <w:rPr>
                <w:rFonts w:hint="eastAsia"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3875C548">
            <w:pPr>
              <w:jc w:val="center"/>
              <w:rPr>
                <w:rFonts w:hint="eastAsia" w:asciiTheme="minorEastAsia" w:hAnsiTheme="minorEastAsia" w:eastAsiaTheme="minorEastAsia" w:cstheme="minorEastAsia"/>
                <w:color w:val="000000"/>
                <w:szCs w:val="21"/>
                <w:highlight w:val="yellow"/>
              </w:rPr>
            </w:pPr>
          </w:p>
        </w:tc>
      </w:tr>
      <w:tr w14:paraId="55466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14:paraId="68C8E194">
            <w:pPr>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782" w:type="dxa"/>
            <w:tcBorders>
              <w:tl2br w:val="nil"/>
              <w:tr2bl w:val="nil"/>
            </w:tcBorders>
            <w:vAlign w:val="center"/>
          </w:tcPr>
          <w:p w14:paraId="62EECB07">
            <w:pPr>
              <w:jc w:val="center"/>
              <w:rPr>
                <w:rFonts w:hint="eastAsia" w:asciiTheme="minorEastAsia" w:hAnsiTheme="minorEastAsia" w:eastAsiaTheme="minorEastAsia" w:cstheme="minorEastAsia"/>
                <w:szCs w:val="21"/>
                <w:highlight w:val="yellow"/>
              </w:rPr>
            </w:pPr>
          </w:p>
        </w:tc>
        <w:tc>
          <w:tcPr>
            <w:tcW w:w="1574" w:type="dxa"/>
            <w:tcBorders>
              <w:tl2br w:val="nil"/>
              <w:tr2bl w:val="nil"/>
            </w:tcBorders>
            <w:vAlign w:val="center"/>
          </w:tcPr>
          <w:p w14:paraId="2D279D19">
            <w:pPr>
              <w:jc w:val="center"/>
              <w:rPr>
                <w:rFonts w:hint="eastAsia" w:asciiTheme="minorEastAsia" w:hAnsiTheme="minorEastAsia" w:eastAsiaTheme="minorEastAsia" w:cstheme="minorEastAsia"/>
                <w:szCs w:val="21"/>
                <w:highlight w:val="yellow"/>
              </w:rPr>
            </w:pPr>
          </w:p>
        </w:tc>
        <w:tc>
          <w:tcPr>
            <w:tcW w:w="1485" w:type="dxa"/>
            <w:tcBorders>
              <w:tl2br w:val="nil"/>
              <w:tr2bl w:val="nil"/>
            </w:tcBorders>
            <w:vAlign w:val="center"/>
          </w:tcPr>
          <w:p w14:paraId="5AC7CAD6">
            <w:pPr>
              <w:jc w:val="center"/>
              <w:rPr>
                <w:rFonts w:hint="eastAsia"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640964F4">
            <w:pPr>
              <w:jc w:val="center"/>
              <w:rPr>
                <w:rFonts w:hint="eastAsia"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33CA2F9B">
            <w:pPr>
              <w:jc w:val="center"/>
              <w:rPr>
                <w:rFonts w:hint="eastAsia" w:asciiTheme="minorEastAsia" w:hAnsiTheme="minorEastAsia" w:eastAsiaTheme="minorEastAsia" w:cstheme="minorEastAsia"/>
                <w:color w:val="000000"/>
                <w:szCs w:val="21"/>
                <w:highlight w:val="yellow"/>
              </w:rPr>
            </w:pPr>
          </w:p>
        </w:tc>
      </w:tr>
      <w:tr w14:paraId="6483DE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07249BC9">
            <w:pPr>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782" w:type="dxa"/>
            <w:tcBorders>
              <w:tl2br w:val="nil"/>
              <w:tr2bl w:val="nil"/>
            </w:tcBorders>
            <w:vAlign w:val="center"/>
          </w:tcPr>
          <w:p w14:paraId="0945F2A3">
            <w:pPr>
              <w:jc w:val="center"/>
              <w:rPr>
                <w:rFonts w:hint="eastAsia" w:asciiTheme="minorEastAsia" w:hAnsiTheme="minorEastAsia" w:eastAsiaTheme="minorEastAsia" w:cstheme="minorEastAsia"/>
                <w:szCs w:val="21"/>
                <w:highlight w:val="yellow"/>
              </w:rPr>
            </w:pPr>
          </w:p>
        </w:tc>
        <w:tc>
          <w:tcPr>
            <w:tcW w:w="1574" w:type="dxa"/>
            <w:tcBorders>
              <w:tl2br w:val="nil"/>
              <w:tr2bl w:val="nil"/>
            </w:tcBorders>
            <w:vAlign w:val="center"/>
          </w:tcPr>
          <w:p w14:paraId="55745F93">
            <w:pPr>
              <w:jc w:val="center"/>
              <w:rPr>
                <w:rFonts w:hint="eastAsia" w:asciiTheme="minorEastAsia" w:hAnsiTheme="minorEastAsia" w:eastAsiaTheme="minorEastAsia" w:cstheme="minorEastAsia"/>
                <w:szCs w:val="21"/>
                <w:highlight w:val="yellow"/>
              </w:rPr>
            </w:pPr>
          </w:p>
        </w:tc>
        <w:tc>
          <w:tcPr>
            <w:tcW w:w="1485" w:type="dxa"/>
            <w:tcBorders>
              <w:tl2br w:val="nil"/>
              <w:tr2bl w:val="nil"/>
            </w:tcBorders>
            <w:vAlign w:val="center"/>
          </w:tcPr>
          <w:p w14:paraId="5E9116CA">
            <w:pPr>
              <w:jc w:val="center"/>
              <w:rPr>
                <w:rFonts w:hint="eastAsia"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3EE694CD">
            <w:pPr>
              <w:jc w:val="center"/>
              <w:rPr>
                <w:rFonts w:hint="eastAsia"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794DAF2C">
            <w:pPr>
              <w:jc w:val="center"/>
              <w:rPr>
                <w:rFonts w:hint="eastAsia" w:asciiTheme="minorEastAsia" w:hAnsiTheme="minorEastAsia" w:eastAsiaTheme="minorEastAsia" w:cstheme="minorEastAsia"/>
                <w:color w:val="000000"/>
                <w:szCs w:val="21"/>
                <w:highlight w:val="yellow"/>
              </w:rPr>
            </w:pPr>
          </w:p>
        </w:tc>
      </w:tr>
    </w:tbl>
    <w:p w14:paraId="50C19061">
      <w:pPr>
        <w:spacing w:line="360" w:lineRule="auto"/>
        <w:ind w:firstLine="480" w:firstLineChars="200"/>
        <w:rPr>
          <w:rFonts w:hint="eastAsia" w:asciiTheme="minorEastAsia" w:hAnsiTheme="minorEastAsia" w:eastAsiaTheme="minorEastAsia" w:cstheme="minorEastAsia"/>
          <w:color w:val="000000"/>
          <w:sz w:val="24"/>
        </w:rPr>
      </w:pPr>
      <w:bookmarkStart w:id="36" w:name="_Toc226362579"/>
      <w:r>
        <w:rPr>
          <w:rFonts w:hint="eastAsia" w:asciiTheme="minorEastAsia" w:hAnsiTheme="minorEastAsia" w:eastAsiaTheme="minorEastAsia" w:cstheme="minorEastAsia"/>
          <w:color w:val="000000"/>
          <w:sz w:val="24"/>
        </w:rPr>
        <w:t>投标方应将所提供服务与本技术规范书有差异之处，无论优于或劣于本技术规范书要求，均汇集成下表。</w:t>
      </w:r>
    </w:p>
    <w:p w14:paraId="12702E42">
      <w:pPr>
        <w:spacing w:line="360" w:lineRule="auto"/>
        <w:jc w:val="center"/>
        <w:rPr>
          <w:rFonts w:hint="eastAsia" w:ascii="黑体" w:hAnsi="黑体" w:eastAsia="黑体" w:cs="黑体"/>
          <w:bCs/>
          <w:color w:val="000000"/>
          <w:szCs w:val="21"/>
        </w:rPr>
      </w:pPr>
      <w:r>
        <w:rPr>
          <w:rFonts w:hint="eastAsia" w:ascii="黑体" w:hAnsi="黑体" w:eastAsia="黑体" w:cs="黑体"/>
          <w:bCs/>
          <w:color w:val="000000"/>
          <w:szCs w:val="21"/>
        </w:rPr>
        <w:t>表6.2 技术差异汇总表</w:t>
      </w:r>
      <w:bookmarkEnd w:id="36"/>
      <w:r>
        <w:rPr>
          <w:rFonts w:hint="eastAsia" w:ascii="黑体" w:hAnsi="黑体" w:eastAsia="黑体" w:cs="黑体"/>
          <w:bCs/>
          <w:color w:val="000000"/>
          <w:szCs w:val="21"/>
        </w:rPr>
        <w:t>（投标方填写）</w:t>
      </w:r>
    </w:p>
    <w:tbl>
      <w:tblPr>
        <w:tblStyle w:val="13"/>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14:paraId="1C358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14:paraId="600373BF">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w:t>
            </w:r>
          </w:p>
          <w:p w14:paraId="1723FC42">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号</w:t>
            </w:r>
          </w:p>
        </w:tc>
        <w:tc>
          <w:tcPr>
            <w:tcW w:w="3876" w:type="dxa"/>
            <w:gridSpan w:val="2"/>
            <w:tcBorders>
              <w:tl2br w:val="nil"/>
              <w:tr2bl w:val="nil"/>
            </w:tcBorders>
            <w:vAlign w:val="center"/>
          </w:tcPr>
          <w:p w14:paraId="6F585EB1">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招 标 文 件</w:t>
            </w:r>
          </w:p>
        </w:tc>
        <w:tc>
          <w:tcPr>
            <w:tcW w:w="3833" w:type="dxa"/>
            <w:gridSpan w:val="2"/>
            <w:tcBorders>
              <w:tl2br w:val="nil"/>
              <w:tr2bl w:val="nil"/>
            </w:tcBorders>
            <w:vAlign w:val="center"/>
          </w:tcPr>
          <w:p w14:paraId="2E716A3D">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投  标  文  件</w:t>
            </w:r>
          </w:p>
        </w:tc>
      </w:tr>
      <w:tr w14:paraId="703F5A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14:paraId="13D8D596">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163" w:type="dxa"/>
            <w:tcBorders>
              <w:tl2br w:val="nil"/>
              <w:tr2bl w:val="nil"/>
            </w:tcBorders>
            <w:vAlign w:val="center"/>
          </w:tcPr>
          <w:p w14:paraId="562D60F5">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713" w:type="dxa"/>
            <w:tcBorders>
              <w:tl2br w:val="nil"/>
              <w:tr2bl w:val="nil"/>
            </w:tcBorders>
            <w:vAlign w:val="center"/>
          </w:tcPr>
          <w:p w14:paraId="462D262D">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c>
          <w:tcPr>
            <w:tcW w:w="1258" w:type="dxa"/>
            <w:tcBorders>
              <w:tl2br w:val="nil"/>
              <w:tr2bl w:val="nil"/>
            </w:tcBorders>
            <w:vAlign w:val="center"/>
          </w:tcPr>
          <w:p w14:paraId="1953518A">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575" w:type="dxa"/>
            <w:tcBorders>
              <w:tl2br w:val="nil"/>
              <w:tr2bl w:val="nil"/>
            </w:tcBorders>
            <w:vAlign w:val="center"/>
          </w:tcPr>
          <w:p w14:paraId="2BEF9A8B">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r>
      <w:tr w14:paraId="0CDA2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7DE651DA">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1</w:t>
            </w:r>
          </w:p>
        </w:tc>
        <w:tc>
          <w:tcPr>
            <w:tcW w:w="1163" w:type="dxa"/>
            <w:tcBorders>
              <w:tl2br w:val="nil"/>
              <w:tr2bl w:val="nil"/>
            </w:tcBorders>
            <w:vAlign w:val="center"/>
          </w:tcPr>
          <w:p w14:paraId="170AC753">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41EBDF47">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2BA25B4F">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08F130AF">
            <w:pPr>
              <w:widowControl/>
              <w:jc w:val="center"/>
              <w:textAlignment w:val="center"/>
              <w:rPr>
                <w:rFonts w:hint="eastAsia" w:asciiTheme="minorEastAsia" w:hAnsiTheme="minorEastAsia" w:eastAsiaTheme="minorEastAsia" w:cstheme="minorEastAsia"/>
                <w:color w:val="000000"/>
                <w:kern w:val="0"/>
                <w:szCs w:val="21"/>
                <w:lang w:bidi="ar"/>
              </w:rPr>
            </w:pPr>
          </w:p>
        </w:tc>
      </w:tr>
      <w:tr w14:paraId="5DD3C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2EBB5FFB">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2</w:t>
            </w:r>
          </w:p>
        </w:tc>
        <w:tc>
          <w:tcPr>
            <w:tcW w:w="1163" w:type="dxa"/>
            <w:tcBorders>
              <w:tl2br w:val="nil"/>
              <w:tr2bl w:val="nil"/>
            </w:tcBorders>
            <w:vAlign w:val="center"/>
          </w:tcPr>
          <w:p w14:paraId="0BC0D2EC">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5F1C3696">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22BBB4A5">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41CFD0D9">
            <w:pPr>
              <w:widowControl/>
              <w:jc w:val="center"/>
              <w:textAlignment w:val="center"/>
              <w:rPr>
                <w:rFonts w:hint="eastAsia" w:asciiTheme="minorEastAsia" w:hAnsiTheme="minorEastAsia" w:eastAsiaTheme="minorEastAsia" w:cstheme="minorEastAsia"/>
                <w:color w:val="000000"/>
                <w:kern w:val="0"/>
                <w:szCs w:val="21"/>
                <w:lang w:bidi="ar"/>
              </w:rPr>
            </w:pPr>
          </w:p>
        </w:tc>
      </w:tr>
      <w:tr w14:paraId="1E610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0F5E4FFA">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3</w:t>
            </w:r>
          </w:p>
        </w:tc>
        <w:tc>
          <w:tcPr>
            <w:tcW w:w="1163" w:type="dxa"/>
            <w:tcBorders>
              <w:tl2br w:val="nil"/>
              <w:tr2bl w:val="nil"/>
            </w:tcBorders>
            <w:vAlign w:val="center"/>
          </w:tcPr>
          <w:p w14:paraId="148F7043">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796CCB78">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1871E08D">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53A72668">
            <w:pPr>
              <w:widowControl/>
              <w:jc w:val="center"/>
              <w:textAlignment w:val="center"/>
              <w:rPr>
                <w:rFonts w:hint="eastAsia" w:asciiTheme="minorEastAsia" w:hAnsiTheme="minorEastAsia" w:eastAsiaTheme="minorEastAsia" w:cstheme="minorEastAsia"/>
                <w:color w:val="000000"/>
                <w:kern w:val="0"/>
                <w:szCs w:val="21"/>
                <w:lang w:bidi="ar"/>
              </w:rPr>
            </w:pPr>
          </w:p>
        </w:tc>
      </w:tr>
      <w:tr w14:paraId="4AEC4D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641A0F74">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4</w:t>
            </w:r>
          </w:p>
        </w:tc>
        <w:tc>
          <w:tcPr>
            <w:tcW w:w="1163" w:type="dxa"/>
            <w:tcBorders>
              <w:tl2br w:val="nil"/>
              <w:tr2bl w:val="nil"/>
            </w:tcBorders>
            <w:vAlign w:val="center"/>
          </w:tcPr>
          <w:p w14:paraId="7E1E8A38">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23F97E4F">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7D73079B">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472D0BF3">
            <w:pPr>
              <w:widowControl/>
              <w:jc w:val="center"/>
              <w:textAlignment w:val="center"/>
              <w:rPr>
                <w:rFonts w:hint="eastAsia" w:asciiTheme="minorEastAsia" w:hAnsiTheme="minorEastAsia" w:eastAsiaTheme="minorEastAsia" w:cstheme="minorEastAsia"/>
                <w:color w:val="000000"/>
                <w:kern w:val="0"/>
                <w:szCs w:val="21"/>
                <w:lang w:bidi="ar"/>
              </w:rPr>
            </w:pPr>
          </w:p>
        </w:tc>
      </w:tr>
    </w:tbl>
    <w:p w14:paraId="5F45D20C">
      <w:pPr>
        <w:spacing w:before="156" w:beforeLines="50" w:line="360" w:lineRule="auto"/>
        <w:outlineLvl w:val="1"/>
        <w:rPr>
          <w:rFonts w:hint="eastAsia" w:ascii="黑体" w:hAnsi="黑体" w:eastAsia="黑体" w:cs="黑体"/>
          <w:sz w:val="24"/>
        </w:rPr>
      </w:pPr>
      <w:bookmarkStart w:id="37" w:name="_Toc10100"/>
      <w:r>
        <w:rPr>
          <w:rFonts w:hint="eastAsia" w:ascii="黑体" w:hAnsi="黑体" w:eastAsia="黑体" w:cs="黑体"/>
          <w:sz w:val="24"/>
        </w:rPr>
        <w:t>6.6 其它补充说明</w:t>
      </w:r>
      <w:bookmarkEnd w:id="37"/>
    </w:p>
    <w:p w14:paraId="7AC6FBA0">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投标方认为实现本文件的相关内容存在技术类或其它类风险，请详细说明，并提供相应的对策。</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656AB"/>
    <w:multiLevelType w:val="singleLevel"/>
    <w:tmpl w:val="C2D656AB"/>
    <w:lvl w:ilvl="0" w:tentative="0">
      <w:start w:val="1"/>
      <w:numFmt w:val="decimal"/>
      <w:suff w:val="nothing"/>
      <w:lvlText w:val="（%1）"/>
      <w:lvlJc w:val="left"/>
    </w:lvl>
  </w:abstractNum>
  <w:abstractNum w:abstractNumId="1">
    <w:nsid w:val="D12C290B"/>
    <w:multiLevelType w:val="singleLevel"/>
    <w:tmpl w:val="D12C290B"/>
    <w:lvl w:ilvl="0" w:tentative="0">
      <w:start w:val="1"/>
      <w:numFmt w:val="decimal"/>
      <w:pStyle w:val="18"/>
      <w:lvlText w:val="%1."/>
      <w:lvlJc w:val="left"/>
      <w:pPr>
        <w:ind w:left="425" w:hanging="425"/>
      </w:pPr>
      <w:rPr>
        <w:rFonts w:hint="default"/>
      </w:rPr>
    </w:lvl>
  </w:abstractNum>
  <w:abstractNum w:abstractNumId="2">
    <w:nsid w:val="381F4A27"/>
    <w:multiLevelType w:val="multilevel"/>
    <w:tmpl w:val="381F4A27"/>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F4EF99F"/>
    <w:multiLevelType w:val="singleLevel"/>
    <w:tmpl w:val="4F4EF99F"/>
    <w:lvl w:ilvl="0" w:tentative="0">
      <w:start w:val="1"/>
      <w:numFmt w:val="decimal"/>
      <w:suff w:val="nothing"/>
      <w:lvlText w:val="（%1）"/>
      <w:lvlJc w:val="left"/>
    </w:lvl>
  </w:abstractNum>
  <w:abstractNum w:abstractNumId="4">
    <w:nsid w:val="561D627C"/>
    <w:multiLevelType w:val="singleLevel"/>
    <w:tmpl w:val="561D627C"/>
    <w:lvl w:ilvl="0" w:tentative="0">
      <w:start w:val="1"/>
      <w:numFmt w:val="decimal"/>
      <w:suff w:val="nothing"/>
      <w:lvlText w:val="（%1）"/>
      <w:lvlJc w:val="left"/>
    </w:lvl>
  </w:abstractNum>
  <w:abstractNum w:abstractNumId="5">
    <w:nsid w:val="5E537055"/>
    <w:multiLevelType w:val="singleLevel"/>
    <w:tmpl w:val="5E537055"/>
    <w:lvl w:ilvl="0" w:tentative="0">
      <w:start w:val="1"/>
      <w:numFmt w:val="decimal"/>
      <w:lvlText w:val="%1."/>
      <w:lvlJc w:val="left"/>
      <w:pPr>
        <w:ind w:left="425" w:hanging="425"/>
      </w:pPr>
      <w:rPr>
        <w:rFonts w:hint="default"/>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12EA9"/>
    <w:rsid w:val="0000270B"/>
    <w:rsid w:val="00013870"/>
    <w:rsid w:val="000157DF"/>
    <w:rsid w:val="000703A8"/>
    <w:rsid w:val="000A4E1C"/>
    <w:rsid w:val="000B1994"/>
    <w:rsid w:val="00102A26"/>
    <w:rsid w:val="00113C97"/>
    <w:rsid w:val="002B5D67"/>
    <w:rsid w:val="00396448"/>
    <w:rsid w:val="005A51FC"/>
    <w:rsid w:val="005C24A7"/>
    <w:rsid w:val="00663651"/>
    <w:rsid w:val="006879E5"/>
    <w:rsid w:val="006974C7"/>
    <w:rsid w:val="007459CF"/>
    <w:rsid w:val="007819BA"/>
    <w:rsid w:val="007B0D6C"/>
    <w:rsid w:val="007B388B"/>
    <w:rsid w:val="008273C4"/>
    <w:rsid w:val="008A67F2"/>
    <w:rsid w:val="00920102"/>
    <w:rsid w:val="009E1EC2"/>
    <w:rsid w:val="009E5EB7"/>
    <w:rsid w:val="009E5F8E"/>
    <w:rsid w:val="00A20B78"/>
    <w:rsid w:val="00B11055"/>
    <w:rsid w:val="00B438DE"/>
    <w:rsid w:val="00BB4B05"/>
    <w:rsid w:val="00BC0B1F"/>
    <w:rsid w:val="00D35DA0"/>
    <w:rsid w:val="00D53F54"/>
    <w:rsid w:val="00D7729C"/>
    <w:rsid w:val="00E90C24"/>
    <w:rsid w:val="00F2069C"/>
    <w:rsid w:val="00F24976"/>
    <w:rsid w:val="027C11FC"/>
    <w:rsid w:val="0295401A"/>
    <w:rsid w:val="0303051E"/>
    <w:rsid w:val="034E11A4"/>
    <w:rsid w:val="047B7BC4"/>
    <w:rsid w:val="04BF0B83"/>
    <w:rsid w:val="04FE4EAD"/>
    <w:rsid w:val="05312146"/>
    <w:rsid w:val="05330E8B"/>
    <w:rsid w:val="056D4E14"/>
    <w:rsid w:val="05FD7391"/>
    <w:rsid w:val="07DC3C63"/>
    <w:rsid w:val="08115868"/>
    <w:rsid w:val="0900633E"/>
    <w:rsid w:val="09F078C2"/>
    <w:rsid w:val="0A9773AF"/>
    <w:rsid w:val="0B715FA9"/>
    <w:rsid w:val="0BD1033B"/>
    <w:rsid w:val="0BFD7548"/>
    <w:rsid w:val="0C8C1EEF"/>
    <w:rsid w:val="0D0C14ED"/>
    <w:rsid w:val="0D6039E5"/>
    <w:rsid w:val="0DDE0C6E"/>
    <w:rsid w:val="0F573D98"/>
    <w:rsid w:val="0FBF064C"/>
    <w:rsid w:val="10011F66"/>
    <w:rsid w:val="10972384"/>
    <w:rsid w:val="110F2EEB"/>
    <w:rsid w:val="11402C86"/>
    <w:rsid w:val="11694F9C"/>
    <w:rsid w:val="13566E57"/>
    <w:rsid w:val="14421D4B"/>
    <w:rsid w:val="147F0C66"/>
    <w:rsid w:val="1558413F"/>
    <w:rsid w:val="155E4129"/>
    <w:rsid w:val="15B259A5"/>
    <w:rsid w:val="160351CB"/>
    <w:rsid w:val="16F77748"/>
    <w:rsid w:val="17610576"/>
    <w:rsid w:val="1A266B0D"/>
    <w:rsid w:val="1A316175"/>
    <w:rsid w:val="1A830B36"/>
    <w:rsid w:val="1ADD4B0E"/>
    <w:rsid w:val="1BF021DF"/>
    <w:rsid w:val="1BFA3C82"/>
    <w:rsid w:val="1C672B50"/>
    <w:rsid w:val="1CCE54EB"/>
    <w:rsid w:val="1D7B5A38"/>
    <w:rsid w:val="1DA01B05"/>
    <w:rsid w:val="1DFC3E5E"/>
    <w:rsid w:val="1EA43205"/>
    <w:rsid w:val="1FBD1E67"/>
    <w:rsid w:val="20D855DF"/>
    <w:rsid w:val="22015C0D"/>
    <w:rsid w:val="234277A0"/>
    <w:rsid w:val="234B187D"/>
    <w:rsid w:val="23605422"/>
    <w:rsid w:val="23817433"/>
    <w:rsid w:val="23FC7BFC"/>
    <w:rsid w:val="24EA7C79"/>
    <w:rsid w:val="250F564D"/>
    <w:rsid w:val="252B1EB7"/>
    <w:rsid w:val="256870E0"/>
    <w:rsid w:val="25CF4A07"/>
    <w:rsid w:val="25E42BF8"/>
    <w:rsid w:val="265249D6"/>
    <w:rsid w:val="275D5D26"/>
    <w:rsid w:val="275F7D29"/>
    <w:rsid w:val="28403FE5"/>
    <w:rsid w:val="28BE48E2"/>
    <w:rsid w:val="29695A4F"/>
    <w:rsid w:val="2A441357"/>
    <w:rsid w:val="2AFA0631"/>
    <w:rsid w:val="2B6721B0"/>
    <w:rsid w:val="2C191EA0"/>
    <w:rsid w:val="2C6E0BE4"/>
    <w:rsid w:val="2CA3124A"/>
    <w:rsid w:val="2CE51BB8"/>
    <w:rsid w:val="2D8B5047"/>
    <w:rsid w:val="2D8F39A1"/>
    <w:rsid w:val="2DAC4578"/>
    <w:rsid w:val="2DB36870"/>
    <w:rsid w:val="2DEA6350"/>
    <w:rsid w:val="2E260032"/>
    <w:rsid w:val="2E380045"/>
    <w:rsid w:val="2EFA1D2E"/>
    <w:rsid w:val="2F2E6BFF"/>
    <w:rsid w:val="2FC241F2"/>
    <w:rsid w:val="2FEF2882"/>
    <w:rsid w:val="30045C2F"/>
    <w:rsid w:val="30DF2B6C"/>
    <w:rsid w:val="313E1E7A"/>
    <w:rsid w:val="330E4E8B"/>
    <w:rsid w:val="33161353"/>
    <w:rsid w:val="334E3954"/>
    <w:rsid w:val="335E270E"/>
    <w:rsid w:val="34255CC8"/>
    <w:rsid w:val="358A1AD4"/>
    <w:rsid w:val="358B06A1"/>
    <w:rsid w:val="35E41FA9"/>
    <w:rsid w:val="360B40D3"/>
    <w:rsid w:val="3661221B"/>
    <w:rsid w:val="37A433E0"/>
    <w:rsid w:val="37AE0477"/>
    <w:rsid w:val="38004B22"/>
    <w:rsid w:val="39140E3A"/>
    <w:rsid w:val="398C2739"/>
    <w:rsid w:val="39E974DB"/>
    <w:rsid w:val="3B5038F7"/>
    <w:rsid w:val="3C4C5078"/>
    <w:rsid w:val="3DC862F7"/>
    <w:rsid w:val="3DDE3626"/>
    <w:rsid w:val="401C5798"/>
    <w:rsid w:val="40794199"/>
    <w:rsid w:val="408A19B3"/>
    <w:rsid w:val="40CF0453"/>
    <w:rsid w:val="40F0643B"/>
    <w:rsid w:val="41414714"/>
    <w:rsid w:val="419C13AE"/>
    <w:rsid w:val="41A73FEA"/>
    <w:rsid w:val="41B40E40"/>
    <w:rsid w:val="42DF02D2"/>
    <w:rsid w:val="43CD22EA"/>
    <w:rsid w:val="44C917FC"/>
    <w:rsid w:val="45AD67D6"/>
    <w:rsid w:val="45CF1EF0"/>
    <w:rsid w:val="45E20A8C"/>
    <w:rsid w:val="47097B32"/>
    <w:rsid w:val="47382C50"/>
    <w:rsid w:val="473A0E5B"/>
    <w:rsid w:val="476617B8"/>
    <w:rsid w:val="48205CF0"/>
    <w:rsid w:val="486C2E04"/>
    <w:rsid w:val="48AE5D4E"/>
    <w:rsid w:val="49162EBF"/>
    <w:rsid w:val="4A4B4604"/>
    <w:rsid w:val="4A566A25"/>
    <w:rsid w:val="4A7A1254"/>
    <w:rsid w:val="4B18258B"/>
    <w:rsid w:val="4B2A3103"/>
    <w:rsid w:val="4B3522B4"/>
    <w:rsid w:val="4B5E6BA8"/>
    <w:rsid w:val="4C3F54C3"/>
    <w:rsid w:val="4CE147A6"/>
    <w:rsid w:val="4CEE40EF"/>
    <w:rsid w:val="4DBF3FC8"/>
    <w:rsid w:val="4E287A4C"/>
    <w:rsid w:val="501B0FF0"/>
    <w:rsid w:val="50E83C80"/>
    <w:rsid w:val="50E84976"/>
    <w:rsid w:val="523F44FF"/>
    <w:rsid w:val="52400ADE"/>
    <w:rsid w:val="52AB3BAD"/>
    <w:rsid w:val="52D27864"/>
    <w:rsid w:val="536B3F5C"/>
    <w:rsid w:val="538B094C"/>
    <w:rsid w:val="53CD308F"/>
    <w:rsid w:val="54724B97"/>
    <w:rsid w:val="54C17E31"/>
    <w:rsid w:val="54E75E4E"/>
    <w:rsid w:val="54EC5F00"/>
    <w:rsid w:val="55145A25"/>
    <w:rsid w:val="55BB08CE"/>
    <w:rsid w:val="56112EA9"/>
    <w:rsid w:val="56634F6B"/>
    <w:rsid w:val="56794219"/>
    <w:rsid w:val="56FE5647"/>
    <w:rsid w:val="572004CE"/>
    <w:rsid w:val="576E3E36"/>
    <w:rsid w:val="57BC5768"/>
    <w:rsid w:val="57D62605"/>
    <w:rsid w:val="59BD7DED"/>
    <w:rsid w:val="5AE252E1"/>
    <w:rsid w:val="5CBC1717"/>
    <w:rsid w:val="5D196F37"/>
    <w:rsid w:val="5D560B25"/>
    <w:rsid w:val="5E0B23A4"/>
    <w:rsid w:val="5E311346"/>
    <w:rsid w:val="5E7F2B1D"/>
    <w:rsid w:val="5E9479C8"/>
    <w:rsid w:val="5EFF55AD"/>
    <w:rsid w:val="5FFA163D"/>
    <w:rsid w:val="60446F8A"/>
    <w:rsid w:val="60A8111F"/>
    <w:rsid w:val="60B802FB"/>
    <w:rsid w:val="61633BDA"/>
    <w:rsid w:val="61B23647"/>
    <w:rsid w:val="61E33B45"/>
    <w:rsid w:val="63FE5340"/>
    <w:rsid w:val="64132F2C"/>
    <w:rsid w:val="64F92069"/>
    <w:rsid w:val="650664D0"/>
    <w:rsid w:val="652A6814"/>
    <w:rsid w:val="65355760"/>
    <w:rsid w:val="673113AB"/>
    <w:rsid w:val="67593ED7"/>
    <w:rsid w:val="678C7059"/>
    <w:rsid w:val="68AC152E"/>
    <w:rsid w:val="69154ACB"/>
    <w:rsid w:val="695323C7"/>
    <w:rsid w:val="69EA7D86"/>
    <w:rsid w:val="6B023115"/>
    <w:rsid w:val="6D401C96"/>
    <w:rsid w:val="6E06100F"/>
    <w:rsid w:val="6E5B1FD7"/>
    <w:rsid w:val="6E717889"/>
    <w:rsid w:val="708F1B04"/>
    <w:rsid w:val="70E237AF"/>
    <w:rsid w:val="710C1A65"/>
    <w:rsid w:val="71FF19B7"/>
    <w:rsid w:val="72910272"/>
    <w:rsid w:val="731458B8"/>
    <w:rsid w:val="73FA6E86"/>
    <w:rsid w:val="74572EAA"/>
    <w:rsid w:val="74E106B7"/>
    <w:rsid w:val="75700D85"/>
    <w:rsid w:val="75715F41"/>
    <w:rsid w:val="75C06237"/>
    <w:rsid w:val="76497732"/>
    <w:rsid w:val="76890F73"/>
    <w:rsid w:val="770F4753"/>
    <w:rsid w:val="7744018F"/>
    <w:rsid w:val="795E2CE3"/>
    <w:rsid w:val="79EB43CD"/>
    <w:rsid w:val="7A126AE1"/>
    <w:rsid w:val="7ABE2378"/>
    <w:rsid w:val="7AFB3926"/>
    <w:rsid w:val="7BA41111"/>
    <w:rsid w:val="7BFC3589"/>
    <w:rsid w:val="7C185614"/>
    <w:rsid w:val="7CD02D3B"/>
    <w:rsid w:val="7D2B397D"/>
    <w:rsid w:val="7DD134FD"/>
    <w:rsid w:val="7E352FE9"/>
    <w:rsid w:val="7EB61EE5"/>
    <w:rsid w:val="7FCE0606"/>
    <w:rsid w:val="7FF13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unhideWhenUsed/>
    <w:qFormat/>
    <w:uiPriority w:val="0"/>
    <w:pPr>
      <w:keepNext/>
      <w:keepLines/>
      <w:tabs>
        <w:tab w:val="left" w:pos="720"/>
      </w:tabs>
      <w:adjustRightInd w:val="0"/>
      <w:spacing w:line="320" w:lineRule="atLeast"/>
      <w:ind w:left="720" w:hanging="720"/>
      <w:outlineLvl w:val="1"/>
    </w:pPr>
    <w:rPr>
      <w:rFonts w:ascii="黑体" w:hAnsi="Arial" w:eastAsia="黑体" w:cs="宋体"/>
      <w:kern w:val="0"/>
      <w:sz w:val="28"/>
    </w:rPr>
  </w:style>
  <w:style w:type="paragraph" w:styleId="6">
    <w:name w:val="heading 3"/>
    <w:basedOn w:val="1"/>
    <w:next w:val="1"/>
    <w:unhideWhenUsed/>
    <w:qFormat/>
    <w:uiPriority w:val="0"/>
    <w:pPr>
      <w:keepNext/>
      <w:keepLines/>
      <w:spacing w:before="260" w:after="260" w:line="413" w:lineRule="auto"/>
      <w:outlineLvl w:val="2"/>
    </w:pPr>
    <w:rPr>
      <w:b/>
      <w:sz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paragraph" w:styleId="7">
    <w:name w:val="annotation text"/>
    <w:basedOn w:val="1"/>
    <w:qFormat/>
    <w:uiPriority w:val="0"/>
    <w:pPr>
      <w:jc w:val="left"/>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tabs>
        <w:tab w:val="right" w:leader="dot" w:pos="8302"/>
      </w:tabs>
      <w:snapToGrid w:val="0"/>
      <w:spacing w:line="360" w:lineRule="auto"/>
      <w:ind w:left="525" w:hanging="4"/>
    </w:pPr>
    <w:rPr>
      <w:sz w:val="24"/>
      <w:szCs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style>
  <w:style w:type="character" w:styleId="17">
    <w:name w:val="annotation reference"/>
    <w:basedOn w:val="15"/>
    <w:qFormat/>
    <w:uiPriority w:val="0"/>
    <w:rPr>
      <w:sz w:val="21"/>
      <w:szCs w:val="21"/>
    </w:rPr>
  </w:style>
  <w:style w:type="paragraph" w:customStyle="1" w:styleId="18">
    <w:name w:val="标题1"/>
    <w:basedOn w:val="5"/>
    <w:next w:val="1"/>
    <w:qFormat/>
    <w:uiPriority w:val="0"/>
    <w:pPr>
      <w:numPr>
        <w:ilvl w:val="0"/>
        <w:numId w:val="1"/>
      </w:numPr>
    </w:pPr>
    <w:rPr>
      <w:rFonts w:hAnsi="黑体"/>
    </w:rPr>
  </w:style>
  <w:style w:type="paragraph" w:customStyle="1" w:styleId="19">
    <w:name w:val="首页项目名称"/>
    <w:link w:val="21"/>
    <w:qFormat/>
    <w:uiPriority w:val="0"/>
    <w:pPr>
      <w:jc w:val="center"/>
    </w:pPr>
    <w:rPr>
      <w:rFonts w:ascii="Times New Roman" w:hAnsi="Times New Roman" w:eastAsia="隶书" w:cs="Times New Roman"/>
      <w:sz w:val="52"/>
      <w:lang w:val="en-US" w:eastAsia="zh-CN" w:bidi="ar-SA"/>
    </w:rPr>
  </w:style>
  <w:style w:type="paragraph" w:customStyle="1" w:styleId="20">
    <w:name w:val="首页日期"/>
    <w:basedOn w:val="1"/>
    <w:link w:val="22"/>
    <w:qFormat/>
    <w:uiPriority w:val="0"/>
    <w:pPr>
      <w:jc w:val="center"/>
    </w:pPr>
    <w:rPr>
      <w:rFonts w:eastAsia="楷体"/>
      <w:sz w:val="32"/>
    </w:rPr>
  </w:style>
  <w:style w:type="character" w:customStyle="1" w:styleId="21">
    <w:name w:val="首页项目名称 Char"/>
    <w:link w:val="19"/>
    <w:qFormat/>
    <w:uiPriority w:val="0"/>
    <w:rPr>
      <w:rFonts w:eastAsia="隶书"/>
      <w:sz w:val="52"/>
    </w:rPr>
  </w:style>
  <w:style w:type="character" w:customStyle="1" w:styleId="22">
    <w:name w:val="首页日期 Char"/>
    <w:link w:val="20"/>
    <w:qFormat/>
    <w:uiPriority w:val="0"/>
    <w:rPr>
      <w:rFonts w:ascii="Times New Roman" w:hAnsi="Times New Roman" w:eastAsia="楷体"/>
      <w:sz w:val="32"/>
    </w:rPr>
  </w:style>
  <w:style w:type="paragraph" w:customStyle="1" w:styleId="23">
    <w:name w:val="一标题"/>
    <w:link w:val="24"/>
    <w:qFormat/>
    <w:uiPriority w:val="0"/>
    <w:pPr>
      <w:spacing w:before="100" w:beforeLines="100" w:line="360" w:lineRule="auto"/>
    </w:pPr>
    <w:rPr>
      <w:rFonts w:ascii="宋体" w:hAnsi="宋体" w:eastAsia="宋体" w:cs="Times New Roman"/>
      <w:b/>
      <w:sz w:val="24"/>
      <w:lang w:val="en-US" w:eastAsia="zh-CN" w:bidi="ar-SA"/>
    </w:rPr>
  </w:style>
  <w:style w:type="character" w:customStyle="1" w:styleId="24">
    <w:name w:val="一标题 Char"/>
    <w:link w:val="23"/>
    <w:qFormat/>
    <w:uiPriority w:val="0"/>
    <w:rPr>
      <w:rFonts w:ascii="宋体" w:hAnsi="宋体" w:eastAsia="宋体" w:cs="Times New Roman"/>
      <w:b/>
      <w:sz w:val="24"/>
    </w:rPr>
  </w:style>
  <w:style w:type="paragraph" w:customStyle="1" w:styleId="25">
    <w:name w:val="_Style 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27">
    <w:name w:val="Revision"/>
    <w:hidden/>
    <w:unhideWhenUsed/>
    <w:qFormat/>
    <w:uiPriority w:val="99"/>
    <w:rPr>
      <w:rFonts w:ascii="Times New Roman" w:hAnsi="Times New Roman" w:eastAsia="宋体" w:cs="Times New Roman"/>
      <w:kern w:val="2"/>
      <w:sz w:val="21"/>
      <w:szCs w:val="24"/>
      <w:lang w:val="en-US" w:eastAsia="zh-CN" w:bidi="ar-SA"/>
    </w:rPr>
  </w:style>
  <w:style w:type="paragraph" w:styleId="2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780</Words>
  <Characters>4451</Characters>
  <Lines>37</Lines>
  <Paragraphs>10</Paragraphs>
  <TotalTime>2</TotalTime>
  <ScaleCrop>false</ScaleCrop>
  <LinksUpToDate>false</LinksUpToDate>
  <CharactersWithSpaces>5221</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2020-01-03T01:39:00Z</dcterms:created>
  <dc:creator>shenpeiyi</dc:creator>
  <cp:lastModifiedBy>张琪玥</cp:lastModifiedBy>
  <cp:lastPrinted>2026-07-22T12:17:16Z</cp:lastPrinted>
  <dcterms:modified xsi:type="dcterms:W3CDTF">2026-07-22T12:18:02Z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KSOTemplateDocerSaveRecord">
    <vt:lpwstr>eyJoZGlkIjoiMWU2YWFjN2M4M2ZmYzk5NDhkMzM1OGExNzJiNjI5ZjAiLCJ1c2VySWQiOiIzMTQ3MTA1ODkifQ==</vt:lpwstr>
  </property>
  <property fmtid="{D5CDD505-2E9C-101B-9397-08002B2CF9AE}" pid="4" name="ICV">
    <vt:lpwstr>0630A033C1E54E449D18F7417DF14B9A_13</vt:lpwstr>
  </property>
</Properties>
</file>