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3DB933">
      <w:pPr>
        <w:rPr>
          <w:rFonts w:hint="eastAsia" w:ascii="黑体" w:hAnsi="黑体" w:eastAsia="黑体" w:cs="黑体"/>
          <w:b/>
          <w:bCs/>
          <w:sz w:val="44"/>
          <w:szCs w:val="44"/>
        </w:rPr>
      </w:pPr>
    </w:p>
    <w:p w14:paraId="137763E7">
      <w:pPr>
        <w:rPr>
          <w:rFonts w:hint="eastAsia" w:ascii="黑体" w:hAnsi="黑体" w:eastAsia="黑体" w:cs="黑体"/>
          <w:b/>
          <w:bCs/>
          <w:sz w:val="44"/>
          <w:szCs w:val="44"/>
        </w:rPr>
      </w:pPr>
    </w:p>
    <w:p w14:paraId="50D97605">
      <w:pPr>
        <w:pStyle w:val="28"/>
        <w:rPr>
          <w:rFonts w:hint="eastAsia" w:ascii="黑体" w:hAnsi="黑体" w:eastAsia="黑体" w:cs="黑体"/>
          <w:sz w:val="48"/>
          <w:szCs w:val="48"/>
        </w:rPr>
      </w:pPr>
      <w:bookmarkStart w:id="0" w:name="_Hlk235439700"/>
    </w:p>
    <w:p w14:paraId="0A2E0FCE">
      <w:pPr>
        <w:pStyle w:val="28"/>
        <w:rPr>
          <w:rFonts w:hint="eastAsia" w:ascii="黑体" w:hAnsi="黑体" w:eastAsia="黑体" w:cs="黑体"/>
          <w:sz w:val="48"/>
          <w:szCs w:val="48"/>
        </w:rPr>
      </w:pPr>
      <w:r>
        <w:rPr>
          <w:rFonts w:hint="eastAsia" w:ascii="黑体" w:hAnsi="黑体" w:eastAsia="黑体" w:cs="黑体"/>
          <w:sz w:val="48"/>
          <w:szCs w:val="48"/>
        </w:rPr>
        <w:t>标的2：定向钻施工地下电缆智能检测</w:t>
      </w:r>
    </w:p>
    <w:p w14:paraId="5F0E3AE7">
      <w:pPr>
        <w:pStyle w:val="28"/>
        <w:rPr>
          <w:rFonts w:ascii="隶书"/>
          <w:sz w:val="48"/>
          <w:szCs w:val="48"/>
        </w:rPr>
      </w:pPr>
      <w:r>
        <w:rPr>
          <w:rFonts w:hint="eastAsia" w:ascii="黑体" w:hAnsi="黑体" w:eastAsia="黑体" w:cs="黑体"/>
          <w:sz w:val="48"/>
          <w:szCs w:val="48"/>
        </w:rPr>
        <w:t>与风险预警研究（设备试制）</w:t>
      </w:r>
    </w:p>
    <w:bookmarkEnd w:id="0"/>
    <w:p w14:paraId="0DC29ADF">
      <w:pPr>
        <w:rPr>
          <w:rFonts w:hint="eastAsia" w:ascii="黑体" w:hAnsi="黑体" w:eastAsia="黑体" w:cs="黑体"/>
          <w:b/>
          <w:bCs/>
          <w:sz w:val="48"/>
          <w:szCs w:val="48"/>
        </w:rPr>
      </w:pPr>
    </w:p>
    <w:p w14:paraId="33EB1069">
      <w:pPr>
        <w:jc w:val="center"/>
        <w:rPr>
          <w:rFonts w:hint="eastAsia" w:ascii="黑体" w:hAnsi="黑体" w:eastAsia="黑体" w:cs="黑体"/>
          <w:b/>
          <w:bCs/>
          <w:sz w:val="48"/>
          <w:szCs w:val="48"/>
        </w:rPr>
      </w:pPr>
    </w:p>
    <w:p w14:paraId="6DF8E9E9">
      <w:pPr>
        <w:jc w:val="center"/>
        <w:rPr>
          <w:rFonts w:hint="eastAsia" w:ascii="黑体" w:hAnsi="黑体" w:eastAsia="黑体" w:cs="黑体"/>
          <w:b/>
          <w:bCs/>
          <w:sz w:val="48"/>
          <w:szCs w:val="48"/>
        </w:rPr>
      </w:pPr>
    </w:p>
    <w:p w14:paraId="09AEA1A3">
      <w:pPr>
        <w:jc w:val="center"/>
        <w:rPr>
          <w:rFonts w:hint="eastAsia" w:ascii="黑体" w:hAnsi="黑体" w:eastAsia="黑体" w:cs="黑体"/>
          <w:b/>
          <w:bCs/>
          <w:sz w:val="48"/>
          <w:szCs w:val="48"/>
        </w:rPr>
      </w:pPr>
    </w:p>
    <w:p w14:paraId="213AC285">
      <w:pPr>
        <w:jc w:val="center"/>
        <w:rPr>
          <w:rFonts w:hint="eastAsia" w:ascii="黑体" w:hAnsi="黑体" w:eastAsia="黑体" w:cs="黑体"/>
          <w:b/>
          <w:bCs/>
          <w:sz w:val="48"/>
          <w:szCs w:val="48"/>
        </w:rPr>
      </w:pPr>
    </w:p>
    <w:p w14:paraId="04D935E4">
      <w:pPr>
        <w:jc w:val="center"/>
        <w:rPr>
          <w:rFonts w:hint="eastAsia" w:ascii="黑体" w:hAnsi="黑体" w:eastAsia="黑体" w:cs="黑体"/>
          <w:b/>
          <w:bCs/>
          <w:sz w:val="48"/>
          <w:szCs w:val="48"/>
        </w:rPr>
      </w:pPr>
    </w:p>
    <w:p w14:paraId="261DA0BE">
      <w:pPr>
        <w:jc w:val="center"/>
      </w:pPr>
    </w:p>
    <w:p w14:paraId="66D2A508">
      <w:pPr>
        <w:spacing w:before="600" w:after="200"/>
        <w:jc w:val="center"/>
        <w:rPr>
          <w:rFonts w:hint="eastAsia" w:ascii="黑体" w:hAnsi="黑体" w:eastAsia="黑体" w:cs="黑体"/>
          <w:sz w:val="52"/>
          <w:szCs w:val="52"/>
        </w:rPr>
      </w:pPr>
      <w:r>
        <w:rPr>
          <w:rFonts w:ascii="黑体" w:hAnsi="黑体" w:eastAsia="黑体" w:cs="黑体"/>
          <w:sz w:val="52"/>
          <w:szCs w:val="52"/>
        </w:rPr>
        <w:t>技术规范书</w:t>
      </w:r>
    </w:p>
    <w:p w14:paraId="5F7417BB">
      <w:pPr>
        <w:spacing w:before="600" w:after="200"/>
        <w:jc w:val="center"/>
        <w:rPr>
          <w:rFonts w:hint="eastAsia" w:ascii="黑体" w:hAnsi="黑体" w:eastAsia="黑体" w:cs="黑体"/>
          <w:b/>
          <w:bCs/>
          <w:sz w:val="52"/>
          <w:szCs w:val="52"/>
        </w:rPr>
      </w:pPr>
    </w:p>
    <w:p w14:paraId="5A8F0BFB">
      <w:pPr>
        <w:spacing w:before="600" w:after="200"/>
        <w:jc w:val="center"/>
        <w:rPr>
          <w:rFonts w:hint="eastAsia" w:ascii="黑体" w:hAnsi="黑体" w:eastAsia="黑体" w:cs="黑体"/>
          <w:b/>
          <w:bCs/>
          <w:sz w:val="52"/>
          <w:szCs w:val="52"/>
        </w:rPr>
      </w:pPr>
    </w:p>
    <w:p w14:paraId="645ED725">
      <w:pPr>
        <w:spacing w:before="600" w:after="200"/>
        <w:jc w:val="center"/>
        <w:rPr>
          <w:rFonts w:hint="eastAsia" w:ascii="黑体" w:hAnsi="黑体" w:eastAsia="黑体" w:cs="黑体"/>
          <w:b/>
          <w:bCs/>
          <w:sz w:val="52"/>
          <w:szCs w:val="52"/>
        </w:rPr>
      </w:pPr>
    </w:p>
    <w:p w14:paraId="2A681F22">
      <w:pPr>
        <w:spacing w:before="600" w:after="200"/>
        <w:jc w:val="center"/>
        <w:rPr>
          <w:rFonts w:hint="eastAsia" w:ascii="黑体" w:hAnsi="黑体" w:eastAsia="黑体"/>
          <w:sz w:val="32"/>
          <w:szCs w:val="32"/>
        </w:rPr>
      </w:pPr>
      <w:r>
        <w:rPr>
          <w:rFonts w:ascii="黑体" w:hAnsi="黑体" w:eastAsia="黑体" w:cs="仿宋"/>
          <w:sz w:val="32"/>
          <w:szCs w:val="32"/>
        </w:rPr>
        <w:t>2026年</w:t>
      </w:r>
      <w:r>
        <w:rPr>
          <w:rFonts w:hint="eastAsia" w:ascii="黑体" w:hAnsi="黑体" w:eastAsia="黑体" w:cs="仿宋"/>
          <w:sz w:val="32"/>
          <w:szCs w:val="32"/>
        </w:rPr>
        <w:t>7</w:t>
      </w:r>
      <w:r>
        <w:rPr>
          <w:rFonts w:ascii="黑体" w:hAnsi="黑体" w:eastAsia="黑体" w:cs="仿宋"/>
          <w:sz w:val="32"/>
          <w:szCs w:val="32"/>
        </w:rPr>
        <w:t>月</w:t>
      </w:r>
    </w:p>
    <w:p w14:paraId="777F28D3">
      <w:r>
        <w:br w:type="page"/>
      </w:r>
    </w:p>
    <w:p w14:paraId="1CE4DF3E">
      <w:pPr>
        <w:snapToGrid w:val="0"/>
        <w:spacing w:line="360" w:lineRule="auto"/>
        <w:jc w:val="center"/>
        <w:rPr>
          <w:rFonts w:hint="eastAsia" w:ascii="黑体" w:hAnsi="黑体" w:eastAsia="黑体" w:cs="黑体"/>
          <w:bCs/>
          <w:kern w:val="2"/>
          <w:sz w:val="44"/>
          <w:szCs w:val="36"/>
        </w:rPr>
      </w:pPr>
      <w:bookmarkStart w:id="1" w:name="_Toc30850"/>
      <w:r>
        <w:rPr>
          <w:rFonts w:hint="eastAsia" w:ascii="黑体" w:hAnsi="黑体" w:eastAsia="黑体" w:cs="黑体"/>
          <w:bCs/>
          <w:kern w:val="2"/>
          <w:sz w:val="44"/>
          <w:szCs w:val="36"/>
        </w:rPr>
        <w:t>目 录</w:t>
      </w:r>
      <w:bookmarkEnd w:id="1"/>
    </w:p>
    <w:p w14:paraId="1354FEE7">
      <w:pPr>
        <w:tabs>
          <w:tab w:val="right" w:leader="dot" w:pos="8306"/>
        </w:tabs>
        <w:snapToGrid w:val="0"/>
        <w:spacing w:line="360" w:lineRule="auto"/>
        <w:rPr>
          <w:rFonts w:hint="eastAsia" w:ascii="宋体" w:hAnsi="宋体" w:eastAsia="宋体" w:cs="宋体"/>
          <w:kern w:val="2"/>
          <w:sz w:val="24"/>
          <w:szCs w:val="24"/>
        </w:rPr>
      </w:pP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TOC \o "1-2" \h \u </w:instrText>
      </w:r>
      <w:r>
        <w:rPr>
          <w:rFonts w:hint="eastAsia" w:ascii="宋体" w:hAnsi="宋体" w:eastAsia="宋体" w:cs="宋体"/>
          <w:kern w:val="2"/>
          <w:sz w:val="24"/>
          <w:szCs w:val="24"/>
        </w:rPr>
        <w:fldChar w:fldCharType="separate"/>
      </w:r>
      <w:r>
        <w:fldChar w:fldCharType="begin"/>
      </w:r>
      <w:r>
        <w:instrText xml:space="preserve"> HYPERLINK \l "_Toc9347" </w:instrText>
      </w:r>
      <w:r>
        <w:fldChar w:fldCharType="separate"/>
      </w:r>
      <w:r>
        <w:rPr>
          <w:rFonts w:hint="eastAsia" w:ascii="宋体" w:hAnsi="宋体" w:eastAsia="宋体" w:cs="宋体"/>
          <w:kern w:val="2"/>
          <w:sz w:val="24"/>
          <w:szCs w:val="24"/>
        </w:rPr>
        <w:t>总 则</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_Toc9347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3</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3EC3B24B">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"_Toc3738" </w:instrText>
      </w:r>
      <w:r>
        <w:fldChar w:fldCharType="separate"/>
      </w:r>
      <w:r>
        <w:rPr>
          <w:rFonts w:hint="eastAsia" w:ascii="宋体" w:hAnsi="宋体" w:eastAsia="宋体" w:cs="宋体"/>
          <w:kern w:val="2"/>
          <w:sz w:val="24"/>
          <w:szCs w:val="24"/>
        </w:rPr>
        <w:t>1  标的概况</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_Toc3738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749BC0EF">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"_Toc7667" </w:instrText>
      </w:r>
      <w:r>
        <w:fldChar w:fldCharType="separate"/>
      </w:r>
      <w:r>
        <w:rPr>
          <w:rFonts w:hint="eastAsia" w:ascii="宋体" w:hAnsi="宋体" w:eastAsia="宋体" w:cs="宋体"/>
          <w:kern w:val="2"/>
          <w:sz w:val="24"/>
          <w:szCs w:val="24"/>
        </w:rPr>
        <w:t>2  研究内容及目的</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_Toc7667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16457AED">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"_Toc29882" </w:instrText>
      </w:r>
      <w:r>
        <w:fldChar w:fldCharType="separate"/>
      </w:r>
      <w:r>
        <w:rPr>
          <w:rFonts w:hint="eastAsia" w:ascii="宋体" w:hAnsi="宋体" w:eastAsia="宋体" w:cs="宋体"/>
          <w:bCs/>
          <w:kern w:val="2"/>
          <w:sz w:val="24"/>
          <w:szCs w:val="24"/>
        </w:rPr>
        <w:t>2.1 研究内容</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_Toc29882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0289915F">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"_Toc22754" </w:instrText>
      </w:r>
      <w:r>
        <w:fldChar w:fldCharType="separate"/>
      </w:r>
      <w:r>
        <w:rPr>
          <w:rFonts w:hint="eastAsia" w:ascii="宋体" w:hAnsi="宋体" w:eastAsia="宋体" w:cs="宋体"/>
          <w:bCs/>
          <w:kern w:val="2"/>
          <w:sz w:val="24"/>
          <w:szCs w:val="24"/>
        </w:rPr>
        <w:t>2.2 研究目的</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_Toc22754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729A909F">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"_Toc20003" </w:instrText>
      </w:r>
      <w:r>
        <w:fldChar w:fldCharType="separate"/>
      </w:r>
      <w:r>
        <w:rPr>
          <w:rFonts w:hint="eastAsia" w:ascii="宋体" w:hAnsi="宋体" w:eastAsia="宋体" w:cs="宋体"/>
          <w:kern w:val="2"/>
          <w:sz w:val="24"/>
          <w:szCs w:val="24"/>
        </w:rPr>
        <w:t>3  主要技术指标要求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_Toc20003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2EAB1CED">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"_Toc14246" </w:instrText>
      </w:r>
      <w:r>
        <w:fldChar w:fldCharType="separate"/>
      </w:r>
      <w:r>
        <w:rPr>
          <w:rFonts w:hint="eastAsia" w:ascii="宋体" w:hAnsi="宋体" w:eastAsia="宋体" w:cs="宋体"/>
          <w:kern w:val="2"/>
          <w:sz w:val="24"/>
          <w:szCs w:val="24"/>
        </w:rPr>
        <w:t>4  时间进度要求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_Toc14246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75816F8F">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"_Toc21501" </w:instrText>
      </w:r>
      <w:r>
        <w:fldChar w:fldCharType="separate"/>
      </w:r>
      <w:r>
        <w:rPr>
          <w:rFonts w:hint="eastAsia" w:ascii="宋体" w:hAnsi="宋体" w:eastAsia="宋体" w:cs="宋体"/>
          <w:kern w:val="2"/>
          <w:sz w:val="24"/>
          <w:szCs w:val="24"/>
        </w:rPr>
        <w:t>5  成果交付与验收</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_Toc21501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01A1BB63">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"_Toc5704" </w:instrText>
      </w:r>
      <w:r>
        <w:fldChar w:fldCharType="separate"/>
      </w:r>
      <w:r>
        <w:rPr>
          <w:rFonts w:hint="eastAsia" w:ascii="宋体" w:hAnsi="宋体" w:eastAsia="宋体" w:cs="宋体"/>
          <w:bCs/>
          <w:kern w:val="2"/>
          <w:sz w:val="24"/>
          <w:szCs w:val="24"/>
        </w:rPr>
        <w:t>5.1 成果形式及数量要求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_Toc5704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349E70F3">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"_Toc25508" </w:instrText>
      </w:r>
      <w:r>
        <w:fldChar w:fldCharType="separate"/>
      </w:r>
      <w:r>
        <w:rPr>
          <w:rFonts w:hint="eastAsia" w:ascii="宋体" w:hAnsi="宋体" w:eastAsia="宋体" w:cs="宋体"/>
          <w:bCs/>
          <w:kern w:val="2"/>
          <w:sz w:val="24"/>
          <w:szCs w:val="24"/>
        </w:rPr>
        <w:t>★5.2 成果的权属要求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_Toc25508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3D5FE5A8">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"_Toc28744" </w:instrText>
      </w:r>
      <w:r>
        <w:fldChar w:fldCharType="separate"/>
      </w:r>
      <w:r>
        <w:rPr>
          <w:rFonts w:hint="eastAsia" w:ascii="宋体" w:hAnsi="宋体" w:eastAsia="宋体" w:cs="宋体"/>
          <w:bCs/>
          <w:kern w:val="2"/>
          <w:sz w:val="24"/>
          <w:szCs w:val="24"/>
        </w:rPr>
        <w:t>5.3技术架构要求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_Toc28744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22FA3909">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"_Toc6117" </w:instrText>
      </w:r>
      <w:r>
        <w:fldChar w:fldCharType="separate"/>
      </w:r>
      <w:r>
        <w:rPr>
          <w:rFonts w:hint="eastAsia" w:ascii="宋体" w:hAnsi="宋体" w:eastAsia="宋体" w:cs="宋体"/>
          <w:bCs/>
          <w:kern w:val="2"/>
          <w:sz w:val="24"/>
          <w:szCs w:val="24"/>
        </w:rPr>
        <w:t>5.4成果验收</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_Toc6117 \h </w:instrText>
      </w:r>
      <w:r>
        <w:rPr>
          <w:rFonts w:hint="eastAsia" w:ascii="宋体" w:hAnsi="宋体" w:eastAsia="宋体" w:cs="宋体"/>
          <w:kern w:val="2"/>
          <w:sz w:val="24"/>
          <w:szCs w:val="24"/>
        </w:rPr>
        <w:fldChar w:fldCharType="separate"/>
      </w:r>
      <w:r>
        <w:rPr>
          <w:b/>
        </w:rPr>
        <w:t>错误！未定义书签。</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746AC5B7">
      <w:pPr>
        <w:tabs>
          <w:tab w:val="right" w:leader="dot" w:pos="8306"/>
        </w:tabs>
        <w:snapToGrid w:val="0"/>
        <w:spacing w:line="360" w:lineRule="auto"/>
        <w:rPr>
          <w:rFonts w:hint="eastAsia" w:ascii="宋体" w:hAnsi="宋体" w:eastAsia="宋体" w:cs="宋体"/>
          <w:kern w:val="2"/>
          <w:sz w:val="24"/>
          <w:szCs w:val="24"/>
        </w:rPr>
      </w:pPr>
      <w:r>
        <w:fldChar w:fldCharType="begin"/>
      </w:r>
      <w:r>
        <w:instrText xml:space="preserve"> HYPERLINK \l "_Toc30047" </w:instrText>
      </w:r>
      <w:r>
        <w:fldChar w:fldCharType="separate"/>
      </w:r>
      <w:r>
        <w:rPr>
          <w:rFonts w:hint="eastAsia" w:ascii="宋体" w:hAnsi="宋体" w:eastAsia="宋体" w:cs="宋体"/>
          <w:kern w:val="2"/>
          <w:sz w:val="24"/>
          <w:szCs w:val="24"/>
        </w:rPr>
        <w:t>6  投标技术文件要求</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_Toc30047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8</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3F2FE734">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"_Toc26928" </w:instrText>
      </w:r>
      <w:r>
        <w:fldChar w:fldCharType="separate"/>
      </w:r>
      <w:r>
        <w:rPr>
          <w:rFonts w:hint="eastAsia" w:ascii="宋体" w:hAnsi="宋体" w:eastAsia="宋体" w:cs="宋体"/>
          <w:bCs/>
          <w:kern w:val="2"/>
          <w:sz w:val="24"/>
          <w:szCs w:val="24"/>
        </w:rPr>
        <w:t>6.1 研究方案</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_Toc26928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8</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2BC59B1F">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"_Toc3443" </w:instrText>
      </w:r>
      <w:r>
        <w:fldChar w:fldCharType="separate"/>
      </w:r>
      <w:r>
        <w:rPr>
          <w:rFonts w:hint="eastAsia" w:ascii="宋体" w:hAnsi="宋体" w:eastAsia="宋体" w:cs="宋体"/>
          <w:bCs/>
          <w:kern w:val="2"/>
          <w:sz w:val="24"/>
          <w:szCs w:val="24"/>
        </w:rPr>
        <w:t>6.2 项目管理实施</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_Toc3443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8</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56DCB6F2">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"_Toc29755" </w:instrText>
      </w:r>
      <w:r>
        <w:fldChar w:fldCharType="separate"/>
      </w:r>
      <w:r>
        <w:rPr>
          <w:rFonts w:hint="eastAsia" w:ascii="宋体" w:hAnsi="宋体" w:eastAsia="宋体" w:cs="宋体"/>
          <w:bCs/>
          <w:kern w:val="2"/>
          <w:sz w:val="24"/>
          <w:szCs w:val="24"/>
        </w:rPr>
        <w:t>6.3 项目技术支撑能力</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_Toc29755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9</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6C635514">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"_Toc3357" </w:instrText>
      </w:r>
      <w:r>
        <w:fldChar w:fldCharType="separate"/>
      </w:r>
      <w:r>
        <w:rPr>
          <w:rFonts w:hint="eastAsia" w:ascii="宋体" w:hAnsi="宋体" w:eastAsia="宋体" w:cs="宋体"/>
          <w:bCs/>
          <w:kern w:val="2"/>
          <w:sz w:val="24"/>
          <w:szCs w:val="24"/>
        </w:rPr>
        <w:t>6.4 技术支持与售后服务</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_Toc3357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9</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39C3C113">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"_Toc17138" </w:instrText>
      </w:r>
      <w:r>
        <w:fldChar w:fldCharType="separate"/>
      </w:r>
      <w:r>
        <w:rPr>
          <w:rFonts w:hint="eastAsia" w:ascii="宋体" w:hAnsi="宋体" w:eastAsia="宋体" w:cs="宋体"/>
          <w:bCs/>
          <w:kern w:val="2"/>
          <w:sz w:val="24"/>
          <w:szCs w:val="24"/>
        </w:rPr>
        <w:t>6.5 技术差异表</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_Toc17138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9</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25D2C374">
      <w:pPr>
        <w:tabs>
          <w:tab w:val="right" w:leader="dot" w:pos="8306"/>
        </w:tabs>
        <w:snapToGrid w:val="0"/>
        <w:spacing w:line="360" w:lineRule="auto"/>
        <w:ind w:left="525" w:hanging="4"/>
        <w:rPr>
          <w:rFonts w:hint="eastAsia" w:ascii="宋体" w:hAnsi="宋体" w:eastAsia="宋体" w:cs="宋体"/>
          <w:kern w:val="2"/>
          <w:sz w:val="24"/>
          <w:szCs w:val="24"/>
        </w:rPr>
      </w:pPr>
      <w:r>
        <w:fldChar w:fldCharType="begin"/>
      </w:r>
      <w:r>
        <w:instrText xml:space="preserve"> HYPERLINK \l "_Toc10100" </w:instrText>
      </w:r>
      <w:r>
        <w:fldChar w:fldCharType="separate"/>
      </w:r>
      <w:r>
        <w:rPr>
          <w:rFonts w:hint="eastAsia" w:ascii="宋体" w:hAnsi="宋体" w:eastAsia="宋体" w:cs="宋体"/>
          <w:kern w:val="2"/>
          <w:sz w:val="24"/>
          <w:szCs w:val="24"/>
        </w:rPr>
        <w:t>6.6 其它补充说明</w:t>
      </w:r>
      <w:r>
        <w:rPr>
          <w:rFonts w:hint="eastAsia" w:ascii="宋体" w:hAnsi="宋体" w:eastAsia="宋体" w:cs="宋体"/>
          <w:kern w:val="2"/>
          <w:sz w:val="24"/>
          <w:szCs w:val="24"/>
        </w:rPr>
        <w:tab/>
      </w:r>
      <w:r>
        <w:rPr>
          <w:rFonts w:hint="eastAsia" w:ascii="宋体" w:hAnsi="宋体" w:eastAsia="宋体" w:cs="宋体"/>
          <w:kern w:val="2"/>
          <w:sz w:val="24"/>
          <w:szCs w:val="24"/>
        </w:rPr>
        <w:fldChar w:fldCharType="begin"/>
      </w:r>
      <w:r>
        <w:rPr>
          <w:rFonts w:hint="eastAsia" w:ascii="宋体" w:hAnsi="宋体" w:eastAsia="宋体" w:cs="宋体"/>
          <w:kern w:val="2"/>
          <w:sz w:val="24"/>
          <w:szCs w:val="24"/>
        </w:rPr>
        <w:instrText xml:space="preserve"> PAGEREF _Toc10100 \h </w:instrText>
      </w:r>
      <w:r>
        <w:rPr>
          <w:rFonts w:hint="eastAsia" w:ascii="宋体" w:hAnsi="宋体" w:eastAsia="宋体" w:cs="宋体"/>
          <w:kern w:val="2"/>
          <w:sz w:val="24"/>
          <w:szCs w:val="24"/>
        </w:rPr>
        <w:fldChar w:fldCharType="separate"/>
      </w:r>
      <w:r>
        <w:rPr>
          <w:rFonts w:hint="eastAsia" w:ascii="宋体" w:hAnsi="宋体" w:eastAsia="宋体" w:cs="宋体"/>
          <w:kern w:val="2"/>
          <w:sz w:val="24"/>
          <w:szCs w:val="24"/>
        </w:rPr>
        <w:t>10</w:t>
      </w:r>
      <w:r>
        <w:rPr>
          <w:rFonts w:hint="eastAsia" w:ascii="宋体" w:hAnsi="宋体" w:eastAsia="宋体" w:cs="宋体"/>
          <w:kern w:val="2"/>
          <w:sz w:val="24"/>
          <w:szCs w:val="24"/>
        </w:rPr>
        <w:fldChar w:fldCharType="end"/>
      </w:r>
      <w:r>
        <w:rPr>
          <w:rFonts w:hint="eastAsia" w:ascii="宋体" w:hAnsi="宋体" w:eastAsia="宋体" w:cs="宋体"/>
          <w:kern w:val="2"/>
          <w:sz w:val="24"/>
          <w:szCs w:val="24"/>
        </w:rPr>
        <w:fldChar w:fldCharType="end"/>
      </w:r>
    </w:p>
    <w:p w14:paraId="62514298">
      <w:r>
        <w:rPr>
          <w:rFonts w:hint="eastAsia" w:ascii="宋体" w:hAnsi="宋体" w:eastAsia="宋体" w:cs="宋体"/>
          <w:kern w:val="2"/>
          <w:sz w:val="24"/>
          <w:szCs w:val="24"/>
        </w:rPr>
        <w:fldChar w:fldCharType="end"/>
      </w:r>
      <w:r>
        <w:br w:type="page"/>
      </w:r>
    </w:p>
    <w:p w14:paraId="1828B185">
      <w:pPr>
        <w:spacing w:line="480" w:lineRule="auto"/>
        <w:jc w:val="center"/>
        <w:outlineLvl w:val="0"/>
        <w:rPr>
          <w:rFonts w:hint="eastAsia" w:ascii="宋体" w:hAnsi="宋体" w:eastAsia="宋体"/>
          <w:b/>
          <w:kern w:val="2"/>
          <w:sz w:val="32"/>
          <w:szCs w:val="24"/>
        </w:rPr>
      </w:pPr>
      <w:bookmarkStart w:id="2" w:name="_Toc266713645"/>
      <w:bookmarkStart w:id="3" w:name="_Toc32374"/>
      <w:bookmarkStart w:id="4" w:name="_Toc19589"/>
      <w:bookmarkStart w:id="5" w:name="_Toc17586"/>
      <w:bookmarkStart w:id="6" w:name="_Toc9347"/>
      <w:r>
        <w:rPr>
          <w:rFonts w:hint="eastAsia" w:ascii="宋体" w:hAnsi="宋体" w:eastAsia="宋体"/>
          <w:b/>
          <w:kern w:val="2"/>
          <w:sz w:val="32"/>
          <w:szCs w:val="24"/>
        </w:rPr>
        <w:t>总 则</w:t>
      </w:r>
      <w:bookmarkEnd w:id="2"/>
      <w:bookmarkEnd w:id="3"/>
      <w:bookmarkEnd w:id="4"/>
      <w:bookmarkEnd w:id="5"/>
      <w:bookmarkEnd w:id="6"/>
    </w:p>
    <w:p w14:paraId="6C2F01F9">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4"/>
        </w:rPr>
        <w:t>本文件为该采购项目的技术招标文件。</w:t>
      </w:r>
    </w:p>
    <w:p w14:paraId="626B924F">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4"/>
        </w:rPr>
        <w:t>本文件所描述的各</w:t>
      </w:r>
      <w:r>
        <w:rPr>
          <w:rFonts w:hint="eastAsia" w:hAnsi="宋体" w:eastAsia="宋体"/>
          <w:bCs/>
          <w:kern w:val="2"/>
          <w:sz w:val="24"/>
          <w:szCs w:val="24"/>
        </w:rPr>
        <w:t>项技术要求</w:t>
      </w:r>
      <w:r>
        <w:rPr>
          <w:rFonts w:hint="eastAsia" w:ascii="宋体" w:hAnsi="宋体" w:eastAsia="宋体"/>
          <w:bCs/>
          <w:kern w:val="2"/>
          <w:sz w:val="24"/>
          <w:szCs w:val="24"/>
        </w:rPr>
        <w:t>仅供投标方编制投标文件之用。</w:t>
      </w:r>
    </w:p>
    <w:p w14:paraId="53D8CD6B">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4"/>
        </w:rPr>
        <w:t>本标书仅描述基本的技术需求，并未对一切技术细节做出规定，也未充分引述有关标准和技术条文，投标方应根据需求目标提供进一步具体的可满足要求的</w:t>
      </w:r>
      <w:r>
        <w:rPr>
          <w:rFonts w:hint="eastAsia" w:hAnsi="宋体" w:eastAsia="宋体"/>
          <w:bCs/>
          <w:kern w:val="2"/>
          <w:sz w:val="24"/>
          <w:szCs w:val="24"/>
        </w:rPr>
        <w:t>技术</w:t>
      </w:r>
      <w:r>
        <w:rPr>
          <w:rFonts w:hint="eastAsia" w:ascii="宋体" w:hAnsi="宋体" w:eastAsia="宋体"/>
          <w:bCs/>
          <w:kern w:val="2"/>
          <w:sz w:val="24"/>
          <w:szCs w:val="24"/>
        </w:rPr>
        <w:t>指标。</w:t>
      </w:r>
    </w:p>
    <w:p w14:paraId="3F4D7137">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4"/>
        </w:rPr>
        <w:t>投标技术文件要求文字精练、数据准确、表述及图示清晰明确，具有针对性。</w:t>
      </w:r>
    </w:p>
    <w:p w14:paraId="18FD21AD">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2"/>
        </w:rPr>
        <w:t>投标方在投标技术文件中应对本标书逐项予以说明和答复,应如实反映投标</w:t>
      </w:r>
      <w:r>
        <w:rPr>
          <w:rFonts w:hint="eastAsia" w:hAnsi="宋体" w:eastAsia="宋体"/>
          <w:bCs/>
          <w:kern w:val="2"/>
          <w:sz w:val="24"/>
          <w:szCs w:val="22"/>
        </w:rPr>
        <w:t>服务</w:t>
      </w:r>
      <w:r>
        <w:rPr>
          <w:rFonts w:hint="eastAsia" w:ascii="宋体" w:hAnsi="宋体" w:eastAsia="宋体"/>
          <w:bCs/>
          <w:kern w:val="2"/>
          <w:sz w:val="24"/>
          <w:szCs w:val="22"/>
        </w:rPr>
        <w:t>与本技术规范书的技术差异。如果投标方没有提出技术差异，而在执行合同的过程中，招标方发现投标方提供的</w:t>
      </w:r>
      <w:r>
        <w:rPr>
          <w:rFonts w:hint="eastAsia" w:hAnsi="宋体" w:eastAsia="宋体"/>
          <w:bCs/>
          <w:kern w:val="2"/>
          <w:sz w:val="24"/>
          <w:szCs w:val="22"/>
        </w:rPr>
        <w:t>服务</w:t>
      </w:r>
      <w:r>
        <w:rPr>
          <w:rFonts w:hint="eastAsia" w:ascii="宋体" w:hAnsi="宋体" w:eastAsia="宋体"/>
          <w:bCs/>
          <w:kern w:val="2"/>
          <w:sz w:val="24"/>
          <w:szCs w:val="22"/>
        </w:rPr>
        <w:t>与其投标技术文件的条文存在差异，招标方</w:t>
      </w:r>
      <w:r>
        <w:rPr>
          <w:rFonts w:hint="eastAsia" w:hAnsi="宋体" w:eastAsia="宋体"/>
          <w:bCs/>
          <w:kern w:val="2"/>
          <w:sz w:val="24"/>
          <w:szCs w:val="22"/>
        </w:rPr>
        <w:t>将</w:t>
      </w:r>
      <w:r>
        <w:rPr>
          <w:rFonts w:hint="eastAsia" w:ascii="宋体" w:hAnsi="宋体" w:eastAsia="宋体"/>
          <w:bCs/>
          <w:kern w:val="2"/>
          <w:sz w:val="24"/>
          <w:szCs w:val="22"/>
        </w:rPr>
        <w:t>追究投标方违约责任</w:t>
      </w:r>
      <w:r>
        <w:rPr>
          <w:rFonts w:hint="eastAsia" w:ascii="宋体" w:hAnsi="宋体" w:eastAsia="宋体"/>
          <w:bCs/>
          <w:kern w:val="2"/>
          <w:sz w:val="24"/>
          <w:szCs w:val="24"/>
        </w:rPr>
        <w:t>。</w:t>
      </w:r>
    </w:p>
    <w:p w14:paraId="4201A365">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2"/>
        </w:rPr>
        <w:t>投标方应在投标技术部分按本技术规范书的要求</w:t>
      </w:r>
      <w:r>
        <w:rPr>
          <w:rFonts w:hint="eastAsia" w:hAnsi="宋体" w:eastAsia="宋体"/>
          <w:bCs/>
          <w:kern w:val="2"/>
          <w:sz w:val="24"/>
          <w:szCs w:val="22"/>
        </w:rPr>
        <w:t>内容</w:t>
      </w:r>
      <w:r>
        <w:rPr>
          <w:rFonts w:hint="eastAsia" w:ascii="宋体" w:hAnsi="宋体" w:eastAsia="宋体"/>
          <w:bCs/>
          <w:kern w:val="2"/>
          <w:sz w:val="24"/>
          <w:szCs w:val="22"/>
        </w:rPr>
        <w:t>如实详细填写投标</w:t>
      </w:r>
      <w:r>
        <w:rPr>
          <w:rFonts w:hint="eastAsia" w:hAnsi="宋体" w:eastAsia="宋体"/>
          <w:bCs/>
          <w:kern w:val="2"/>
          <w:sz w:val="24"/>
          <w:szCs w:val="22"/>
        </w:rPr>
        <w:t>服务</w:t>
      </w:r>
      <w:r>
        <w:rPr>
          <w:rFonts w:hint="eastAsia" w:ascii="宋体" w:hAnsi="宋体" w:eastAsia="宋体"/>
          <w:bCs/>
          <w:kern w:val="2"/>
          <w:sz w:val="24"/>
          <w:szCs w:val="22"/>
        </w:rPr>
        <w:t>的</w:t>
      </w:r>
      <w:r>
        <w:rPr>
          <w:rFonts w:hint="eastAsia" w:hAnsi="宋体" w:eastAsia="宋体"/>
          <w:bCs/>
          <w:kern w:val="2"/>
          <w:sz w:val="24"/>
          <w:szCs w:val="22"/>
        </w:rPr>
        <w:t>范围及明细</w:t>
      </w:r>
      <w:r>
        <w:rPr>
          <w:rFonts w:hint="eastAsia" w:ascii="宋体" w:hAnsi="宋体" w:eastAsia="宋体"/>
          <w:bCs/>
          <w:kern w:val="2"/>
          <w:sz w:val="24"/>
          <w:szCs w:val="22"/>
        </w:rPr>
        <w:t>，并在投标商务部分</w:t>
      </w:r>
      <w:r>
        <w:rPr>
          <w:rFonts w:hint="eastAsia" w:hAnsi="宋体" w:eastAsia="宋体"/>
          <w:bCs/>
          <w:kern w:val="2"/>
          <w:sz w:val="24"/>
          <w:szCs w:val="22"/>
        </w:rPr>
        <w:t>（或报价部分）</w:t>
      </w:r>
      <w:r>
        <w:rPr>
          <w:rFonts w:hint="eastAsia" w:ascii="宋体" w:hAnsi="宋体" w:eastAsia="宋体"/>
          <w:bCs/>
          <w:kern w:val="2"/>
          <w:sz w:val="24"/>
          <w:szCs w:val="22"/>
        </w:rPr>
        <w:t>按</w:t>
      </w:r>
      <w:r>
        <w:rPr>
          <w:rFonts w:hint="eastAsia" w:hAnsi="宋体" w:eastAsia="宋体"/>
          <w:bCs/>
          <w:kern w:val="2"/>
          <w:sz w:val="24"/>
          <w:szCs w:val="22"/>
        </w:rPr>
        <w:t>此范围及明细</w:t>
      </w:r>
      <w:r>
        <w:rPr>
          <w:rFonts w:hint="eastAsia" w:ascii="宋体" w:hAnsi="宋体" w:eastAsia="宋体"/>
          <w:bCs/>
          <w:kern w:val="2"/>
          <w:sz w:val="24"/>
          <w:szCs w:val="22"/>
        </w:rPr>
        <w:t>进行</w:t>
      </w:r>
      <w:r>
        <w:rPr>
          <w:rFonts w:hint="eastAsia" w:hAnsi="宋体" w:eastAsia="宋体"/>
          <w:bCs/>
          <w:kern w:val="2"/>
          <w:sz w:val="24"/>
          <w:szCs w:val="22"/>
        </w:rPr>
        <w:t>分项</w:t>
      </w:r>
      <w:r>
        <w:rPr>
          <w:rFonts w:hint="eastAsia" w:ascii="宋体" w:hAnsi="宋体" w:eastAsia="宋体"/>
          <w:bCs/>
          <w:kern w:val="2"/>
          <w:sz w:val="24"/>
          <w:szCs w:val="22"/>
        </w:rPr>
        <w:t>报价，如发现</w:t>
      </w:r>
      <w:r>
        <w:rPr>
          <w:rFonts w:hint="eastAsia" w:hAnsi="宋体" w:eastAsia="宋体"/>
          <w:bCs/>
          <w:kern w:val="2"/>
          <w:sz w:val="24"/>
          <w:szCs w:val="22"/>
        </w:rPr>
        <w:t>总报价与分项报价</w:t>
      </w:r>
      <w:r>
        <w:rPr>
          <w:rFonts w:hint="eastAsia" w:ascii="宋体" w:hAnsi="宋体" w:eastAsia="宋体"/>
          <w:bCs/>
          <w:kern w:val="2"/>
          <w:sz w:val="24"/>
          <w:szCs w:val="22"/>
        </w:rPr>
        <w:t>有矛盾之处，将按有利于招标方的条款执行</w:t>
      </w:r>
      <w:r>
        <w:rPr>
          <w:rFonts w:hint="eastAsia" w:hAnsi="宋体" w:eastAsia="宋体"/>
          <w:bCs/>
          <w:kern w:val="2"/>
          <w:sz w:val="24"/>
          <w:szCs w:val="22"/>
        </w:rPr>
        <w:t>。</w:t>
      </w:r>
      <w:r>
        <w:rPr>
          <w:rFonts w:hint="eastAsia" w:ascii="宋体" w:hAnsi="宋体" w:eastAsia="宋体"/>
          <w:bCs/>
          <w:kern w:val="2"/>
          <w:sz w:val="24"/>
          <w:szCs w:val="22"/>
        </w:rPr>
        <w:t xml:space="preserve"> </w:t>
      </w:r>
    </w:p>
    <w:p w14:paraId="53E62059">
      <w:pPr>
        <w:numPr>
          <w:ilvl w:val="0"/>
          <w:numId w:val="1"/>
        </w:numPr>
        <w:spacing w:line="360" w:lineRule="auto"/>
        <w:rPr>
          <w:rFonts w:hint="eastAsia" w:ascii="宋体" w:hAnsi="宋体" w:eastAsia="宋体"/>
          <w:bCs/>
          <w:kern w:val="2"/>
          <w:sz w:val="24"/>
          <w:szCs w:val="22"/>
        </w:rPr>
      </w:pPr>
      <w:r>
        <w:rPr>
          <w:rFonts w:hint="eastAsia" w:ascii="宋体" w:hAnsi="宋体" w:eastAsia="宋体"/>
          <w:bCs/>
          <w:kern w:val="2"/>
          <w:sz w:val="24"/>
          <w:szCs w:val="22"/>
        </w:rPr>
        <w:t>投标方必须仔细阅读采购文件的全部条款，并作出明确响应。采购文件带“★”号的条款及要求，投标方必须满足，若有一项不满足将否决投标。</w:t>
      </w:r>
    </w:p>
    <w:p w14:paraId="3E73DB30">
      <w:pPr>
        <w:numPr>
          <w:ilvl w:val="0"/>
          <w:numId w:val="1"/>
        </w:numPr>
        <w:spacing w:line="360" w:lineRule="auto"/>
        <w:rPr>
          <w:rFonts w:hint="eastAsia" w:ascii="宋体" w:hAnsi="宋体" w:eastAsia="宋体"/>
          <w:bCs/>
          <w:kern w:val="2"/>
          <w:sz w:val="24"/>
          <w:szCs w:val="22"/>
        </w:rPr>
      </w:pPr>
      <w:r>
        <w:rPr>
          <w:rFonts w:hint="eastAsia" w:ascii="宋体" w:hAnsi="宋体" w:eastAsia="宋体"/>
          <w:bCs/>
          <w:kern w:val="2"/>
          <w:sz w:val="24"/>
          <w:szCs w:val="22"/>
        </w:rPr>
        <w:t>本技术规范书未尽事宜，由双方协商确定。</w:t>
      </w:r>
    </w:p>
    <w:p w14:paraId="7DAC86A4">
      <w:pPr>
        <w:numPr>
          <w:ilvl w:val="0"/>
          <w:numId w:val="1"/>
        </w:numPr>
        <w:spacing w:line="360" w:lineRule="auto"/>
        <w:rPr>
          <w:rFonts w:hint="eastAsia" w:ascii="宋体" w:hAnsi="宋体" w:eastAsia="宋体"/>
          <w:bCs/>
          <w:kern w:val="2"/>
          <w:sz w:val="24"/>
          <w:szCs w:val="24"/>
        </w:rPr>
      </w:pPr>
      <w:r>
        <w:rPr>
          <w:rFonts w:hint="eastAsia" w:ascii="宋体" w:hAnsi="宋体" w:eastAsia="宋体"/>
          <w:bCs/>
          <w:kern w:val="2"/>
          <w:sz w:val="24"/>
          <w:szCs w:val="24"/>
        </w:rPr>
        <w:t>本标书的最终解释权归招标方。</w:t>
      </w:r>
    </w:p>
    <w:p w14:paraId="07DFF38E">
      <w:r>
        <w:br w:type="page"/>
      </w:r>
    </w:p>
    <w:p w14:paraId="358F4638">
      <w:pPr>
        <w:pStyle w:val="4"/>
        <w:spacing w:before="240" w:after="120"/>
        <w:rPr>
          <w:color w:val="auto"/>
          <w:sz w:val="28"/>
          <w:szCs w:val="28"/>
        </w:rPr>
      </w:pPr>
      <w:r>
        <w:rPr>
          <w:rFonts w:ascii="黑体" w:hAnsi="黑体" w:eastAsia="黑体" w:cs="黑体"/>
          <w:b/>
          <w:bCs/>
          <w:color w:val="auto"/>
          <w:sz w:val="28"/>
          <w:szCs w:val="28"/>
        </w:rPr>
        <w:t>1  标的概况</w:t>
      </w:r>
    </w:p>
    <w:p w14:paraId="5485A350">
      <w:pPr>
        <w:spacing w:line="360" w:lineRule="auto"/>
        <w:rPr>
          <w:rFonts w:hint="eastAsia" w:ascii="宋体" w:hAnsi="宋体" w:eastAsia="宋体" w:cs="宋体"/>
          <w:color w:val="000000"/>
          <w:kern w:val="2"/>
          <w:sz w:val="24"/>
          <w:szCs w:val="24"/>
        </w:rPr>
      </w:pPr>
      <w:r>
        <w:rPr>
          <w:rFonts w:ascii="宋体" w:hAnsi="宋体" w:eastAsia="宋体" w:cs="宋体"/>
          <w:color w:val="000000"/>
          <w:kern w:val="2"/>
          <w:sz w:val="24"/>
          <w:szCs w:val="24"/>
        </w:rPr>
        <w:t>标的名称：</w:t>
      </w:r>
      <w:r>
        <w:rPr>
          <w:rFonts w:hint="eastAsia" w:ascii="宋体" w:hAnsi="宋体" w:eastAsia="宋体" w:cs="宋体"/>
          <w:color w:val="000000"/>
          <w:kern w:val="2"/>
          <w:sz w:val="24"/>
          <w:szCs w:val="24"/>
        </w:rPr>
        <w:t>标的2：定向钻施工地下电缆智能检测与风险预警研究（设备试制）</w:t>
      </w:r>
    </w:p>
    <w:p w14:paraId="25D1E363">
      <w:pPr>
        <w:spacing w:line="360" w:lineRule="auto"/>
        <w:rPr>
          <w:rFonts w:hint="eastAsia" w:ascii="宋体" w:hAnsi="宋体" w:eastAsia="宋体" w:cs="宋体"/>
          <w:color w:val="000000"/>
          <w:kern w:val="2"/>
          <w:sz w:val="24"/>
          <w:szCs w:val="24"/>
        </w:rPr>
      </w:pPr>
      <w:r>
        <w:rPr>
          <w:rFonts w:ascii="宋体" w:hAnsi="宋体" w:eastAsia="宋体" w:cs="宋体"/>
          <w:color w:val="000000"/>
          <w:kern w:val="2"/>
          <w:sz w:val="24"/>
          <w:szCs w:val="24"/>
        </w:rPr>
        <w:t>标包名称：</w:t>
      </w:r>
      <w:r>
        <w:rPr>
          <w:rFonts w:hint="eastAsia" w:ascii="宋体" w:hAnsi="宋体" w:eastAsia="宋体" w:cs="宋体"/>
          <w:color w:val="000000"/>
          <w:kern w:val="2"/>
          <w:sz w:val="24"/>
          <w:szCs w:val="24"/>
        </w:rPr>
        <w:t>标的2：定向钻施工地下电缆智能检测与风险预警研究（设备试制）</w:t>
      </w:r>
    </w:p>
    <w:p w14:paraId="4728DDFC">
      <w:pPr>
        <w:spacing w:line="360" w:lineRule="auto"/>
        <w:rPr>
          <w:rFonts w:hint="eastAsia" w:ascii="宋体" w:hAnsi="宋体" w:eastAsia="宋体" w:cs="宋体"/>
          <w:color w:val="000000"/>
          <w:kern w:val="2"/>
          <w:sz w:val="24"/>
          <w:szCs w:val="24"/>
        </w:rPr>
      </w:pPr>
      <w:r>
        <w:rPr>
          <w:rFonts w:ascii="宋体" w:hAnsi="宋体" w:eastAsia="宋体" w:cs="宋体"/>
          <w:color w:val="000000"/>
          <w:kern w:val="2"/>
          <w:sz w:val="24"/>
          <w:szCs w:val="24"/>
        </w:rPr>
        <w:t>概况：</w:t>
      </w:r>
      <w:r>
        <w:rPr>
          <w:rFonts w:hint="eastAsia" w:ascii="宋体" w:hAnsi="宋体" w:eastAsia="宋体" w:cs="宋体"/>
          <w:color w:val="000000"/>
          <w:kern w:val="2"/>
          <w:sz w:val="24"/>
          <w:szCs w:val="24"/>
        </w:rPr>
        <w:t>该标的</w:t>
      </w:r>
      <w:r>
        <w:rPr>
          <w:rFonts w:ascii="宋体" w:hAnsi="宋体" w:eastAsia="宋体" w:cs="宋体"/>
          <w:color w:val="000000"/>
          <w:kern w:val="2"/>
          <w:sz w:val="24"/>
          <w:szCs w:val="24"/>
        </w:rPr>
        <w:t>针对定向钻施工过程中地下电缆安全风险问题，</w:t>
      </w:r>
      <w:r>
        <w:rPr>
          <w:rFonts w:hint="eastAsia" w:ascii="宋体" w:hAnsi="宋体" w:eastAsia="宋体" w:cs="宋体"/>
          <w:color w:val="000000"/>
          <w:kern w:val="2"/>
          <w:sz w:val="24"/>
          <w:szCs w:val="24"/>
        </w:rPr>
        <w:t>开展</w:t>
      </w:r>
      <w:r>
        <w:rPr>
          <w:rFonts w:ascii="宋体" w:hAnsi="宋体" w:eastAsia="宋体" w:cs="宋体"/>
          <w:color w:val="000000"/>
          <w:kern w:val="2"/>
          <w:sz w:val="24"/>
          <w:szCs w:val="24"/>
        </w:rPr>
        <w:t>适用于定向钻施工的地下高压电缆智能检测与预警</w:t>
      </w:r>
      <w:r>
        <w:rPr>
          <w:rFonts w:hint="eastAsia" w:ascii="宋体" w:hAnsi="宋体" w:eastAsia="宋体" w:cs="宋体"/>
          <w:color w:val="000000"/>
          <w:kern w:val="2"/>
          <w:sz w:val="24"/>
          <w:szCs w:val="24"/>
        </w:rPr>
        <w:t>样机研制</w:t>
      </w:r>
      <w:r>
        <w:rPr>
          <w:rFonts w:ascii="宋体" w:hAnsi="宋体" w:eastAsia="宋体" w:cs="宋体"/>
          <w:color w:val="000000"/>
          <w:kern w:val="2"/>
          <w:sz w:val="24"/>
          <w:szCs w:val="24"/>
        </w:rPr>
        <w:t>。该装置需在旋转强振动工况下实现地下电缆的高精度、高可靠性实时检测，精准获取电缆空间几何参数（位置、方向），检测精度达到位置误差≤0.4m、姿态角误差≤5°，支持≥4根电缆的同时检测，实现带电电缆1-5米、停电电缆0.5-2米范围内的动态预警。</w:t>
      </w:r>
    </w:p>
    <w:p w14:paraId="1E6CE644">
      <w:pPr>
        <w:pStyle w:val="4"/>
        <w:spacing w:before="240" w:after="120"/>
        <w:rPr>
          <w:rFonts w:hint="eastAsia" w:ascii="黑体" w:hAnsi="黑体" w:eastAsia="黑体" w:cs="黑体"/>
          <w:b/>
          <w:bCs/>
          <w:color w:val="auto"/>
          <w:sz w:val="28"/>
          <w:szCs w:val="28"/>
        </w:rPr>
      </w:pPr>
      <w:r>
        <w:rPr>
          <w:rFonts w:ascii="黑体" w:hAnsi="黑体" w:eastAsia="黑体" w:cs="黑体"/>
          <w:b/>
          <w:bCs/>
          <w:color w:val="auto"/>
          <w:sz w:val="28"/>
          <w:szCs w:val="28"/>
        </w:rPr>
        <w:t>2  研究内容及目的</w:t>
      </w:r>
    </w:p>
    <w:p w14:paraId="52CA8057">
      <w:pPr>
        <w:spacing w:line="360" w:lineRule="auto"/>
        <w:outlineLvl w:val="1"/>
        <w:rPr>
          <w:rFonts w:hint="eastAsia" w:ascii="黑体" w:hAnsi="黑体" w:eastAsia="黑体" w:cs="黑体"/>
          <w:bCs/>
          <w:kern w:val="2"/>
          <w:sz w:val="24"/>
          <w:szCs w:val="24"/>
        </w:rPr>
      </w:pPr>
      <w:r>
        <w:rPr>
          <w:rFonts w:ascii="黑体" w:hAnsi="黑体" w:eastAsia="黑体" w:cs="黑体"/>
          <w:bCs/>
          <w:kern w:val="2"/>
          <w:sz w:val="24"/>
          <w:szCs w:val="24"/>
        </w:rPr>
        <w:t>2.1 研究内容</w:t>
      </w:r>
    </w:p>
    <w:p w14:paraId="3D0B08FE">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1）随钻电缆检测装置硬件开发与集成：核心传感器选型与定制（三轴磁场传感器、姿态测量单元、位移编码器）；信号调理电路设计；数据采集与处理单元开发（MCU与FPGA）；硬件集成设计（传感器阵列布局、密封防护结构、减振缓冲装置）；供电与传输系统搭建（滑环有线供电+电池备用）；系统功能软件开发。</w:t>
      </w:r>
    </w:p>
    <w:p w14:paraId="6B64D6E8">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w:t>
      </w:r>
      <w:r>
        <w:rPr>
          <w:rFonts w:hint="eastAsia" w:ascii="宋体" w:hAnsi="宋体" w:eastAsia="宋体" w:cs="宋体"/>
          <w:color w:val="000000"/>
          <w:kern w:val="2"/>
          <w:sz w:val="24"/>
          <w:szCs w:val="24"/>
        </w:rPr>
        <w:t>2</w:t>
      </w:r>
      <w:r>
        <w:rPr>
          <w:rFonts w:ascii="宋体" w:hAnsi="宋体" w:eastAsia="宋体" w:cs="宋体"/>
          <w:color w:val="000000"/>
          <w:kern w:val="2"/>
          <w:sz w:val="24"/>
          <w:szCs w:val="24"/>
        </w:rPr>
        <w:t>）嵌入式软件与采集软件设计：搭建多通道同步采集架构，实现磁场、姿态、位移数据的高速同步采集与缓存；开发数据滤波、计算、可视化、实时报警功能软件。</w:t>
      </w:r>
    </w:p>
    <w:p w14:paraId="16956BEF">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w:t>
      </w:r>
      <w:r>
        <w:rPr>
          <w:rFonts w:hint="eastAsia" w:ascii="宋体" w:hAnsi="宋体" w:eastAsia="宋体" w:cs="宋体"/>
          <w:color w:val="000000"/>
          <w:kern w:val="2"/>
          <w:sz w:val="24"/>
          <w:szCs w:val="24"/>
        </w:rPr>
        <w:t>3</w:t>
      </w:r>
      <w:r>
        <w:rPr>
          <w:rFonts w:ascii="宋体" w:hAnsi="宋体" w:eastAsia="宋体" w:cs="宋体"/>
          <w:color w:val="000000"/>
          <w:kern w:val="2"/>
          <w:sz w:val="24"/>
          <w:szCs w:val="24"/>
        </w:rPr>
        <w:t>）联合调试与可视化软件系统优化：检测装置采集模块联合调试；可视化软件系统优化；整体系统性能调优。</w:t>
      </w:r>
    </w:p>
    <w:p w14:paraId="7D5A67CB">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w:t>
      </w:r>
      <w:r>
        <w:rPr>
          <w:rFonts w:hint="eastAsia" w:ascii="宋体" w:hAnsi="宋体" w:eastAsia="宋体" w:cs="宋体"/>
          <w:color w:val="000000"/>
          <w:kern w:val="2"/>
          <w:sz w:val="24"/>
          <w:szCs w:val="24"/>
        </w:rPr>
        <w:t>4</w:t>
      </w:r>
      <w:r>
        <w:rPr>
          <w:rFonts w:ascii="宋体" w:hAnsi="宋体" w:eastAsia="宋体" w:cs="宋体"/>
          <w:color w:val="000000"/>
          <w:kern w:val="2"/>
          <w:sz w:val="24"/>
          <w:szCs w:val="24"/>
        </w:rPr>
        <w:t>）系统测试与验证：开展实验室静态测试、动态测试和现场测试，验证检测装置性能，根据测试结果优化算法和硬件参数，确保检测装置达到设计指标。</w:t>
      </w:r>
    </w:p>
    <w:p w14:paraId="6D102EEB">
      <w:pPr>
        <w:pStyle w:val="5"/>
        <w:spacing w:before="240" w:after="120"/>
        <w:rPr>
          <w:rFonts w:hint="eastAsia" w:ascii="黑体" w:hAnsi="黑体" w:eastAsia="黑体" w:cs="黑体"/>
          <w:bCs/>
          <w:color w:val="auto"/>
          <w:kern w:val="2"/>
          <w:sz w:val="24"/>
          <w:szCs w:val="24"/>
        </w:rPr>
      </w:pPr>
      <w:r>
        <w:rPr>
          <w:rFonts w:ascii="黑体" w:hAnsi="黑体" w:eastAsia="黑体" w:cs="黑体"/>
          <w:bCs/>
          <w:color w:val="auto"/>
          <w:kern w:val="2"/>
          <w:sz w:val="24"/>
          <w:szCs w:val="24"/>
        </w:rPr>
        <w:t>2.2 研究目的</w:t>
      </w:r>
    </w:p>
    <w:p w14:paraId="20E4E003">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研制</w:t>
      </w:r>
      <w:r>
        <w:rPr>
          <w:rFonts w:ascii="宋体" w:hAnsi="宋体" w:eastAsia="宋体" w:cs="宋体"/>
          <w:color w:val="000000"/>
          <w:kern w:val="2"/>
          <w:sz w:val="24"/>
          <w:szCs w:val="24"/>
        </w:rPr>
        <w:t>一套完整的随钻电缆检测与预警装置，实现地下电缆高精度、高可靠性实时检测，获取电缆空间几何参数，为电力电缆施工、运维及防灾减灾提供技术支撑。</w:t>
      </w:r>
    </w:p>
    <w:p w14:paraId="1001D68E">
      <w:pPr>
        <w:pStyle w:val="4"/>
        <w:spacing w:before="240" w:after="120"/>
        <w:rPr>
          <w:rFonts w:hint="eastAsia" w:ascii="黑体" w:hAnsi="黑体" w:eastAsia="黑体" w:cs="黑体"/>
          <w:b/>
          <w:bCs/>
          <w:color w:val="auto"/>
          <w:sz w:val="28"/>
          <w:szCs w:val="28"/>
        </w:rPr>
      </w:pPr>
      <w:r>
        <w:rPr>
          <w:rFonts w:ascii="黑体" w:hAnsi="黑体" w:eastAsia="黑体" w:cs="黑体"/>
          <w:b/>
          <w:bCs/>
          <w:color w:val="auto"/>
          <w:sz w:val="28"/>
          <w:szCs w:val="28"/>
        </w:rPr>
        <w:t>3  主要技术指标要求</w:t>
      </w:r>
    </w:p>
    <w:p w14:paraId="19A23AC5">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（1）探测与预警范围：装置对带电电缆可实现动态预警的距离范围为1-5米，对停电电缆为0.5-2米；预警范围带电电缆3米、停电电缆1米。</w:t>
      </w:r>
    </w:p>
    <w:p w14:paraId="7FB55574">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（2）报警响应时间：从满足预警条件至检测装置发出报警的时间≤0.5秒。</w:t>
      </w:r>
    </w:p>
    <w:p w14:paraId="6A9C44B0">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（3）深度定位精度：装置对电缆深度方向的定位误差≤±40厘米。</w:t>
      </w:r>
    </w:p>
    <w:p w14:paraId="08041664">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（4）抗电磁干扰能力：检测装置可稳定工作的最低抗电磁干扰射频强度为30V/m。</w:t>
      </w:r>
    </w:p>
    <w:p w14:paraId="1FDBB6DF">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（5）同时检测电缆数量：支持≥4根电缆的同时检测。</w:t>
      </w:r>
    </w:p>
    <w:p w14:paraId="4B0359DC">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（6）姿态角误差：电缆姿态角检测误差≤5°。</w:t>
      </w:r>
    </w:p>
    <w:p w14:paraId="5A9B2663">
      <w:pPr>
        <w:spacing w:line="360" w:lineRule="auto"/>
        <w:ind w:firstLine="480" w:firstLineChars="200"/>
        <w:rPr>
          <w:rFonts w:hint="eastAsia" w:ascii="宋体" w:hAnsi="宋体" w:eastAsia="宋体" w:cs="宋体"/>
          <w:color w:val="000000"/>
          <w:kern w:val="2"/>
          <w:sz w:val="24"/>
          <w:szCs w:val="24"/>
        </w:rPr>
      </w:pPr>
      <w:r>
        <w:rPr>
          <w:rFonts w:ascii="宋体" w:hAnsi="宋体" w:eastAsia="宋体" w:cs="宋体"/>
          <w:color w:val="000000"/>
          <w:kern w:val="2"/>
          <w:sz w:val="24"/>
          <w:szCs w:val="24"/>
        </w:rPr>
        <w:t>（7）位置误差：电缆位置检测误差≤0.4m。</w:t>
      </w:r>
    </w:p>
    <w:p w14:paraId="1860E187">
      <w:pPr>
        <w:pStyle w:val="4"/>
        <w:spacing w:before="240" w:after="120"/>
        <w:rPr>
          <w:rFonts w:hint="eastAsia" w:ascii="黑体" w:hAnsi="黑体" w:eastAsia="黑体" w:cs="黑体"/>
          <w:b/>
          <w:bCs/>
          <w:color w:val="auto"/>
          <w:sz w:val="28"/>
          <w:szCs w:val="28"/>
        </w:rPr>
      </w:pPr>
      <w:r>
        <w:rPr>
          <w:rFonts w:ascii="黑体" w:hAnsi="黑体" w:eastAsia="黑体" w:cs="黑体"/>
          <w:b/>
          <w:bCs/>
          <w:color w:val="auto"/>
          <w:sz w:val="28"/>
          <w:szCs w:val="28"/>
        </w:rPr>
        <w:t>4  时间进度要求</w:t>
      </w:r>
    </w:p>
    <w:tbl>
      <w:tblPr>
        <w:tblStyle w:val="15"/>
        <w:tblW w:w="8391" w:type="dxa"/>
        <w:tblInd w:w="0"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62"/>
        <w:gridCol w:w="7629"/>
      </w:tblGrid>
      <w:tr w14:paraId="5078DF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8391" w:type="dxa"/>
            <w:gridSpan w:val="2"/>
            <w:tcBorders>
              <w:tl2br w:val="nil"/>
              <w:tr2bl w:val="nil"/>
            </w:tcBorders>
            <w:vAlign w:val="center"/>
          </w:tcPr>
          <w:p w14:paraId="2BA76921">
            <w:pPr>
              <w:adjustRightInd w:val="0"/>
              <w:snapToGrid w:val="0"/>
              <w:jc w:val="center"/>
              <w:textAlignment w:val="center"/>
              <w:rPr>
                <w:rFonts w:hint="eastAsia" w:ascii="宋体" w:hAnsi="宋体" w:eastAsia="宋体" w:cs="宋体"/>
                <w:bCs/>
                <w:color w:val="000000"/>
                <w:sz w:val="22"/>
                <w:szCs w:val="24"/>
              </w:rPr>
            </w:pPr>
            <w:r>
              <w:rPr>
                <w:rFonts w:hint="eastAsia" w:ascii="宋体" w:hAnsi="宋体"/>
                <w:b/>
                <w:color w:val="000000"/>
                <w:sz w:val="21"/>
              </w:rPr>
              <w:t>进度计划</w:t>
            </w:r>
          </w:p>
        </w:tc>
      </w:tr>
      <w:tr w14:paraId="3CCC16D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557" w:hRule="atLeast"/>
        </w:trPr>
        <w:tc>
          <w:tcPr>
            <w:tcW w:w="762" w:type="dxa"/>
            <w:tcBorders>
              <w:tl2br w:val="nil"/>
              <w:tr2bl w:val="nil"/>
            </w:tcBorders>
            <w:vAlign w:val="center"/>
          </w:tcPr>
          <w:p w14:paraId="4826A46F">
            <w:pPr>
              <w:adjustRightInd w:val="0"/>
              <w:snapToGrid w:val="0"/>
              <w:jc w:val="center"/>
              <w:textAlignment w:val="center"/>
              <w:rPr>
                <w:rFonts w:hint="eastAsia" w:ascii="宋体" w:hAnsi="宋体"/>
                <w:b/>
                <w:color w:val="000000"/>
                <w:sz w:val="22"/>
              </w:rPr>
            </w:pPr>
            <w:r>
              <w:rPr>
                <w:rFonts w:hint="eastAsia" w:ascii="宋体" w:hAnsi="宋体"/>
                <w:b/>
                <w:color w:val="000000"/>
                <w:sz w:val="22"/>
              </w:rPr>
              <w:t>4.1</w:t>
            </w:r>
          </w:p>
        </w:tc>
        <w:tc>
          <w:tcPr>
            <w:tcW w:w="7629" w:type="dxa"/>
            <w:tcBorders>
              <w:tl2br w:val="nil"/>
              <w:tr2bl w:val="nil"/>
            </w:tcBorders>
            <w:vAlign w:val="center"/>
          </w:tcPr>
          <w:p w14:paraId="109758FE">
            <w:pPr>
              <w:adjustRightInd w:val="0"/>
              <w:snapToGrid w:val="0"/>
              <w:textAlignment w:val="center"/>
              <w:rPr>
                <w:rFonts w:hint="eastAsia" w:ascii="宋体" w:hAnsi="宋体"/>
                <w:b/>
                <w:color w:val="000000"/>
                <w:szCs w:val="21"/>
              </w:rPr>
            </w:pPr>
            <w:r>
              <w:rPr>
                <w:rFonts w:hint="eastAsia" w:ascii="宋体" w:hAnsi="宋体"/>
                <w:b/>
                <w:color w:val="000000"/>
                <w:szCs w:val="21"/>
              </w:rPr>
              <w:t>[</w:t>
            </w:r>
            <w:bookmarkStart w:id="19" w:name="_GoBack"/>
            <w:r>
              <w:rPr>
                <w:rFonts w:hint="eastAsia" w:ascii="宋体" w:hAnsi="宋体"/>
                <w:b/>
                <w:color w:val="000000"/>
                <w:szCs w:val="21"/>
              </w:rPr>
              <w:t>自合同签订日起 -</w:t>
            </w:r>
            <w:bookmarkEnd w:id="19"/>
            <w:r>
              <w:rPr>
                <w:rFonts w:ascii="宋体" w:hAnsi="宋体"/>
                <w:b/>
                <w:color w:val="000000"/>
                <w:szCs w:val="21"/>
              </w:rPr>
              <w:t xml:space="preserve"> </w:t>
            </w:r>
            <w:r>
              <w:rPr>
                <w:rFonts w:hint="eastAsia" w:ascii="宋体" w:hAnsi="宋体"/>
                <w:b/>
                <w:color w:val="000000"/>
                <w:szCs w:val="21"/>
              </w:rPr>
              <w:t>2026年12月31日]</w:t>
            </w:r>
          </w:p>
          <w:p w14:paraId="119AECA3">
            <w:pPr>
              <w:adjustRightInd w:val="0"/>
              <w:snapToGrid w:val="0"/>
              <w:jc w:val="left"/>
              <w:textAlignment w:val="center"/>
              <w:rPr>
                <w:rFonts w:hint="eastAsia" w:ascii="宋体" w:hAnsi="宋体" w:eastAsia="宋体"/>
                <w:b/>
                <w:color w:val="000000"/>
                <w:kern w:val="2"/>
                <w:sz w:val="21"/>
                <w:szCs w:val="21"/>
              </w:rPr>
            </w:pPr>
            <w:r>
              <w:rPr>
                <w:rFonts w:hint="eastAsia" w:ascii="宋体" w:hAnsi="宋体" w:eastAsia="宋体"/>
                <w:b/>
                <w:color w:val="000000"/>
                <w:kern w:val="2"/>
                <w:sz w:val="21"/>
                <w:szCs w:val="21"/>
              </w:rPr>
              <w:t>主要内容：</w:t>
            </w:r>
          </w:p>
          <w:p w14:paraId="52F40D2D">
            <w:pPr>
              <w:tabs>
                <w:tab w:val="left" w:pos="537"/>
                <w:tab w:val="left" w:pos="763"/>
              </w:tabs>
              <w:adjustRightInd w:val="0"/>
              <w:snapToGrid w:val="0"/>
              <w:ind w:firstLine="420" w:firstLineChars="200"/>
              <w:jc w:val="left"/>
              <w:textAlignment w:val="center"/>
              <w:rPr>
                <w:rFonts w:hint="eastAsia" w:ascii="宋体" w:hAnsi="宋体" w:eastAsia="宋体"/>
                <w:color w:val="000000"/>
                <w:kern w:val="2"/>
                <w:sz w:val="21"/>
                <w:szCs w:val="21"/>
              </w:rPr>
            </w:pPr>
            <w:r>
              <w:rPr>
                <w:rFonts w:hint="eastAsia" w:ascii="宋体" w:hAnsi="宋体" w:eastAsia="宋体"/>
                <w:color w:val="000000"/>
                <w:kern w:val="2"/>
                <w:sz w:val="21"/>
                <w:szCs w:val="21"/>
              </w:rPr>
              <w:t>随钻电缆检测与预警装置整体方案设计，设计包含传感器、信号采集、信号源、数据处理、显示控制的系统架构，确定传感器布局、采集参数、硬件选型要求，为后续硬件开发和算法设计确定框架。</w:t>
            </w:r>
          </w:p>
          <w:p w14:paraId="02DA5E8A">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交付物：</w:t>
            </w:r>
          </w:p>
          <w:p w14:paraId="52ED4D48">
            <w:pPr>
              <w:pStyle w:val="23"/>
              <w:numPr>
                <w:ilvl w:val="0"/>
                <w:numId w:val="2"/>
              </w:numPr>
              <w:tabs>
                <w:tab w:val="left" w:pos="537"/>
              </w:tabs>
              <w:adjustRightInd w:val="0"/>
              <w:snapToGrid w:val="0"/>
              <w:textAlignment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项目整体技术方案；</w:t>
            </w:r>
          </w:p>
        </w:tc>
      </w:tr>
      <w:tr w14:paraId="51A545E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962" w:hRule="atLeast"/>
        </w:trPr>
        <w:tc>
          <w:tcPr>
            <w:tcW w:w="762" w:type="dxa"/>
            <w:tcBorders>
              <w:tl2br w:val="nil"/>
              <w:tr2bl w:val="nil"/>
            </w:tcBorders>
            <w:vAlign w:val="center"/>
          </w:tcPr>
          <w:p w14:paraId="7C955660">
            <w:pPr>
              <w:adjustRightInd w:val="0"/>
              <w:snapToGrid w:val="0"/>
              <w:jc w:val="center"/>
              <w:textAlignment w:val="center"/>
              <w:rPr>
                <w:rFonts w:hint="eastAsia" w:ascii="宋体" w:hAnsi="宋体"/>
                <w:b/>
                <w:color w:val="000000"/>
                <w:sz w:val="22"/>
              </w:rPr>
            </w:pPr>
            <w:r>
              <w:rPr>
                <w:rFonts w:hint="eastAsia" w:ascii="宋体" w:hAnsi="宋体"/>
                <w:b/>
                <w:color w:val="000000"/>
                <w:sz w:val="22"/>
              </w:rPr>
              <w:t>4.2</w:t>
            </w:r>
          </w:p>
        </w:tc>
        <w:tc>
          <w:tcPr>
            <w:tcW w:w="7629" w:type="dxa"/>
            <w:tcBorders>
              <w:tl2br w:val="nil"/>
              <w:tr2bl w:val="nil"/>
            </w:tcBorders>
            <w:vAlign w:val="center"/>
          </w:tcPr>
          <w:p w14:paraId="46DB611F">
            <w:pPr>
              <w:adjustRightInd w:val="0"/>
              <w:snapToGrid w:val="0"/>
              <w:textAlignment w:val="center"/>
              <w:rPr>
                <w:rFonts w:hint="eastAsia" w:ascii="宋体" w:hAnsi="宋体"/>
                <w:b/>
                <w:color w:val="000000"/>
                <w:szCs w:val="21"/>
              </w:rPr>
            </w:pPr>
            <w:r>
              <w:rPr>
                <w:rFonts w:hint="eastAsia" w:ascii="宋体" w:hAnsi="宋体"/>
                <w:b/>
                <w:color w:val="000000"/>
                <w:szCs w:val="21"/>
              </w:rPr>
              <w:t>[2027年3月1日 - 2027年11月30日]</w:t>
            </w:r>
          </w:p>
          <w:p w14:paraId="6929BC06">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主要内容：</w:t>
            </w:r>
          </w:p>
          <w:p w14:paraId="40EE9376">
            <w:pPr>
              <w:tabs>
                <w:tab w:val="left" w:pos="537"/>
                <w:tab w:val="left" w:pos="763"/>
              </w:tabs>
              <w:adjustRightInd w:val="0"/>
              <w:snapToGrid w:val="0"/>
              <w:ind w:firstLine="420" w:firstLineChars="200"/>
              <w:jc w:val="left"/>
              <w:textAlignment w:val="center"/>
              <w:rPr>
                <w:rFonts w:hint="eastAsia" w:ascii="宋体" w:hAnsi="宋体" w:eastAsia="宋体"/>
                <w:color w:val="000000"/>
                <w:kern w:val="2"/>
                <w:sz w:val="21"/>
                <w:szCs w:val="21"/>
              </w:rPr>
            </w:pPr>
            <w:r>
              <w:rPr>
                <w:rFonts w:hint="eastAsia" w:ascii="宋体" w:hAnsi="宋体" w:eastAsia="宋体"/>
                <w:color w:val="000000"/>
                <w:kern w:val="2"/>
                <w:sz w:val="21"/>
                <w:szCs w:val="21"/>
              </w:rPr>
              <w:t>完成随钻电缆检测装置的硬件选型、定制开发与集成部署，打造结构紧凑、抗振动、密封防护性强的硬件平台，实现磁场信号、姿态数据、位移信息的同步采集与稳定传输，满足钻杆井下工况下的安装与工作要求，为后续处理提供硬件支撑。</w:t>
            </w:r>
          </w:p>
          <w:p w14:paraId="0859FB13">
            <w:pPr>
              <w:adjustRightInd w:val="0"/>
              <w:snapToGrid w:val="0"/>
              <w:jc w:val="left"/>
              <w:textAlignment w:val="center"/>
              <w:rPr>
                <w:rFonts w:hint="eastAsia" w:ascii="宋体" w:hAnsi="宋体"/>
                <w:b/>
                <w:color w:val="000000"/>
                <w:kern w:val="2"/>
                <w:sz w:val="21"/>
              </w:rPr>
            </w:pPr>
            <w:bookmarkStart w:id="7" w:name="OLE_LINK7"/>
            <w:r>
              <w:rPr>
                <w:rFonts w:hint="eastAsia" w:ascii="宋体" w:hAnsi="宋体"/>
                <w:b/>
                <w:color w:val="000000"/>
                <w:kern w:val="2"/>
                <w:sz w:val="21"/>
              </w:rPr>
              <w:t>交付物：</w:t>
            </w:r>
          </w:p>
          <w:bookmarkEnd w:id="7"/>
          <w:p w14:paraId="14835E90">
            <w:pPr>
              <w:tabs>
                <w:tab w:val="left" w:pos="537"/>
              </w:tabs>
              <w:adjustRightInd w:val="0"/>
              <w:snapToGrid w:val="0"/>
              <w:textAlignment w:val="center"/>
              <w:rPr>
                <w:rFonts w:hint="eastAsia" w:ascii="宋体" w:hAnsi="宋体" w:eastAsia="宋体"/>
                <w:color w:val="000000"/>
                <w:kern w:val="2"/>
                <w:sz w:val="21"/>
                <w:szCs w:val="21"/>
              </w:rPr>
            </w:pPr>
            <w:r>
              <w:rPr>
                <w:rFonts w:hint="eastAsia" w:ascii="宋体" w:hAnsi="宋体" w:eastAsia="宋体"/>
                <w:color w:val="000000"/>
                <w:kern w:val="2"/>
                <w:sz w:val="21"/>
                <w:szCs w:val="21"/>
              </w:rPr>
              <w:t>（1）乙方根据甲方需求，协助提供1件项目相关发明专利选题、文献检索、论证方法、数据分析、文本修改的指导服务，直至发明专利受理。申请发明专利1项。</w:t>
            </w:r>
          </w:p>
          <w:p w14:paraId="6A6A267A">
            <w:pPr>
              <w:tabs>
                <w:tab w:val="left" w:pos="537"/>
                <w:tab w:val="left" w:pos="763"/>
              </w:tabs>
              <w:adjustRightInd w:val="0"/>
              <w:snapToGrid w:val="0"/>
              <w:jc w:val="left"/>
              <w:textAlignment w:val="center"/>
              <w:rPr>
                <w:rFonts w:hint="eastAsia" w:ascii="宋体" w:hAnsi="宋体" w:eastAsia="宋体" w:cs="宋体"/>
                <w:bCs/>
                <w:color w:val="000000"/>
                <w:sz w:val="22"/>
                <w:szCs w:val="24"/>
              </w:rPr>
            </w:pPr>
            <w:r>
              <w:rPr>
                <w:rFonts w:hint="eastAsia" w:ascii="宋体" w:hAnsi="宋体" w:eastAsia="宋体"/>
                <w:color w:val="000000"/>
                <w:kern w:val="2"/>
                <w:sz w:val="21"/>
                <w:szCs w:val="21"/>
              </w:rPr>
              <w:t>（2）</w:t>
            </w:r>
            <w:r>
              <w:rPr>
                <w:rFonts w:ascii="宋体" w:hAnsi="宋体" w:eastAsia="宋体"/>
                <w:color w:val="000000"/>
                <w:kern w:val="2"/>
                <w:sz w:val="21"/>
                <w:szCs w:val="21"/>
              </w:rPr>
              <w:t>乙方根据甲方需求，协助提供</w:t>
            </w:r>
            <w:r>
              <w:rPr>
                <w:rFonts w:hint="eastAsia" w:ascii="宋体" w:hAnsi="宋体" w:eastAsia="宋体"/>
                <w:color w:val="000000"/>
                <w:kern w:val="2"/>
                <w:sz w:val="21"/>
                <w:szCs w:val="21"/>
              </w:rPr>
              <w:t>1</w:t>
            </w:r>
            <w:r>
              <w:rPr>
                <w:rFonts w:ascii="宋体" w:hAnsi="宋体" w:eastAsia="宋体"/>
                <w:color w:val="000000"/>
                <w:kern w:val="2"/>
                <w:sz w:val="21"/>
                <w:szCs w:val="21"/>
              </w:rPr>
              <w:t>篇项目相关论文的论证方法、数据分析、文本修改的指导服务，直至论文录用或发表。</w:t>
            </w:r>
          </w:p>
        </w:tc>
      </w:tr>
      <w:tr w14:paraId="76099066">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391" w:hRule="atLeast"/>
        </w:trPr>
        <w:tc>
          <w:tcPr>
            <w:tcW w:w="762" w:type="dxa"/>
            <w:tcBorders>
              <w:tl2br w:val="nil"/>
              <w:tr2bl w:val="nil"/>
            </w:tcBorders>
            <w:vAlign w:val="center"/>
          </w:tcPr>
          <w:p w14:paraId="4C76F6A5">
            <w:pPr>
              <w:adjustRightInd w:val="0"/>
              <w:snapToGrid w:val="0"/>
              <w:jc w:val="center"/>
              <w:textAlignment w:val="center"/>
              <w:rPr>
                <w:rFonts w:hint="eastAsia" w:ascii="宋体" w:hAnsi="宋体"/>
                <w:b/>
                <w:color w:val="000000"/>
                <w:sz w:val="22"/>
              </w:rPr>
            </w:pPr>
            <w:r>
              <w:rPr>
                <w:rFonts w:hint="eastAsia" w:ascii="宋体" w:hAnsi="宋体"/>
                <w:b/>
                <w:color w:val="000000"/>
                <w:sz w:val="22"/>
              </w:rPr>
              <w:t>4.3</w:t>
            </w:r>
          </w:p>
        </w:tc>
        <w:tc>
          <w:tcPr>
            <w:tcW w:w="7629" w:type="dxa"/>
            <w:tcBorders>
              <w:tl2br w:val="nil"/>
              <w:tr2bl w:val="nil"/>
            </w:tcBorders>
            <w:vAlign w:val="center"/>
          </w:tcPr>
          <w:p w14:paraId="3A55C96B">
            <w:pPr>
              <w:tabs>
                <w:tab w:val="left" w:pos="537"/>
                <w:tab w:val="left" w:pos="763"/>
              </w:tabs>
              <w:adjustRightInd w:val="0"/>
              <w:snapToGrid w:val="0"/>
              <w:jc w:val="left"/>
              <w:textAlignment w:val="center"/>
              <w:rPr>
                <w:rFonts w:hint="eastAsia" w:ascii="宋体" w:hAnsi="宋体"/>
                <w:b/>
                <w:color w:val="000000"/>
                <w:szCs w:val="21"/>
              </w:rPr>
            </w:pPr>
            <w:bookmarkStart w:id="8" w:name="OLE_LINK8"/>
            <w:r>
              <w:rPr>
                <w:rFonts w:hint="eastAsia" w:ascii="宋体" w:hAnsi="宋体"/>
                <w:b/>
                <w:color w:val="000000"/>
                <w:szCs w:val="21"/>
              </w:rPr>
              <w:t>[2027年7月1日 - 2027年7月30日]</w:t>
            </w:r>
          </w:p>
          <w:p w14:paraId="08729062">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主要内容：</w:t>
            </w:r>
          </w:p>
          <w:p w14:paraId="75902064">
            <w:pPr>
              <w:tabs>
                <w:tab w:val="left" w:pos="537"/>
                <w:tab w:val="left" w:pos="763"/>
              </w:tabs>
              <w:adjustRightInd w:val="0"/>
              <w:snapToGrid w:val="0"/>
              <w:ind w:firstLine="420" w:firstLineChars="200"/>
              <w:jc w:val="left"/>
              <w:textAlignment w:val="center"/>
              <w:rPr>
                <w:rFonts w:hint="eastAsia" w:ascii="宋体" w:hAnsi="宋体" w:eastAsia="宋体"/>
                <w:sz w:val="21"/>
                <w:szCs w:val="21"/>
              </w:rPr>
            </w:pPr>
            <w:r>
              <w:rPr>
                <w:rFonts w:hint="eastAsia" w:ascii="宋体" w:hAnsi="宋体" w:eastAsia="宋体"/>
                <w:sz w:val="21"/>
                <w:szCs w:val="21"/>
              </w:rPr>
              <w:t>配合甲方完成项目中期检查。</w:t>
            </w:r>
          </w:p>
          <w:p w14:paraId="4A9C6093">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交付物：</w:t>
            </w:r>
          </w:p>
          <w:p w14:paraId="1A8189FC">
            <w:pPr>
              <w:tabs>
                <w:tab w:val="left" w:pos="537"/>
                <w:tab w:val="left" w:pos="763"/>
              </w:tabs>
              <w:adjustRightInd w:val="0"/>
              <w:snapToGrid w:val="0"/>
              <w:jc w:val="left"/>
              <w:textAlignment w:val="center"/>
              <w:rPr>
                <w:rFonts w:hint="eastAsia" w:ascii="宋体" w:hAnsi="宋体" w:eastAsia="宋体" w:cs="宋体"/>
                <w:bCs/>
                <w:color w:val="000000"/>
                <w:sz w:val="22"/>
                <w:szCs w:val="24"/>
              </w:rPr>
            </w:pPr>
            <w:r>
              <w:rPr>
                <w:rFonts w:hint="eastAsia" w:ascii="宋体" w:hAnsi="宋体" w:eastAsia="宋体"/>
                <w:sz w:val="21"/>
                <w:szCs w:val="21"/>
              </w:rPr>
              <w:t xml:space="preserve">(1) </w:t>
            </w:r>
            <w:r>
              <w:rPr>
                <w:rFonts w:hint="eastAsia" w:ascii="宋体" w:hAnsi="宋体" w:eastAsia="宋体"/>
                <w:color w:val="000000"/>
                <w:szCs w:val="21"/>
              </w:rPr>
              <w:t>协助甲方完成</w:t>
            </w:r>
            <w:r>
              <w:rPr>
                <w:rFonts w:hint="eastAsia" w:ascii="宋体" w:hAnsi="宋体"/>
                <w:color w:val="000000"/>
              </w:rPr>
              <w:t>中期检查</w:t>
            </w:r>
            <w:r>
              <w:rPr>
                <w:rFonts w:hint="eastAsia" w:ascii="宋体" w:hAnsi="宋体" w:eastAsia="宋体"/>
                <w:color w:val="000000"/>
                <w:szCs w:val="21"/>
              </w:rPr>
              <w:t>。</w:t>
            </w:r>
            <w:bookmarkEnd w:id="8"/>
          </w:p>
        </w:tc>
      </w:tr>
      <w:tr w14:paraId="2B6424CA">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191" w:hRule="atLeast"/>
        </w:trPr>
        <w:tc>
          <w:tcPr>
            <w:tcW w:w="762" w:type="dxa"/>
            <w:tcBorders>
              <w:tl2br w:val="nil"/>
              <w:tr2bl w:val="nil"/>
            </w:tcBorders>
            <w:vAlign w:val="center"/>
          </w:tcPr>
          <w:p w14:paraId="67F58BFE">
            <w:pPr>
              <w:adjustRightInd w:val="0"/>
              <w:snapToGrid w:val="0"/>
              <w:textAlignment w:val="center"/>
              <w:rPr>
                <w:rFonts w:hint="eastAsia" w:ascii="宋体" w:hAnsi="宋体"/>
                <w:b/>
                <w:color w:val="000000"/>
                <w:sz w:val="22"/>
              </w:rPr>
            </w:pPr>
            <w:r>
              <w:rPr>
                <w:rFonts w:hint="eastAsia" w:ascii="宋体" w:hAnsi="宋体"/>
                <w:b/>
                <w:color w:val="000000"/>
                <w:sz w:val="22"/>
              </w:rPr>
              <w:t>4.4</w:t>
            </w:r>
          </w:p>
        </w:tc>
        <w:tc>
          <w:tcPr>
            <w:tcW w:w="7629" w:type="dxa"/>
            <w:tcBorders>
              <w:tl2br w:val="nil"/>
              <w:tr2bl w:val="nil"/>
            </w:tcBorders>
            <w:vAlign w:val="center"/>
          </w:tcPr>
          <w:p w14:paraId="71ADD160">
            <w:pPr>
              <w:adjustRightInd w:val="0"/>
              <w:snapToGrid w:val="0"/>
              <w:textAlignment w:val="center"/>
              <w:rPr>
                <w:rFonts w:hint="eastAsia" w:ascii="宋体" w:hAnsi="宋体"/>
                <w:b/>
                <w:color w:val="000000"/>
                <w:szCs w:val="21"/>
              </w:rPr>
            </w:pPr>
            <w:r>
              <w:rPr>
                <w:rFonts w:hint="eastAsia" w:ascii="宋体" w:hAnsi="宋体"/>
                <w:b/>
                <w:color w:val="000000"/>
                <w:szCs w:val="21"/>
              </w:rPr>
              <w:t>[2027年12月1日 - 2028年4月30日]</w:t>
            </w:r>
          </w:p>
          <w:p w14:paraId="032B7CC0">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主要内容：</w:t>
            </w:r>
          </w:p>
          <w:p w14:paraId="04D1CB2D">
            <w:pPr>
              <w:tabs>
                <w:tab w:val="left" w:pos="537"/>
                <w:tab w:val="left" w:pos="763"/>
              </w:tabs>
              <w:adjustRightInd w:val="0"/>
              <w:snapToGrid w:val="0"/>
              <w:ind w:firstLine="420" w:firstLineChars="200"/>
              <w:jc w:val="left"/>
              <w:textAlignment w:val="center"/>
              <w:rPr>
                <w:rFonts w:hint="eastAsia" w:ascii="宋体" w:hAnsi="宋体" w:eastAsia="宋体"/>
                <w:sz w:val="21"/>
                <w:szCs w:val="21"/>
              </w:rPr>
            </w:pPr>
            <w:r>
              <w:rPr>
                <w:rFonts w:hint="eastAsia" w:ascii="宋体" w:hAnsi="宋体" w:eastAsia="宋体"/>
                <w:sz w:val="21"/>
                <w:szCs w:val="21"/>
              </w:rPr>
              <w:t>实验室功能验证与检测装置</w:t>
            </w:r>
            <w:r>
              <w:rPr>
                <w:rFonts w:hint="eastAsia" w:ascii="宋体" w:hAnsi="宋体" w:eastAsia="宋体"/>
                <w:sz w:val="21"/>
                <w:szCs w:val="21"/>
                <w:lang w:eastAsia="zh-CN"/>
              </w:rPr>
              <w:t>、</w:t>
            </w:r>
            <w:r>
              <w:rPr>
                <w:rFonts w:hint="eastAsia" w:ascii="宋体" w:hAnsi="宋体" w:eastAsia="宋体"/>
                <w:sz w:val="21"/>
                <w:szCs w:val="21"/>
              </w:rPr>
              <w:t>整体软件继续优化，开展可控场地现场测试。</w:t>
            </w:r>
          </w:p>
          <w:p w14:paraId="7F6C3817">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交付物：</w:t>
            </w:r>
          </w:p>
          <w:p w14:paraId="75B0B3C7">
            <w:pPr>
              <w:tabs>
                <w:tab w:val="left" w:pos="537"/>
              </w:tabs>
              <w:adjustRightInd w:val="0"/>
              <w:snapToGrid w:val="0"/>
              <w:textAlignment w:val="center"/>
              <w:rPr>
                <w:rFonts w:hint="eastAsia" w:ascii="宋体" w:hAnsi="宋体" w:eastAsia="宋体" w:cs="宋体"/>
                <w:bCs/>
                <w:color w:val="000000"/>
                <w:sz w:val="22"/>
                <w:szCs w:val="24"/>
              </w:rPr>
            </w:pPr>
            <w:r>
              <w:rPr>
                <w:rFonts w:hint="eastAsia" w:ascii="宋体" w:hAnsi="宋体" w:eastAsia="宋体"/>
                <w:color w:val="000000"/>
                <w:kern w:val="2"/>
                <w:sz w:val="21"/>
                <w:szCs w:val="21"/>
              </w:rPr>
              <w:t>（1）</w:t>
            </w:r>
            <w:r>
              <w:rPr>
                <w:rFonts w:hint="eastAsia" w:ascii="宋体" w:hAnsi="宋体" w:eastAsia="宋体" w:cs="宋体"/>
                <w:bCs/>
                <w:color w:val="000000"/>
                <w:sz w:val="22"/>
                <w:szCs w:val="24"/>
              </w:rPr>
              <w:t>实验室功能验证报告与配套软件；</w:t>
            </w:r>
          </w:p>
          <w:p w14:paraId="563164BF">
            <w:pPr>
              <w:tabs>
                <w:tab w:val="left" w:pos="537"/>
              </w:tabs>
              <w:adjustRightInd w:val="0"/>
              <w:snapToGrid w:val="0"/>
              <w:textAlignment w:val="center"/>
              <w:rPr>
                <w:rFonts w:hint="eastAsia" w:ascii="宋体" w:hAnsi="宋体" w:eastAsia="宋体" w:cs="宋体"/>
                <w:bCs/>
                <w:color w:val="000000"/>
                <w:sz w:val="22"/>
                <w:szCs w:val="24"/>
              </w:rPr>
            </w:pPr>
            <w:r>
              <w:rPr>
                <w:rFonts w:hint="eastAsia" w:ascii="宋体" w:hAnsi="宋体" w:eastAsia="宋体"/>
                <w:color w:val="000000"/>
                <w:kern w:val="2"/>
                <w:sz w:val="21"/>
                <w:szCs w:val="21"/>
              </w:rPr>
              <w:t>（2）</w:t>
            </w:r>
            <w:r>
              <w:rPr>
                <w:rFonts w:hint="eastAsia" w:ascii="宋体" w:hAnsi="宋体" w:eastAsia="宋体" w:cs="宋体"/>
                <w:bCs/>
                <w:color w:val="000000"/>
                <w:sz w:val="22"/>
                <w:szCs w:val="24"/>
              </w:rPr>
              <w:t>现场调试报告。</w:t>
            </w:r>
          </w:p>
          <w:p w14:paraId="2AC1A7F1">
            <w:pPr>
              <w:tabs>
                <w:tab w:val="left" w:pos="537"/>
              </w:tabs>
              <w:adjustRightInd w:val="0"/>
              <w:snapToGrid w:val="0"/>
              <w:textAlignment w:val="center"/>
              <w:rPr>
                <w:rFonts w:hint="eastAsia" w:ascii="宋体" w:hAnsi="宋体" w:eastAsia="宋体"/>
                <w:color w:val="000000"/>
                <w:kern w:val="2"/>
                <w:sz w:val="21"/>
                <w:szCs w:val="21"/>
              </w:rPr>
            </w:pPr>
            <w:r>
              <w:rPr>
                <w:rFonts w:hint="eastAsia" w:ascii="宋体" w:hAnsi="宋体" w:eastAsia="宋体"/>
                <w:color w:val="000000"/>
                <w:kern w:val="2"/>
                <w:sz w:val="21"/>
                <w:szCs w:val="21"/>
              </w:rPr>
              <w:t>（3）乙方根据甲方需求，协助提供1件项目相关发明专利选题、文献检索、论证方法、数据分析、文本修改的指导服务，直至发明专利受理。申请发明专利1项。</w:t>
            </w:r>
          </w:p>
          <w:p w14:paraId="67B0924D">
            <w:pPr>
              <w:pStyle w:val="2"/>
            </w:pPr>
            <w:r>
              <w:rPr>
                <w:rFonts w:hint="eastAsia" w:ascii="宋体" w:hAnsi="宋体" w:eastAsia="宋体"/>
                <w:color w:val="000000"/>
                <w:kern w:val="2"/>
                <w:sz w:val="21"/>
                <w:szCs w:val="21"/>
              </w:rPr>
              <w:t>（4）</w:t>
            </w:r>
            <w:r>
              <w:rPr>
                <w:rFonts w:hint="eastAsia" w:ascii="宋体" w:hAnsi="宋体" w:eastAsia="宋体"/>
                <w:color w:val="000000"/>
                <w:sz w:val="21"/>
                <w:szCs w:val="21"/>
              </w:rPr>
              <w:t>乙方根据甲方需求，协助提供1件项目相关软件著作权服务，直至软件著作权授权。</w:t>
            </w:r>
          </w:p>
        </w:tc>
      </w:tr>
      <w:tr w14:paraId="63B0BB67">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62" w:type="dxa"/>
            <w:tcBorders>
              <w:tl2br w:val="nil"/>
              <w:tr2bl w:val="nil"/>
            </w:tcBorders>
            <w:vAlign w:val="center"/>
          </w:tcPr>
          <w:p w14:paraId="3BE429C8">
            <w:pPr>
              <w:adjustRightInd w:val="0"/>
              <w:snapToGrid w:val="0"/>
              <w:textAlignment w:val="center"/>
              <w:rPr>
                <w:rFonts w:hint="eastAsia" w:ascii="宋体" w:hAnsi="宋体"/>
                <w:b/>
                <w:color w:val="000000"/>
                <w:sz w:val="22"/>
              </w:rPr>
            </w:pPr>
            <w:r>
              <w:rPr>
                <w:rFonts w:hint="eastAsia" w:ascii="宋体" w:hAnsi="宋体"/>
                <w:b/>
                <w:color w:val="000000"/>
                <w:sz w:val="22"/>
              </w:rPr>
              <w:t>4.5</w:t>
            </w:r>
          </w:p>
        </w:tc>
        <w:tc>
          <w:tcPr>
            <w:tcW w:w="7629" w:type="dxa"/>
            <w:tcBorders>
              <w:tl2br w:val="nil"/>
              <w:tr2bl w:val="nil"/>
            </w:tcBorders>
            <w:vAlign w:val="center"/>
          </w:tcPr>
          <w:p w14:paraId="494235A4">
            <w:pPr>
              <w:adjustRightInd w:val="0"/>
              <w:snapToGrid w:val="0"/>
              <w:textAlignment w:val="center"/>
              <w:rPr>
                <w:rFonts w:hint="eastAsia" w:ascii="宋体" w:hAnsi="宋体"/>
                <w:b/>
                <w:color w:val="000000"/>
                <w:szCs w:val="21"/>
              </w:rPr>
            </w:pPr>
            <w:r>
              <w:rPr>
                <w:rFonts w:hint="eastAsia" w:ascii="宋体" w:hAnsi="宋体"/>
                <w:b/>
                <w:color w:val="000000"/>
                <w:szCs w:val="21"/>
              </w:rPr>
              <w:t>[2028年5月1日 - 2028年5月31日]</w:t>
            </w:r>
          </w:p>
          <w:p w14:paraId="1D696124">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主要内容：</w:t>
            </w:r>
          </w:p>
          <w:p w14:paraId="2383BF6F">
            <w:pPr>
              <w:tabs>
                <w:tab w:val="left" w:pos="537"/>
              </w:tabs>
              <w:adjustRightInd w:val="0"/>
              <w:snapToGrid w:val="0"/>
              <w:ind w:firstLine="420" w:firstLineChars="200"/>
              <w:textAlignment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完成第三方审查。</w:t>
            </w:r>
          </w:p>
          <w:p w14:paraId="34744B12">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交付物：</w:t>
            </w:r>
          </w:p>
          <w:p w14:paraId="198E02B6">
            <w:pPr>
              <w:tabs>
                <w:tab w:val="left" w:pos="537"/>
              </w:tabs>
              <w:adjustRightInd w:val="0"/>
              <w:snapToGrid w:val="0"/>
              <w:textAlignment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(1) 第三方审查报告1份。</w:t>
            </w:r>
          </w:p>
        </w:tc>
      </w:tr>
      <w:tr w14:paraId="61765213">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37" w:hRule="atLeast"/>
        </w:trPr>
        <w:tc>
          <w:tcPr>
            <w:tcW w:w="762" w:type="dxa"/>
            <w:tcBorders>
              <w:tl2br w:val="nil"/>
              <w:tr2bl w:val="nil"/>
            </w:tcBorders>
            <w:vAlign w:val="center"/>
          </w:tcPr>
          <w:p w14:paraId="3052448C">
            <w:pPr>
              <w:adjustRightInd w:val="0"/>
              <w:snapToGrid w:val="0"/>
              <w:textAlignment w:val="center"/>
              <w:rPr>
                <w:rFonts w:hint="eastAsia" w:ascii="宋体" w:hAnsi="宋体"/>
                <w:b/>
                <w:color w:val="000000"/>
                <w:sz w:val="22"/>
              </w:rPr>
            </w:pPr>
            <w:r>
              <w:rPr>
                <w:rFonts w:hint="eastAsia" w:ascii="宋体" w:hAnsi="宋体"/>
                <w:b/>
                <w:color w:val="000000"/>
                <w:sz w:val="22"/>
              </w:rPr>
              <w:t>4.6</w:t>
            </w:r>
          </w:p>
        </w:tc>
        <w:tc>
          <w:tcPr>
            <w:tcW w:w="7629" w:type="dxa"/>
            <w:tcBorders>
              <w:tl2br w:val="nil"/>
              <w:tr2bl w:val="nil"/>
            </w:tcBorders>
            <w:vAlign w:val="center"/>
          </w:tcPr>
          <w:p w14:paraId="0EE11AE2">
            <w:pPr>
              <w:adjustRightInd w:val="0"/>
              <w:snapToGrid w:val="0"/>
              <w:textAlignment w:val="center"/>
              <w:rPr>
                <w:rFonts w:hint="eastAsia" w:ascii="宋体" w:hAnsi="宋体"/>
                <w:b/>
                <w:color w:val="000000"/>
                <w:szCs w:val="21"/>
              </w:rPr>
            </w:pPr>
            <w:r>
              <w:rPr>
                <w:rFonts w:hint="eastAsia" w:ascii="宋体" w:hAnsi="宋体"/>
                <w:b/>
                <w:color w:val="000000"/>
                <w:szCs w:val="21"/>
              </w:rPr>
              <w:t>[2028年6月1日 - 2028年6月30日]</w:t>
            </w:r>
          </w:p>
          <w:p w14:paraId="548DA4C2">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主要内容：</w:t>
            </w:r>
          </w:p>
          <w:p w14:paraId="1E36892E">
            <w:pPr>
              <w:tabs>
                <w:tab w:val="left" w:pos="537"/>
              </w:tabs>
              <w:adjustRightInd w:val="0"/>
              <w:snapToGrid w:val="0"/>
              <w:ind w:firstLine="420" w:firstLineChars="200"/>
              <w:textAlignment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配合甲方完成项目整体验收，完成技术鉴定、开展成果转化等。</w:t>
            </w:r>
          </w:p>
          <w:p w14:paraId="6BF85738">
            <w:pPr>
              <w:adjustRightInd w:val="0"/>
              <w:snapToGrid w:val="0"/>
              <w:jc w:val="left"/>
              <w:textAlignment w:val="center"/>
              <w:rPr>
                <w:rFonts w:hint="eastAsia" w:ascii="宋体" w:hAnsi="宋体"/>
                <w:b/>
                <w:color w:val="000000"/>
                <w:kern w:val="2"/>
                <w:sz w:val="21"/>
              </w:rPr>
            </w:pPr>
            <w:r>
              <w:rPr>
                <w:rFonts w:hint="eastAsia" w:ascii="宋体" w:hAnsi="宋体"/>
                <w:b/>
                <w:color w:val="000000"/>
                <w:kern w:val="2"/>
                <w:sz w:val="21"/>
              </w:rPr>
              <w:t>交付物：</w:t>
            </w:r>
          </w:p>
          <w:p w14:paraId="18086AF1">
            <w:pPr>
              <w:tabs>
                <w:tab w:val="left" w:pos="537"/>
              </w:tabs>
              <w:adjustRightInd w:val="0"/>
              <w:snapToGrid w:val="0"/>
              <w:textAlignment w:val="center"/>
              <w:rPr>
                <w:rFonts w:hint="eastAsia" w:ascii="宋体" w:hAnsi="宋体" w:eastAsia="宋体" w:cs="宋体"/>
                <w:bCs/>
                <w:color w:val="000000"/>
                <w:sz w:val="21"/>
                <w:szCs w:val="21"/>
              </w:rPr>
            </w:pPr>
            <w:r>
              <w:rPr>
                <w:rFonts w:hint="eastAsia" w:ascii="宋体" w:hAnsi="宋体" w:eastAsia="宋体" w:cs="宋体"/>
                <w:bCs/>
                <w:color w:val="000000"/>
                <w:sz w:val="21"/>
                <w:szCs w:val="21"/>
              </w:rPr>
              <w:t>(1) 技术鉴定报告、第三方试验报告、</w:t>
            </w:r>
            <w:r>
              <w:rPr>
                <w:rFonts w:hint="eastAsia" w:ascii="宋体" w:hAnsi="宋体" w:eastAsia="宋体" w:cs="宋体"/>
                <w:bCs/>
                <w:color w:val="000000"/>
                <w:sz w:val="21"/>
                <w:szCs w:val="21"/>
                <w:lang w:val="en-US" w:eastAsia="zh-CN"/>
              </w:rPr>
              <w:t>乙方根据甲方需求，协助配合提供</w:t>
            </w:r>
            <w:r>
              <w:rPr>
                <w:rFonts w:hint="eastAsia" w:ascii="宋体" w:hAnsi="宋体" w:eastAsia="宋体" w:cs="宋体"/>
                <w:bCs/>
                <w:color w:val="000000"/>
                <w:sz w:val="21"/>
                <w:szCs w:val="21"/>
              </w:rPr>
              <w:t>成果挂网试运行方案、成果转化说明书</w:t>
            </w:r>
            <w:r>
              <w:rPr>
                <w:rFonts w:hint="eastAsia" w:ascii="宋体" w:hAnsi="宋体" w:eastAsia="宋体" w:cs="宋体"/>
                <w:bCs/>
                <w:color w:val="000000"/>
                <w:sz w:val="21"/>
                <w:szCs w:val="21"/>
                <w:lang w:eastAsia="zh-CN"/>
              </w:rPr>
              <w:t>的</w:t>
            </w:r>
            <w:r>
              <w:rPr>
                <w:rFonts w:hint="eastAsia" w:ascii="宋体" w:hAnsi="宋体" w:eastAsia="宋体" w:cs="宋体"/>
                <w:bCs/>
                <w:color w:val="000000"/>
                <w:sz w:val="21"/>
                <w:szCs w:val="21"/>
                <w:lang w:val="en-US" w:eastAsia="zh-CN"/>
              </w:rPr>
              <w:t>相关指导服务</w:t>
            </w:r>
            <w:r>
              <w:rPr>
                <w:rFonts w:hint="eastAsia" w:ascii="宋体" w:hAnsi="宋体" w:eastAsia="宋体" w:cs="宋体"/>
                <w:bCs/>
                <w:color w:val="000000"/>
                <w:sz w:val="21"/>
                <w:szCs w:val="21"/>
              </w:rPr>
              <w:t>；</w:t>
            </w:r>
          </w:p>
          <w:p w14:paraId="3F5A3014">
            <w:pPr>
              <w:tabs>
                <w:tab w:val="left" w:pos="537"/>
              </w:tabs>
              <w:adjustRightInd w:val="0"/>
              <w:snapToGrid w:val="0"/>
              <w:textAlignment w:val="center"/>
              <w:rPr>
                <w:rFonts w:hint="eastAsia" w:ascii="宋体" w:hAnsi="宋体" w:eastAsia="宋体" w:cs="宋体"/>
                <w:bCs/>
                <w:color w:val="000000"/>
                <w:sz w:val="22"/>
                <w:szCs w:val="24"/>
              </w:rPr>
            </w:pPr>
            <w:r>
              <w:rPr>
                <w:rFonts w:hint="eastAsia" w:ascii="宋体" w:hAnsi="宋体" w:eastAsia="宋体" w:cs="宋体"/>
                <w:bCs/>
                <w:color w:val="000000"/>
                <w:sz w:val="21"/>
                <w:szCs w:val="21"/>
              </w:rPr>
              <w:t>(2) 随钻电缆检测技术研究报告，随钻电缆检测装置（含样机及软件）。</w:t>
            </w:r>
          </w:p>
        </w:tc>
      </w:tr>
    </w:tbl>
    <w:p w14:paraId="28CD0D36">
      <w:pPr>
        <w:pStyle w:val="4"/>
        <w:spacing w:before="240" w:after="120"/>
        <w:rPr>
          <w:rFonts w:hint="eastAsia" w:ascii="黑体" w:hAnsi="黑体" w:eastAsia="黑体" w:cs="黑体"/>
          <w:b/>
          <w:bCs/>
          <w:color w:val="auto"/>
          <w:sz w:val="28"/>
          <w:szCs w:val="28"/>
        </w:rPr>
      </w:pPr>
      <w:r>
        <w:rPr>
          <w:rFonts w:ascii="黑体" w:hAnsi="黑体" w:eastAsia="黑体" w:cs="黑体"/>
          <w:b/>
          <w:bCs/>
          <w:color w:val="auto"/>
          <w:sz w:val="28"/>
          <w:szCs w:val="28"/>
        </w:rPr>
        <w:t>5  成果交付与验收</w:t>
      </w:r>
    </w:p>
    <w:p w14:paraId="5D80A031">
      <w:pPr>
        <w:pStyle w:val="4"/>
        <w:spacing w:before="240" w:after="120"/>
        <w:rPr>
          <w:rFonts w:hint="eastAsia" w:ascii="黑体" w:hAnsi="黑体" w:eastAsia="黑体" w:cs="黑体"/>
          <w:b/>
          <w:bCs/>
          <w:color w:val="auto"/>
          <w:sz w:val="24"/>
          <w:szCs w:val="24"/>
        </w:rPr>
      </w:pPr>
      <w:r>
        <w:rPr>
          <w:rFonts w:ascii="黑体" w:hAnsi="黑体" w:eastAsia="黑体" w:cs="黑体"/>
          <w:b/>
          <w:bCs/>
          <w:color w:val="auto"/>
          <w:sz w:val="24"/>
          <w:szCs w:val="24"/>
        </w:rPr>
        <w:t>5.1 成果形式及数量要求</w:t>
      </w:r>
    </w:p>
    <w:p w14:paraId="580876C5">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（1）具有CMA/CNAS资质机构出具试验报告、查验行业协会或省级机构出具的鉴定报告的</w:t>
      </w:r>
      <w:r>
        <w:rPr>
          <w:rFonts w:ascii="宋体" w:hAnsi="宋体" w:eastAsia="宋体" w:cs="宋体"/>
          <w:bCs/>
          <w:color w:val="000000"/>
          <w:sz w:val="24"/>
          <w:szCs w:val="24"/>
        </w:rPr>
        <w:t>定向钻施工地下高压电缆智能检测与预警装置</w:t>
      </w:r>
      <w:r>
        <w:rPr>
          <w:rFonts w:hint="eastAsia" w:ascii="宋体" w:hAnsi="宋体" w:eastAsia="宋体" w:cs="宋体"/>
          <w:bCs/>
          <w:color w:val="000000"/>
          <w:sz w:val="24"/>
          <w:szCs w:val="24"/>
        </w:rPr>
        <w:t>1</w:t>
      </w:r>
      <w:r>
        <w:rPr>
          <w:rFonts w:ascii="宋体" w:hAnsi="宋体" w:eastAsia="宋体" w:cs="宋体"/>
          <w:bCs/>
          <w:color w:val="000000"/>
          <w:sz w:val="24"/>
          <w:szCs w:val="24"/>
        </w:rPr>
        <w:t>套</w:t>
      </w:r>
      <w:r>
        <w:rPr>
          <w:rFonts w:hint="eastAsia" w:ascii="宋体" w:hAnsi="宋体" w:eastAsia="宋体" w:cs="宋体"/>
          <w:bCs/>
          <w:color w:val="000000"/>
          <w:sz w:val="24"/>
          <w:szCs w:val="24"/>
        </w:rPr>
        <w:t>；</w:t>
      </w:r>
    </w:p>
    <w:p w14:paraId="7ADE6087">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（2）电缆探测数据实时处理与可视化软件1套；</w:t>
      </w:r>
    </w:p>
    <w:p w14:paraId="7B81A6CF">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（3）乙方根据甲方需求，协助提供1篇项目相关论文的论证方法、数据分析、文本修改的指导服务，直至论文录用或发表；</w:t>
      </w:r>
    </w:p>
    <w:p w14:paraId="78D44FBA">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（4）乙方根据甲方需求，协助提供2件项目相关发明专利选题、文献检索、论证方法、数据分析、文本修改的指导服务，直至发明专利受理；</w:t>
      </w:r>
    </w:p>
    <w:p w14:paraId="6F57C5B5">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rPr>
      </w:pPr>
      <w:r>
        <w:rPr>
          <w:rFonts w:hint="eastAsia" w:ascii="宋体" w:hAnsi="宋体" w:eastAsia="宋体" w:cs="宋体"/>
          <w:bCs/>
          <w:color w:val="000000"/>
          <w:sz w:val="24"/>
          <w:szCs w:val="24"/>
        </w:rPr>
        <w:t>（5）乙方根据甲方需求，协助提供1篇项目相关软件著作权的论证方法、数据分析、文本修改的指导服务，直至软件著作权受理。</w:t>
      </w:r>
    </w:p>
    <w:p w14:paraId="1A3128B0">
      <w:pPr>
        <w:tabs>
          <w:tab w:val="left" w:pos="537"/>
        </w:tabs>
        <w:adjustRightInd w:val="0"/>
        <w:snapToGrid w:val="0"/>
        <w:spacing w:line="360" w:lineRule="auto"/>
        <w:ind w:firstLine="480" w:firstLineChars="200"/>
        <w:textAlignment w:val="center"/>
        <w:rPr>
          <w:rFonts w:hint="eastAsia" w:ascii="宋体" w:hAnsi="宋体" w:eastAsia="宋体" w:cs="宋体"/>
          <w:bCs/>
          <w:color w:val="000000"/>
          <w:sz w:val="24"/>
          <w:szCs w:val="24"/>
          <w:lang w:eastAsia="zh-CN"/>
        </w:rPr>
      </w:pP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lang w:val="en-US" w:eastAsia="zh-CN"/>
        </w:rPr>
        <w:t>6</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项目整体技术方案</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实验室功能验证报告与配套软件</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现场调试报告</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rPr>
        <w:t>随钻电缆检测技术研究报告</w:t>
      </w:r>
      <w:r>
        <w:rPr>
          <w:rFonts w:hint="eastAsia" w:ascii="宋体" w:hAnsi="宋体" w:eastAsia="宋体" w:cs="宋体"/>
          <w:bCs/>
          <w:color w:val="000000"/>
          <w:sz w:val="24"/>
          <w:szCs w:val="24"/>
          <w:lang w:eastAsia="zh-CN"/>
        </w:rPr>
        <w:t>，</w:t>
      </w:r>
      <w:r>
        <w:rPr>
          <w:rFonts w:hint="eastAsia" w:ascii="宋体" w:hAnsi="宋体" w:eastAsia="宋体" w:cs="宋体"/>
          <w:bCs/>
          <w:color w:val="000000"/>
          <w:sz w:val="24"/>
          <w:szCs w:val="24"/>
          <w:lang w:val="en-US" w:eastAsia="zh-CN"/>
        </w:rPr>
        <w:t>乙方根据甲方需求，协助配合提供</w:t>
      </w:r>
      <w:r>
        <w:rPr>
          <w:rFonts w:hint="eastAsia" w:ascii="宋体" w:hAnsi="宋体" w:eastAsia="宋体" w:cs="宋体"/>
          <w:bCs/>
          <w:color w:val="000000"/>
          <w:sz w:val="24"/>
          <w:szCs w:val="24"/>
        </w:rPr>
        <w:t>成果挂网试运行方案、成果转化说明书</w:t>
      </w:r>
      <w:r>
        <w:rPr>
          <w:rFonts w:hint="eastAsia" w:ascii="宋体" w:hAnsi="宋体" w:eastAsia="宋体" w:cs="宋体"/>
          <w:bCs/>
          <w:color w:val="000000"/>
          <w:sz w:val="24"/>
          <w:szCs w:val="24"/>
          <w:lang w:eastAsia="zh-CN"/>
        </w:rPr>
        <w:t>的</w:t>
      </w:r>
      <w:r>
        <w:rPr>
          <w:rFonts w:hint="eastAsia" w:ascii="宋体" w:hAnsi="宋体" w:eastAsia="宋体" w:cs="宋体"/>
          <w:bCs/>
          <w:color w:val="000000"/>
          <w:sz w:val="24"/>
          <w:szCs w:val="24"/>
          <w:lang w:val="en-US" w:eastAsia="zh-CN"/>
        </w:rPr>
        <w:t>相关指导服务</w:t>
      </w:r>
      <w:r>
        <w:rPr>
          <w:rFonts w:hint="eastAsia" w:ascii="宋体" w:hAnsi="宋体" w:eastAsia="宋体" w:cs="宋体"/>
          <w:bCs/>
          <w:color w:val="000000"/>
          <w:sz w:val="24"/>
          <w:szCs w:val="24"/>
          <w:lang w:eastAsia="zh-CN"/>
        </w:rPr>
        <w:t>。</w:t>
      </w:r>
    </w:p>
    <w:p w14:paraId="11EFF89C">
      <w:pPr>
        <w:spacing w:before="60" w:after="60" w:line="360" w:lineRule="auto"/>
        <w:ind w:firstLine="475"/>
        <w:rPr>
          <w:rFonts w:hint="eastAsia" w:ascii="宋体" w:hAnsi="宋体" w:eastAsia="宋体" w:cs="宋体"/>
        </w:rPr>
      </w:pPr>
      <w:r>
        <w:rPr>
          <w:rFonts w:hint="eastAsia" w:ascii="宋体" w:hAnsi="宋体" w:eastAsia="宋体" w:cs="宋体"/>
          <w:color w:val="000000"/>
          <w:sz w:val="24"/>
          <w:szCs w:val="24"/>
        </w:rPr>
        <w:t>上述成果应按照项目进度计划各阶段考核目标按时交付，交付物应满足相应技术指标要求。</w:t>
      </w:r>
    </w:p>
    <w:p w14:paraId="3E213477"/>
    <w:p w14:paraId="1AE69120">
      <w:pPr>
        <w:spacing w:line="360" w:lineRule="auto"/>
        <w:outlineLvl w:val="1"/>
        <w:rPr>
          <w:rFonts w:hint="eastAsia" w:ascii="黑体" w:hAnsi="黑体" w:eastAsia="黑体" w:cs="黑体"/>
          <w:bCs/>
          <w:kern w:val="2"/>
          <w:sz w:val="24"/>
          <w:szCs w:val="24"/>
        </w:rPr>
      </w:pPr>
      <w:r>
        <w:rPr>
          <w:rFonts w:ascii="黑体" w:hAnsi="黑体" w:eastAsia="黑体" w:cs="黑体"/>
          <w:bCs/>
          <w:kern w:val="2"/>
          <w:sz w:val="24"/>
          <w:szCs w:val="24"/>
        </w:rPr>
        <w:t>★5.2 成果的权属要求</w:t>
      </w:r>
    </w:p>
    <w:p w14:paraId="1A5A2E93">
      <w:pPr>
        <w:spacing w:before="60" w:after="60" w:line="360" w:lineRule="auto"/>
        <w:ind w:firstLine="475"/>
        <w:rPr>
          <w:rFonts w:hint="eastAsia" w:ascii="宋体" w:hAnsi="宋体" w:eastAsia="宋体"/>
        </w:rPr>
      </w:pPr>
      <w:r>
        <w:rPr>
          <w:rFonts w:ascii="宋体" w:hAnsi="宋体" w:eastAsia="宋体" w:cs="仿宋"/>
          <w:color w:val="000000"/>
          <w:sz w:val="24"/>
          <w:szCs w:val="24"/>
        </w:rPr>
        <w:t>本项目形成的论文、专利等知识产权划分方法如下：</w:t>
      </w:r>
    </w:p>
    <w:p w14:paraId="10B98EDA">
      <w:pPr>
        <w:spacing w:before="60" w:after="60" w:line="360" w:lineRule="auto"/>
        <w:ind w:firstLine="475"/>
        <w:rPr>
          <w:rFonts w:hint="eastAsia" w:ascii="宋体" w:hAnsi="宋体" w:eastAsia="宋体"/>
        </w:rPr>
      </w:pPr>
      <w:r>
        <w:rPr>
          <w:rFonts w:ascii="宋体" w:hAnsi="宋体" w:eastAsia="宋体" w:cs="仿宋"/>
          <w:color w:val="000000"/>
          <w:sz w:val="24"/>
          <w:szCs w:val="24"/>
        </w:rPr>
        <w:t>本合同项下研究成果形成的专利、软件著作权等知识产权的申请权利归甲方享有，未经甲方许可，乙方不得单独申请专利或向第三方转让专利申请权。相关知识产权申请人及专利权人不得出现广东电网有限责任公司及乙方以外的其他单位或个人。</w:t>
      </w:r>
    </w:p>
    <w:p w14:paraId="39AA05AE">
      <w:pPr>
        <w:spacing w:before="60" w:after="60" w:line="360" w:lineRule="auto"/>
        <w:ind w:firstLine="475"/>
        <w:rPr>
          <w:rFonts w:hint="eastAsia" w:ascii="宋体" w:hAnsi="宋体" w:eastAsia="宋体"/>
        </w:rPr>
      </w:pPr>
      <w:r>
        <w:rPr>
          <w:rFonts w:ascii="宋体" w:hAnsi="宋体" w:eastAsia="宋体" w:cs="仿宋"/>
          <w:color w:val="000000"/>
          <w:sz w:val="24"/>
          <w:szCs w:val="24"/>
        </w:rPr>
        <w:t>（1）本合同项下的研究成果申请专利的权利归甲方享有，未经甲方许可，乙方不得单独申请专利或向第三方转让专利申请权。乙方取得专利权的，未经甲方许可，不得转让专利权或许可第三方实施该专利。</w:t>
      </w:r>
    </w:p>
    <w:p w14:paraId="4AA8BECD">
      <w:pPr>
        <w:spacing w:before="60" w:after="60" w:line="360" w:lineRule="auto"/>
        <w:ind w:firstLine="475"/>
        <w:rPr>
          <w:rFonts w:hint="eastAsia" w:ascii="宋体" w:hAnsi="宋体" w:eastAsia="宋体"/>
        </w:rPr>
      </w:pPr>
      <w:r>
        <w:rPr>
          <w:rFonts w:ascii="宋体" w:hAnsi="宋体" w:eastAsia="宋体" w:cs="仿宋"/>
          <w:color w:val="000000"/>
          <w:sz w:val="24"/>
          <w:szCs w:val="24"/>
        </w:rPr>
        <w:t>（2）甲乙双方均享有本合同项下研究成果的使用权，但乙方仅能在甲方许可的范围内使用该研究成果。因使用该研究成果所产生的效益，由甲乙双方共同协商确定分配方式。</w:t>
      </w:r>
    </w:p>
    <w:p w14:paraId="46AC891A">
      <w:pPr>
        <w:spacing w:before="60" w:after="60" w:line="360" w:lineRule="auto"/>
        <w:ind w:firstLine="475"/>
        <w:rPr>
          <w:rFonts w:hint="eastAsia" w:ascii="宋体" w:hAnsi="宋体" w:eastAsia="宋体"/>
        </w:rPr>
      </w:pPr>
      <w:r>
        <w:rPr>
          <w:rFonts w:ascii="宋体" w:hAnsi="宋体" w:eastAsia="宋体" w:cs="仿宋"/>
          <w:color w:val="000000"/>
          <w:sz w:val="24"/>
          <w:szCs w:val="24"/>
        </w:rPr>
        <w:t>（3）本合同项下的研究成果的转让权属于甲方，乙方不得向第三方转让，亦不得许可第三方实施使用，乙方擅自转让所产生的利益归甲方所有。</w:t>
      </w:r>
    </w:p>
    <w:p w14:paraId="641480FC">
      <w:pPr>
        <w:spacing w:before="60" w:after="60" w:line="360" w:lineRule="auto"/>
        <w:ind w:firstLine="475"/>
        <w:rPr>
          <w:rFonts w:hint="eastAsia" w:ascii="宋体" w:hAnsi="宋体" w:eastAsia="宋体"/>
        </w:rPr>
      </w:pPr>
      <w:r>
        <w:rPr>
          <w:rFonts w:ascii="宋体" w:hAnsi="宋体" w:eastAsia="宋体" w:cs="仿宋"/>
          <w:color w:val="000000"/>
          <w:sz w:val="24"/>
          <w:szCs w:val="24"/>
        </w:rPr>
        <w:t>（4）本合同项下的研究成果申请奖励的权利归甲方享有。未经甲方许可，乙方不得单方申请奖励。</w:t>
      </w:r>
    </w:p>
    <w:p w14:paraId="01A53BE3">
      <w:pPr>
        <w:spacing w:before="60" w:after="60" w:line="360" w:lineRule="auto"/>
        <w:ind w:firstLine="475"/>
        <w:rPr>
          <w:rFonts w:hint="eastAsia" w:ascii="宋体" w:hAnsi="宋体" w:eastAsia="宋体"/>
        </w:rPr>
      </w:pPr>
      <w:r>
        <w:rPr>
          <w:rFonts w:ascii="宋体" w:hAnsi="宋体" w:eastAsia="宋体" w:cs="仿宋"/>
          <w:color w:val="000000"/>
          <w:sz w:val="24"/>
          <w:szCs w:val="24"/>
        </w:rPr>
        <w:t>（5）本合同项下的研究成果的发表权由甲乙双方共同享有。未经一方许可，另一方不得单方发表。根据项目研究成果发表论文须注明"南方电网公司科技项目资助(项目编号：030100KC26030050（GDKJXM20260268）)"；项目参加人员个人发表有关项目研究内容的论文须征得甲乙双方的同意。</w:t>
      </w:r>
    </w:p>
    <w:p w14:paraId="3AF71C00">
      <w:pPr>
        <w:spacing w:before="60" w:after="60" w:line="360" w:lineRule="auto"/>
        <w:ind w:firstLine="475"/>
        <w:rPr>
          <w:rFonts w:hint="eastAsia" w:ascii="宋体" w:hAnsi="宋体" w:eastAsia="宋体"/>
        </w:rPr>
      </w:pPr>
      <w:r>
        <w:rPr>
          <w:rFonts w:ascii="宋体" w:hAnsi="宋体" w:eastAsia="宋体" w:cs="仿宋"/>
          <w:color w:val="000000"/>
          <w:sz w:val="24"/>
          <w:szCs w:val="24"/>
        </w:rPr>
        <w:t>（6）使用履行本合同产生的研究成果参与国际标准、国家标准或行业标准等的制定或修订工作的权利属于甲方所有，未经甲方许可，乙方不得单独参与此类工作。</w:t>
      </w:r>
    </w:p>
    <w:p w14:paraId="34FA101B"/>
    <w:p w14:paraId="7848B485">
      <w:pPr>
        <w:spacing w:line="360" w:lineRule="auto"/>
        <w:outlineLvl w:val="1"/>
        <w:rPr>
          <w:rFonts w:hint="eastAsia" w:ascii="黑体" w:hAnsi="黑体" w:eastAsia="黑体" w:cs="黑体"/>
          <w:bCs/>
          <w:kern w:val="2"/>
          <w:sz w:val="24"/>
          <w:szCs w:val="24"/>
        </w:rPr>
      </w:pPr>
      <w:r>
        <w:rPr>
          <w:rFonts w:ascii="黑体" w:hAnsi="黑体" w:eastAsia="黑体" w:cs="黑体"/>
          <w:bCs/>
          <w:kern w:val="2"/>
          <w:sz w:val="24"/>
          <w:szCs w:val="24"/>
        </w:rPr>
        <w:t>5.3 技术架构要求</w:t>
      </w:r>
    </w:p>
    <w:p w14:paraId="184254EB">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本项目若涉及软硬件开发/试制应符合自主可控要求：</w:t>
      </w:r>
    </w:p>
    <w:p w14:paraId="43C085ED">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（1）CPU：兼容自主可控CPU（ARM、X86、MIPS）架构。</w:t>
      </w:r>
    </w:p>
    <w:p w14:paraId="4BDEA4AC">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（2）浏览器：兼容Chrome和Firefox内核浏览器。</w:t>
      </w:r>
    </w:p>
    <w:p w14:paraId="37603094">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（3）操作系统：兼容UOS、麒麟等linux类型桌面操作系统和服务器自主可控操作系统。</w:t>
      </w:r>
    </w:p>
    <w:p w14:paraId="00346C4B">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（4）数据库中间件：可以兼容国内主流自主可控数据库、中间件。</w:t>
      </w:r>
    </w:p>
    <w:p w14:paraId="762B3A81">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（5）应用架构设计：应用架构具备在多种基础环境下运行的设计；（硬件层：需要除x86架构外如ARM架构或MISP架构运行；操作系统层：需要能在Windows系列、Linux系列运行）</w:t>
      </w:r>
    </w:p>
    <w:p w14:paraId="73706F15"/>
    <w:p w14:paraId="3B626966">
      <w:pPr>
        <w:spacing w:line="360" w:lineRule="auto"/>
        <w:outlineLvl w:val="1"/>
        <w:rPr>
          <w:rFonts w:hint="eastAsia" w:ascii="黑体" w:hAnsi="黑体" w:eastAsia="黑体" w:cs="黑体"/>
          <w:bCs/>
          <w:kern w:val="2"/>
          <w:sz w:val="24"/>
          <w:szCs w:val="24"/>
        </w:rPr>
      </w:pPr>
      <w:r>
        <w:rPr>
          <w:rFonts w:ascii="黑体" w:hAnsi="黑体" w:eastAsia="黑体" w:cs="黑体"/>
          <w:bCs/>
          <w:kern w:val="2"/>
          <w:sz w:val="24"/>
          <w:szCs w:val="24"/>
        </w:rPr>
        <w:t>5.4 成果验收</w:t>
      </w:r>
    </w:p>
    <w:p w14:paraId="49722FC4">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项目完成后，由甲方组织专家组对项目的主要技术指标、成果等进行验收。</w:t>
      </w:r>
    </w:p>
    <w:p w14:paraId="3C9F5782">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验收方式：专家评审或第三方测试。</w:t>
      </w:r>
    </w:p>
    <w:p w14:paraId="47ECDFE2">
      <w:pPr>
        <w:spacing w:before="60" w:after="60" w:line="360" w:lineRule="auto"/>
        <w:ind w:firstLine="475"/>
        <w:rPr>
          <w:rFonts w:hint="eastAsia" w:ascii="宋体" w:hAnsi="宋体" w:eastAsia="宋体" w:cs="仿宋"/>
          <w:color w:val="000000"/>
          <w:sz w:val="24"/>
          <w:szCs w:val="24"/>
        </w:rPr>
      </w:pPr>
      <w:r>
        <w:rPr>
          <w:rFonts w:ascii="宋体" w:hAnsi="宋体" w:eastAsia="宋体" w:cs="仿宋"/>
          <w:color w:val="000000"/>
          <w:sz w:val="24"/>
          <w:szCs w:val="24"/>
        </w:rPr>
        <w:t>验收标准及考核指标如下：</w:t>
      </w:r>
    </w:p>
    <w:p w14:paraId="6555A9C8"/>
    <w:tbl>
      <w:tblPr>
        <w:tblStyle w:val="15"/>
        <w:tblW w:w="5000" w:type="pct"/>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 w:type="dxa"/>
          <w:bottom w:w="0" w:type="dxa"/>
          <w:right w:w="10" w:type="dxa"/>
        </w:tblCellMar>
      </w:tblPr>
      <w:tblGrid>
        <w:gridCol w:w="424"/>
        <w:gridCol w:w="1404"/>
        <w:gridCol w:w="1743"/>
        <w:gridCol w:w="3678"/>
        <w:gridCol w:w="1177"/>
      </w:tblGrid>
      <w:tr w14:paraId="4ABB366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rPr>
          <w:tblHeader/>
        </w:trPr>
        <w:tc>
          <w:tcPr>
            <w:tcW w:w="0" w:type="auto"/>
            <w:tcMar>
              <w:top w:w="40" w:type="dxa"/>
              <w:left w:w="60" w:type="dxa"/>
              <w:bottom w:w="40" w:type="dxa"/>
              <w:right w:w="60" w:type="dxa"/>
            </w:tcMar>
            <w:vAlign w:val="center"/>
          </w:tcPr>
          <w:p w14:paraId="225F3ED7">
            <w:pPr>
              <w:spacing w:before="20" w:after="20"/>
              <w:jc w:val="center"/>
              <w:rPr>
                <w:rFonts w:hint="eastAsia" w:ascii="宋体" w:hAnsi="宋体"/>
              </w:rPr>
            </w:pPr>
            <w:r>
              <w:rPr>
                <w:rFonts w:hint="eastAsia" w:ascii="宋体" w:hAnsi="宋体"/>
                <w:b/>
                <w:sz w:val="21"/>
              </w:rPr>
              <w:t>序号</w:t>
            </w:r>
          </w:p>
        </w:tc>
        <w:tc>
          <w:tcPr>
            <w:tcW w:w="833" w:type="pct"/>
            <w:tcMar>
              <w:top w:w="40" w:type="dxa"/>
              <w:left w:w="60" w:type="dxa"/>
              <w:bottom w:w="40" w:type="dxa"/>
              <w:right w:w="60" w:type="dxa"/>
            </w:tcMar>
            <w:vAlign w:val="center"/>
          </w:tcPr>
          <w:p w14:paraId="3AFA8823">
            <w:pPr>
              <w:spacing w:before="20" w:after="20"/>
              <w:jc w:val="center"/>
              <w:rPr>
                <w:rFonts w:hint="eastAsia" w:ascii="宋体" w:hAnsi="宋体"/>
              </w:rPr>
            </w:pPr>
            <w:r>
              <w:rPr>
                <w:rFonts w:hint="eastAsia" w:ascii="宋体" w:hAnsi="宋体"/>
                <w:b/>
                <w:sz w:val="21"/>
              </w:rPr>
              <w:t>考核指标名称</w:t>
            </w:r>
          </w:p>
        </w:tc>
        <w:tc>
          <w:tcPr>
            <w:tcW w:w="1034" w:type="pct"/>
            <w:tcMar>
              <w:top w:w="40" w:type="dxa"/>
              <w:left w:w="60" w:type="dxa"/>
              <w:bottom w:w="40" w:type="dxa"/>
              <w:right w:w="60" w:type="dxa"/>
            </w:tcMar>
            <w:vAlign w:val="center"/>
          </w:tcPr>
          <w:p w14:paraId="38456BE0">
            <w:pPr>
              <w:spacing w:before="20" w:after="20"/>
              <w:jc w:val="center"/>
              <w:rPr>
                <w:rFonts w:hint="eastAsia" w:ascii="宋体" w:hAnsi="宋体"/>
              </w:rPr>
            </w:pPr>
            <w:r>
              <w:rPr>
                <w:rFonts w:hint="eastAsia" w:ascii="宋体" w:hAnsi="宋体"/>
                <w:b/>
                <w:sz w:val="21"/>
              </w:rPr>
              <w:t>考核指标定义</w:t>
            </w:r>
          </w:p>
        </w:tc>
        <w:tc>
          <w:tcPr>
            <w:tcW w:w="0" w:type="auto"/>
            <w:tcMar>
              <w:top w:w="40" w:type="dxa"/>
              <w:left w:w="60" w:type="dxa"/>
              <w:bottom w:w="40" w:type="dxa"/>
              <w:right w:w="60" w:type="dxa"/>
            </w:tcMar>
            <w:vAlign w:val="center"/>
          </w:tcPr>
          <w:p w14:paraId="5A483CF3">
            <w:pPr>
              <w:spacing w:before="20" w:after="20"/>
              <w:jc w:val="center"/>
              <w:rPr>
                <w:rFonts w:hint="eastAsia" w:ascii="宋体" w:hAnsi="宋体"/>
              </w:rPr>
            </w:pPr>
            <w:r>
              <w:rPr>
                <w:rFonts w:hint="eastAsia" w:ascii="宋体" w:hAnsi="宋体"/>
                <w:b/>
                <w:sz w:val="21"/>
              </w:rPr>
              <w:t>验收指标值</w:t>
            </w:r>
          </w:p>
        </w:tc>
        <w:tc>
          <w:tcPr>
            <w:tcW w:w="0" w:type="auto"/>
            <w:tcMar>
              <w:top w:w="40" w:type="dxa"/>
              <w:left w:w="60" w:type="dxa"/>
              <w:bottom w:w="40" w:type="dxa"/>
              <w:right w:w="60" w:type="dxa"/>
            </w:tcMar>
            <w:vAlign w:val="center"/>
          </w:tcPr>
          <w:p w14:paraId="2057288C">
            <w:pPr>
              <w:spacing w:before="20" w:after="20"/>
              <w:jc w:val="center"/>
              <w:rPr>
                <w:rFonts w:hint="eastAsia" w:ascii="宋体" w:hAnsi="宋体"/>
              </w:rPr>
            </w:pPr>
            <w:r>
              <w:rPr>
                <w:rFonts w:hint="eastAsia" w:ascii="宋体" w:hAnsi="宋体"/>
                <w:b/>
                <w:sz w:val="21"/>
              </w:rPr>
              <w:t>验证方法</w:t>
            </w:r>
          </w:p>
        </w:tc>
      </w:tr>
      <w:tr w14:paraId="5203F6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c>
          <w:tcPr>
            <w:tcW w:w="0" w:type="auto"/>
            <w:tcMar>
              <w:top w:w="40" w:type="dxa"/>
              <w:left w:w="60" w:type="dxa"/>
              <w:bottom w:w="40" w:type="dxa"/>
              <w:right w:w="60" w:type="dxa"/>
            </w:tcMar>
            <w:vAlign w:val="center"/>
          </w:tcPr>
          <w:p w14:paraId="0B2332CA">
            <w:pPr>
              <w:spacing w:before="20" w:after="20"/>
              <w:jc w:val="center"/>
              <w:rPr>
                <w:rFonts w:hint="eastAsia" w:ascii="宋体" w:hAnsi="宋体" w:eastAsia="宋体" w:cs="宋体"/>
              </w:rPr>
            </w:pPr>
            <w:r>
              <w:rPr>
                <w:rFonts w:hint="eastAsia" w:ascii="宋体" w:hAnsi="宋体" w:eastAsia="宋体" w:cs="宋体"/>
                <w:sz w:val="21"/>
              </w:rPr>
              <w:t>1</w:t>
            </w:r>
          </w:p>
        </w:tc>
        <w:tc>
          <w:tcPr>
            <w:tcW w:w="833" w:type="pct"/>
            <w:tcMar>
              <w:top w:w="40" w:type="dxa"/>
              <w:left w:w="60" w:type="dxa"/>
              <w:bottom w:w="40" w:type="dxa"/>
              <w:right w:w="60" w:type="dxa"/>
            </w:tcMar>
            <w:vAlign w:val="center"/>
          </w:tcPr>
          <w:p w14:paraId="60601E49">
            <w:pPr>
              <w:spacing w:before="20" w:after="20"/>
              <w:jc w:val="left"/>
              <w:rPr>
                <w:rFonts w:hint="eastAsia" w:ascii="宋体" w:hAnsi="宋体" w:eastAsia="宋体" w:cs="宋体"/>
              </w:rPr>
            </w:pPr>
            <w:r>
              <w:rPr>
                <w:rFonts w:hint="eastAsia" w:ascii="宋体" w:hAnsi="宋体" w:eastAsia="宋体" w:cs="宋体"/>
                <w:sz w:val="21"/>
              </w:rPr>
              <w:t>探测与预警范围</w:t>
            </w:r>
          </w:p>
        </w:tc>
        <w:tc>
          <w:tcPr>
            <w:tcW w:w="1034" w:type="pct"/>
            <w:tcMar>
              <w:top w:w="40" w:type="dxa"/>
              <w:left w:w="60" w:type="dxa"/>
              <w:bottom w:w="40" w:type="dxa"/>
              <w:right w:w="60" w:type="dxa"/>
            </w:tcMar>
            <w:vAlign w:val="center"/>
          </w:tcPr>
          <w:p w14:paraId="6276CB7B">
            <w:pPr>
              <w:spacing w:before="20" w:after="20"/>
              <w:jc w:val="left"/>
              <w:rPr>
                <w:rFonts w:hint="eastAsia" w:ascii="宋体" w:hAnsi="宋体" w:eastAsia="宋体" w:cs="宋体"/>
              </w:rPr>
            </w:pPr>
            <w:r>
              <w:rPr>
                <w:rFonts w:hint="eastAsia" w:ascii="宋体" w:hAnsi="宋体" w:eastAsia="宋体" w:cs="宋体"/>
                <w:sz w:val="21"/>
              </w:rPr>
              <w:t>装置对带电/停电电缆可实现动态预警的距离范围</w:t>
            </w:r>
          </w:p>
        </w:tc>
        <w:tc>
          <w:tcPr>
            <w:tcW w:w="0" w:type="auto"/>
            <w:tcMar>
              <w:top w:w="40" w:type="dxa"/>
              <w:left w:w="60" w:type="dxa"/>
              <w:bottom w:w="40" w:type="dxa"/>
              <w:right w:w="60" w:type="dxa"/>
            </w:tcMar>
            <w:vAlign w:val="center"/>
          </w:tcPr>
          <w:p w14:paraId="02691C48">
            <w:pPr>
              <w:spacing w:before="20" w:after="20"/>
              <w:jc w:val="left"/>
              <w:rPr>
                <w:rFonts w:hint="eastAsia" w:ascii="宋体" w:hAnsi="宋体" w:eastAsia="宋体" w:cs="宋体"/>
              </w:rPr>
            </w:pPr>
            <w:r>
              <w:rPr>
                <w:rFonts w:hint="eastAsia" w:ascii="宋体" w:hAnsi="宋体" w:eastAsia="宋体" w:cs="宋体"/>
                <w:sz w:val="21"/>
              </w:rPr>
              <w:t>带电电缆1–5m、停电电缆0.5–2m；预警范围3m（带电）/1m（不带电）</w:t>
            </w:r>
          </w:p>
        </w:tc>
        <w:tc>
          <w:tcPr>
            <w:tcW w:w="0" w:type="auto"/>
            <w:tcMar>
              <w:top w:w="40" w:type="dxa"/>
              <w:left w:w="60" w:type="dxa"/>
              <w:bottom w:w="40" w:type="dxa"/>
              <w:right w:w="60" w:type="dxa"/>
            </w:tcMar>
            <w:vAlign w:val="center"/>
          </w:tcPr>
          <w:p w14:paraId="156EAD88">
            <w:pPr>
              <w:spacing w:before="20" w:after="20"/>
              <w:jc w:val="left"/>
              <w:rPr>
                <w:rFonts w:hint="eastAsia" w:ascii="宋体" w:hAnsi="宋体" w:eastAsia="宋体" w:cs="宋体"/>
              </w:rPr>
            </w:pPr>
            <w:r>
              <w:rPr>
                <w:rFonts w:hint="eastAsia" w:ascii="宋体" w:hAnsi="宋体" w:eastAsia="宋体" w:cs="宋体"/>
                <w:sz w:val="21"/>
              </w:rPr>
              <w:t>专家评审或第三方测试</w:t>
            </w:r>
          </w:p>
        </w:tc>
      </w:tr>
      <w:tr w14:paraId="1A8081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c>
          <w:tcPr>
            <w:tcW w:w="0" w:type="auto"/>
            <w:tcMar>
              <w:top w:w="40" w:type="dxa"/>
              <w:left w:w="60" w:type="dxa"/>
              <w:bottom w:w="40" w:type="dxa"/>
              <w:right w:w="60" w:type="dxa"/>
            </w:tcMar>
            <w:vAlign w:val="center"/>
          </w:tcPr>
          <w:p w14:paraId="7D1FF062">
            <w:pPr>
              <w:spacing w:before="20" w:after="20"/>
              <w:jc w:val="center"/>
              <w:rPr>
                <w:rFonts w:hint="eastAsia" w:ascii="宋体" w:hAnsi="宋体" w:eastAsia="宋体" w:cs="宋体"/>
              </w:rPr>
            </w:pPr>
            <w:r>
              <w:rPr>
                <w:rFonts w:hint="eastAsia" w:ascii="宋体" w:hAnsi="宋体" w:eastAsia="宋体" w:cs="宋体"/>
                <w:sz w:val="21"/>
              </w:rPr>
              <w:t>2</w:t>
            </w:r>
          </w:p>
        </w:tc>
        <w:tc>
          <w:tcPr>
            <w:tcW w:w="833" w:type="pct"/>
            <w:tcMar>
              <w:top w:w="40" w:type="dxa"/>
              <w:left w:w="60" w:type="dxa"/>
              <w:bottom w:w="40" w:type="dxa"/>
              <w:right w:w="60" w:type="dxa"/>
            </w:tcMar>
            <w:vAlign w:val="center"/>
          </w:tcPr>
          <w:p w14:paraId="4D55DE9B">
            <w:pPr>
              <w:spacing w:before="20" w:after="20"/>
              <w:jc w:val="left"/>
              <w:rPr>
                <w:rFonts w:hint="eastAsia" w:ascii="宋体" w:hAnsi="宋体" w:eastAsia="宋体" w:cs="宋体"/>
              </w:rPr>
            </w:pPr>
            <w:r>
              <w:rPr>
                <w:rFonts w:hint="eastAsia" w:ascii="宋体" w:hAnsi="宋体" w:eastAsia="宋体" w:cs="宋体"/>
                <w:sz w:val="21"/>
              </w:rPr>
              <w:t>报警响应时间</w:t>
            </w:r>
          </w:p>
        </w:tc>
        <w:tc>
          <w:tcPr>
            <w:tcW w:w="1034" w:type="pct"/>
            <w:tcMar>
              <w:top w:w="40" w:type="dxa"/>
              <w:left w:w="60" w:type="dxa"/>
              <w:bottom w:w="40" w:type="dxa"/>
              <w:right w:w="60" w:type="dxa"/>
            </w:tcMar>
            <w:vAlign w:val="center"/>
          </w:tcPr>
          <w:p w14:paraId="7249B5A6">
            <w:pPr>
              <w:spacing w:before="20" w:after="20"/>
              <w:jc w:val="left"/>
              <w:rPr>
                <w:rFonts w:hint="eastAsia" w:ascii="宋体" w:hAnsi="宋体" w:eastAsia="宋体" w:cs="宋体"/>
              </w:rPr>
            </w:pPr>
            <w:r>
              <w:rPr>
                <w:rFonts w:hint="eastAsia" w:ascii="宋体" w:hAnsi="宋体" w:eastAsia="宋体" w:cs="宋体"/>
                <w:sz w:val="21"/>
              </w:rPr>
              <w:t>从满足预警条件至检测装置发出报警的时间</w:t>
            </w:r>
          </w:p>
        </w:tc>
        <w:tc>
          <w:tcPr>
            <w:tcW w:w="0" w:type="auto"/>
            <w:tcMar>
              <w:top w:w="40" w:type="dxa"/>
              <w:left w:w="60" w:type="dxa"/>
              <w:bottom w:w="40" w:type="dxa"/>
              <w:right w:w="60" w:type="dxa"/>
            </w:tcMar>
            <w:vAlign w:val="center"/>
          </w:tcPr>
          <w:p w14:paraId="10CA9D3D">
            <w:pPr>
              <w:spacing w:before="20" w:after="20"/>
              <w:jc w:val="left"/>
              <w:rPr>
                <w:rFonts w:hint="eastAsia" w:ascii="宋体" w:hAnsi="宋体" w:eastAsia="宋体" w:cs="宋体"/>
              </w:rPr>
            </w:pPr>
            <w:r>
              <w:rPr>
                <w:rFonts w:hint="eastAsia" w:ascii="宋体" w:hAnsi="宋体" w:eastAsia="宋体" w:cs="宋体"/>
                <w:sz w:val="21"/>
              </w:rPr>
              <w:t>≤0.5秒</w:t>
            </w:r>
          </w:p>
        </w:tc>
        <w:tc>
          <w:tcPr>
            <w:tcW w:w="0" w:type="auto"/>
            <w:tcMar>
              <w:top w:w="40" w:type="dxa"/>
              <w:left w:w="60" w:type="dxa"/>
              <w:bottom w:w="40" w:type="dxa"/>
              <w:right w:w="60" w:type="dxa"/>
            </w:tcMar>
            <w:vAlign w:val="center"/>
          </w:tcPr>
          <w:p w14:paraId="47FEF16B">
            <w:pPr>
              <w:spacing w:before="20" w:after="20"/>
              <w:jc w:val="left"/>
              <w:rPr>
                <w:rFonts w:hint="eastAsia" w:ascii="宋体" w:hAnsi="宋体" w:eastAsia="宋体" w:cs="宋体"/>
              </w:rPr>
            </w:pPr>
            <w:r>
              <w:rPr>
                <w:rFonts w:hint="eastAsia" w:ascii="宋体" w:hAnsi="宋体" w:eastAsia="宋体" w:cs="宋体"/>
                <w:sz w:val="21"/>
              </w:rPr>
              <w:t>专家评审或第三方测试</w:t>
            </w:r>
          </w:p>
        </w:tc>
      </w:tr>
      <w:tr w14:paraId="0367F6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c>
          <w:tcPr>
            <w:tcW w:w="0" w:type="auto"/>
            <w:tcMar>
              <w:top w:w="40" w:type="dxa"/>
              <w:left w:w="60" w:type="dxa"/>
              <w:bottom w:w="40" w:type="dxa"/>
              <w:right w:w="60" w:type="dxa"/>
            </w:tcMar>
            <w:vAlign w:val="center"/>
          </w:tcPr>
          <w:p w14:paraId="4F04EB5D">
            <w:pPr>
              <w:spacing w:before="20" w:after="20"/>
              <w:jc w:val="center"/>
              <w:rPr>
                <w:rFonts w:hint="eastAsia" w:ascii="宋体" w:hAnsi="宋体" w:eastAsia="宋体" w:cs="宋体"/>
              </w:rPr>
            </w:pPr>
            <w:r>
              <w:rPr>
                <w:rFonts w:hint="eastAsia" w:ascii="宋体" w:hAnsi="宋体" w:eastAsia="宋体" w:cs="宋体"/>
                <w:sz w:val="21"/>
              </w:rPr>
              <w:t>3</w:t>
            </w:r>
          </w:p>
        </w:tc>
        <w:tc>
          <w:tcPr>
            <w:tcW w:w="833" w:type="pct"/>
            <w:tcMar>
              <w:top w:w="40" w:type="dxa"/>
              <w:left w:w="60" w:type="dxa"/>
              <w:bottom w:w="40" w:type="dxa"/>
              <w:right w:w="60" w:type="dxa"/>
            </w:tcMar>
            <w:vAlign w:val="center"/>
          </w:tcPr>
          <w:p w14:paraId="0AC62435">
            <w:pPr>
              <w:spacing w:before="20" w:after="20"/>
              <w:jc w:val="left"/>
              <w:rPr>
                <w:rFonts w:hint="eastAsia" w:ascii="宋体" w:hAnsi="宋体" w:eastAsia="宋体" w:cs="宋体"/>
              </w:rPr>
            </w:pPr>
            <w:r>
              <w:rPr>
                <w:rFonts w:hint="eastAsia" w:ascii="宋体" w:hAnsi="宋体" w:eastAsia="宋体" w:cs="宋体"/>
                <w:sz w:val="21"/>
              </w:rPr>
              <w:t>深度定位精度</w:t>
            </w:r>
          </w:p>
        </w:tc>
        <w:tc>
          <w:tcPr>
            <w:tcW w:w="1034" w:type="pct"/>
            <w:tcMar>
              <w:top w:w="40" w:type="dxa"/>
              <w:left w:w="60" w:type="dxa"/>
              <w:bottom w:w="40" w:type="dxa"/>
              <w:right w:w="60" w:type="dxa"/>
            </w:tcMar>
            <w:vAlign w:val="center"/>
          </w:tcPr>
          <w:p w14:paraId="6E67BB6D">
            <w:pPr>
              <w:spacing w:before="20" w:after="20"/>
              <w:jc w:val="left"/>
              <w:rPr>
                <w:rFonts w:hint="eastAsia" w:ascii="宋体" w:hAnsi="宋体" w:eastAsia="宋体" w:cs="宋体"/>
              </w:rPr>
            </w:pPr>
            <w:r>
              <w:rPr>
                <w:rFonts w:hint="eastAsia" w:ascii="宋体" w:hAnsi="宋体" w:eastAsia="宋体" w:cs="宋体"/>
                <w:sz w:val="21"/>
              </w:rPr>
              <w:t>装置对电缆深度方向的定位误差</w:t>
            </w:r>
          </w:p>
        </w:tc>
        <w:tc>
          <w:tcPr>
            <w:tcW w:w="0" w:type="auto"/>
            <w:tcMar>
              <w:top w:w="40" w:type="dxa"/>
              <w:left w:w="60" w:type="dxa"/>
              <w:bottom w:w="40" w:type="dxa"/>
              <w:right w:w="60" w:type="dxa"/>
            </w:tcMar>
            <w:vAlign w:val="center"/>
          </w:tcPr>
          <w:p w14:paraId="1C8E2AF4">
            <w:pPr>
              <w:spacing w:before="20" w:after="20"/>
              <w:jc w:val="left"/>
              <w:rPr>
                <w:rFonts w:hint="eastAsia" w:ascii="宋体" w:hAnsi="宋体" w:eastAsia="宋体" w:cs="宋体"/>
              </w:rPr>
            </w:pPr>
            <w:r>
              <w:rPr>
                <w:rFonts w:hint="eastAsia" w:ascii="宋体" w:hAnsi="宋体" w:eastAsia="宋体" w:cs="宋体"/>
                <w:sz w:val="21"/>
              </w:rPr>
              <w:t>±40厘米（深度）</w:t>
            </w:r>
          </w:p>
        </w:tc>
        <w:tc>
          <w:tcPr>
            <w:tcW w:w="0" w:type="auto"/>
            <w:tcMar>
              <w:top w:w="40" w:type="dxa"/>
              <w:left w:w="60" w:type="dxa"/>
              <w:bottom w:w="40" w:type="dxa"/>
              <w:right w:w="60" w:type="dxa"/>
            </w:tcMar>
            <w:vAlign w:val="center"/>
          </w:tcPr>
          <w:p w14:paraId="15128AEA">
            <w:pPr>
              <w:spacing w:before="20" w:after="20"/>
              <w:jc w:val="left"/>
              <w:rPr>
                <w:rFonts w:hint="eastAsia" w:ascii="宋体" w:hAnsi="宋体" w:eastAsia="宋体" w:cs="宋体"/>
              </w:rPr>
            </w:pPr>
            <w:r>
              <w:rPr>
                <w:rFonts w:hint="eastAsia" w:ascii="宋体" w:hAnsi="宋体" w:eastAsia="宋体" w:cs="宋体"/>
                <w:sz w:val="21"/>
              </w:rPr>
              <w:t>专家评审或第三方测试</w:t>
            </w:r>
          </w:p>
        </w:tc>
      </w:tr>
      <w:tr w14:paraId="5B0A14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 w:type="dxa"/>
            <w:bottom w:w="0" w:type="dxa"/>
            <w:right w:w="10" w:type="dxa"/>
          </w:tblCellMar>
        </w:tblPrEx>
        <w:tc>
          <w:tcPr>
            <w:tcW w:w="0" w:type="auto"/>
            <w:tcMar>
              <w:top w:w="40" w:type="dxa"/>
              <w:left w:w="60" w:type="dxa"/>
              <w:bottom w:w="40" w:type="dxa"/>
              <w:right w:w="60" w:type="dxa"/>
            </w:tcMar>
            <w:vAlign w:val="center"/>
          </w:tcPr>
          <w:p w14:paraId="4660796E">
            <w:pPr>
              <w:spacing w:before="20" w:after="20"/>
              <w:jc w:val="center"/>
              <w:rPr>
                <w:rFonts w:hint="eastAsia" w:ascii="宋体" w:hAnsi="宋体" w:eastAsia="宋体" w:cs="宋体"/>
              </w:rPr>
            </w:pPr>
            <w:r>
              <w:rPr>
                <w:rFonts w:hint="eastAsia" w:ascii="宋体" w:hAnsi="宋体" w:eastAsia="宋体" w:cs="宋体"/>
                <w:sz w:val="21"/>
              </w:rPr>
              <w:t>4</w:t>
            </w:r>
          </w:p>
        </w:tc>
        <w:tc>
          <w:tcPr>
            <w:tcW w:w="833" w:type="pct"/>
            <w:tcMar>
              <w:top w:w="40" w:type="dxa"/>
              <w:left w:w="60" w:type="dxa"/>
              <w:bottom w:w="40" w:type="dxa"/>
              <w:right w:w="60" w:type="dxa"/>
            </w:tcMar>
            <w:vAlign w:val="center"/>
          </w:tcPr>
          <w:p w14:paraId="7E1F5729">
            <w:pPr>
              <w:spacing w:before="20" w:after="20"/>
              <w:jc w:val="left"/>
              <w:rPr>
                <w:rFonts w:hint="eastAsia" w:ascii="宋体" w:hAnsi="宋体" w:eastAsia="宋体" w:cs="宋体"/>
              </w:rPr>
            </w:pPr>
            <w:r>
              <w:rPr>
                <w:rFonts w:hint="eastAsia" w:ascii="宋体" w:hAnsi="宋体" w:eastAsia="宋体" w:cs="宋体"/>
                <w:sz w:val="21"/>
              </w:rPr>
              <w:t>抗电磁干扰能力</w:t>
            </w:r>
          </w:p>
        </w:tc>
        <w:tc>
          <w:tcPr>
            <w:tcW w:w="1034" w:type="pct"/>
            <w:tcMar>
              <w:top w:w="40" w:type="dxa"/>
              <w:left w:w="60" w:type="dxa"/>
              <w:bottom w:w="40" w:type="dxa"/>
              <w:right w:w="60" w:type="dxa"/>
            </w:tcMar>
            <w:vAlign w:val="center"/>
          </w:tcPr>
          <w:p w14:paraId="135FB6CF">
            <w:pPr>
              <w:spacing w:before="20" w:after="20"/>
              <w:jc w:val="left"/>
              <w:rPr>
                <w:rFonts w:hint="eastAsia" w:ascii="宋体" w:hAnsi="宋体" w:eastAsia="宋体" w:cs="宋体"/>
              </w:rPr>
            </w:pPr>
            <w:r>
              <w:rPr>
                <w:rFonts w:hint="eastAsia" w:ascii="宋体" w:hAnsi="宋体" w:eastAsia="宋体" w:cs="宋体"/>
                <w:sz w:val="21"/>
              </w:rPr>
              <w:t>检测装置可稳定工作的最低抗电磁干扰强度</w:t>
            </w:r>
          </w:p>
        </w:tc>
        <w:tc>
          <w:tcPr>
            <w:tcW w:w="0" w:type="auto"/>
            <w:tcMar>
              <w:top w:w="40" w:type="dxa"/>
              <w:left w:w="60" w:type="dxa"/>
              <w:bottom w:w="40" w:type="dxa"/>
              <w:right w:w="60" w:type="dxa"/>
            </w:tcMar>
            <w:vAlign w:val="center"/>
          </w:tcPr>
          <w:p w14:paraId="59F4E0DD">
            <w:pPr>
              <w:spacing w:before="20" w:after="20"/>
              <w:jc w:val="left"/>
              <w:rPr>
                <w:rFonts w:hint="eastAsia" w:ascii="宋体" w:hAnsi="宋体" w:eastAsia="宋体" w:cs="宋体"/>
              </w:rPr>
            </w:pPr>
            <w:r>
              <w:rPr>
                <w:rFonts w:hint="eastAsia" w:ascii="宋体" w:hAnsi="宋体" w:eastAsia="宋体" w:cs="宋体"/>
                <w:sz w:val="21"/>
              </w:rPr>
              <w:t>最低抗电磁干扰射频30V/m</w:t>
            </w:r>
          </w:p>
        </w:tc>
        <w:tc>
          <w:tcPr>
            <w:tcW w:w="0" w:type="auto"/>
            <w:tcMar>
              <w:top w:w="40" w:type="dxa"/>
              <w:left w:w="60" w:type="dxa"/>
              <w:bottom w:w="40" w:type="dxa"/>
              <w:right w:w="60" w:type="dxa"/>
            </w:tcMar>
            <w:vAlign w:val="center"/>
          </w:tcPr>
          <w:p w14:paraId="22636AEF">
            <w:pPr>
              <w:spacing w:before="20" w:after="20"/>
              <w:jc w:val="left"/>
              <w:rPr>
                <w:rFonts w:hint="eastAsia" w:ascii="宋体" w:hAnsi="宋体" w:eastAsia="宋体" w:cs="宋体"/>
              </w:rPr>
            </w:pPr>
            <w:r>
              <w:rPr>
                <w:rFonts w:hint="eastAsia" w:ascii="宋体" w:hAnsi="宋体" w:eastAsia="宋体" w:cs="宋体"/>
                <w:sz w:val="21"/>
              </w:rPr>
              <w:t>专家评审或第三方测试</w:t>
            </w:r>
          </w:p>
        </w:tc>
      </w:tr>
    </w:tbl>
    <w:p w14:paraId="1A659F9D">
      <w:pPr>
        <w:widowControl/>
        <w:spacing w:before="240" w:beforeLines="100" w:line="360" w:lineRule="auto"/>
        <w:jc w:val="left"/>
        <w:outlineLvl w:val="0"/>
        <w:rPr>
          <w:rFonts w:hint="eastAsia" w:ascii="黑体" w:hAnsi="黑体" w:eastAsia="黑体" w:cs="黑体"/>
          <w:b/>
          <w:sz w:val="28"/>
          <w:szCs w:val="28"/>
        </w:rPr>
      </w:pPr>
      <w:bookmarkStart w:id="9" w:name="_Toc30047"/>
      <w:r>
        <w:rPr>
          <w:rFonts w:hint="eastAsia" w:ascii="黑体" w:hAnsi="黑体" w:eastAsia="黑体" w:cs="黑体"/>
          <w:b/>
          <w:sz w:val="28"/>
          <w:szCs w:val="28"/>
        </w:rPr>
        <w:t>6  投标技术文件要求</w:t>
      </w:r>
      <w:bookmarkEnd w:id="9"/>
    </w:p>
    <w:p w14:paraId="3C9EB365">
      <w:pPr>
        <w:spacing w:line="360" w:lineRule="auto"/>
        <w:outlineLvl w:val="1"/>
        <w:rPr>
          <w:rFonts w:hint="eastAsia" w:ascii="黑体" w:hAnsi="黑体" w:eastAsia="黑体" w:cs="黑体"/>
          <w:bCs/>
          <w:kern w:val="2"/>
          <w:sz w:val="24"/>
          <w:szCs w:val="24"/>
        </w:rPr>
      </w:pPr>
      <w:bookmarkStart w:id="10" w:name="_Toc26928"/>
      <w:r>
        <w:rPr>
          <w:rFonts w:hint="eastAsia" w:ascii="黑体" w:hAnsi="黑体" w:eastAsia="黑体" w:cs="黑体"/>
          <w:bCs/>
          <w:kern w:val="2"/>
          <w:sz w:val="24"/>
          <w:szCs w:val="24"/>
        </w:rPr>
        <w:t>6.1 研究方案</w:t>
      </w:r>
      <w:bookmarkEnd w:id="10"/>
    </w:p>
    <w:p w14:paraId="2F55052E">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（1）项目技术路线</w:t>
      </w:r>
    </w:p>
    <w:p w14:paraId="6BB4873B">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项目实施的总体研究思路和总体框架。</w:t>
      </w:r>
    </w:p>
    <w:p w14:paraId="07B4D441">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（2）技术方案</w:t>
      </w:r>
    </w:p>
    <w:p w14:paraId="3F3F71CB">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投标方应针对每项研究内容提供详尽的技术解决方案。</w:t>
      </w:r>
    </w:p>
    <w:p w14:paraId="332843BF">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（3）重点解决的技术难题</w:t>
      </w:r>
    </w:p>
    <w:p w14:paraId="7DFD031B">
      <w:pPr>
        <w:spacing w:line="360" w:lineRule="auto"/>
        <w:outlineLvl w:val="2"/>
        <w:rPr>
          <w:rFonts w:hint="eastAsia" w:ascii="宋体" w:hAnsi="宋体" w:eastAsia="宋体" w:cs="宋体"/>
          <w:color w:val="000000"/>
          <w:kern w:val="2"/>
          <w:sz w:val="24"/>
          <w:szCs w:val="24"/>
        </w:rPr>
      </w:pPr>
      <w:r>
        <w:rPr>
          <w:rFonts w:hint="eastAsia" w:ascii="宋体" w:hAnsi="宋体" w:eastAsia="宋体" w:cs="宋体"/>
          <w:kern w:val="2"/>
          <w:sz w:val="24"/>
          <w:szCs w:val="24"/>
        </w:rPr>
        <w:t>（4）主要技术指标实现的可行性</w:t>
      </w:r>
    </w:p>
    <w:p w14:paraId="6E6D294D">
      <w:pPr>
        <w:spacing w:line="360" w:lineRule="auto"/>
        <w:outlineLvl w:val="1"/>
        <w:rPr>
          <w:rFonts w:hint="eastAsia" w:ascii="黑体" w:hAnsi="黑体" w:eastAsia="黑体" w:cs="黑体"/>
          <w:bCs/>
          <w:kern w:val="2"/>
          <w:sz w:val="24"/>
          <w:szCs w:val="24"/>
        </w:rPr>
      </w:pPr>
      <w:bookmarkStart w:id="11" w:name="_Toc3443"/>
      <w:bookmarkStart w:id="12" w:name="_Toc12714"/>
      <w:r>
        <w:rPr>
          <w:rFonts w:hint="eastAsia" w:ascii="黑体" w:hAnsi="黑体" w:eastAsia="黑体" w:cs="黑体"/>
          <w:bCs/>
          <w:kern w:val="2"/>
          <w:sz w:val="24"/>
          <w:szCs w:val="24"/>
        </w:rPr>
        <w:t>6.2 项目管理实施</w:t>
      </w:r>
      <w:bookmarkEnd w:id="11"/>
      <w:bookmarkEnd w:id="12"/>
    </w:p>
    <w:p w14:paraId="6CD670F9">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（1）项目人员组织</w:t>
      </w:r>
    </w:p>
    <w:p w14:paraId="79B8DFFD">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介绍项目人员组织情况、职责分工。</w:t>
      </w:r>
    </w:p>
    <w:p w14:paraId="4475DD87">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（2）项目进度</w:t>
      </w:r>
    </w:p>
    <w:p w14:paraId="78C05E2E">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提交详细的项目实施计划，明确里程碑。</w:t>
      </w:r>
    </w:p>
    <w:p w14:paraId="06E9F843">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（3）项目交付项</w:t>
      </w:r>
    </w:p>
    <w:p w14:paraId="58E5C508">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说明项目阶段任务完成后，投标方根据成果交付与验收要求应提交给招标方的产品、服务以及交接文件等，并附上相应的交付时间计划表。</w:t>
      </w:r>
    </w:p>
    <w:p w14:paraId="01C4A192">
      <w:pPr>
        <w:spacing w:line="360" w:lineRule="auto"/>
        <w:outlineLvl w:val="1"/>
        <w:rPr>
          <w:rFonts w:hint="eastAsia" w:ascii="黑体" w:hAnsi="黑体" w:eastAsia="黑体" w:cs="黑体"/>
          <w:bCs/>
          <w:kern w:val="2"/>
          <w:sz w:val="24"/>
          <w:szCs w:val="24"/>
        </w:rPr>
      </w:pPr>
      <w:bookmarkStart w:id="13" w:name="_Toc29755"/>
      <w:r>
        <w:rPr>
          <w:rFonts w:hint="eastAsia" w:ascii="黑体" w:hAnsi="黑体" w:eastAsia="黑体" w:cs="黑体"/>
          <w:bCs/>
          <w:kern w:val="2"/>
          <w:sz w:val="24"/>
          <w:szCs w:val="24"/>
        </w:rPr>
        <w:t>6.3 项目技术支撑能力</w:t>
      </w:r>
      <w:bookmarkEnd w:id="13"/>
    </w:p>
    <w:p w14:paraId="6F771376">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（1）项目经验</w:t>
      </w:r>
    </w:p>
    <w:p w14:paraId="46328344">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该部分填写与标的物相关的项目研究经验、合同情况、论文专利和获奖情况。</w:t>
      </w:r>
    </w:p>
    <w:p w14:paraId="1AE299C1">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（2）人员支撑能力</w:t>
      </w:r>
    </w:p>
    <w:p w14:paraId="0231309F">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该部分填写与标的物相关的本项目研究成员详细资料（包括学历、资质、研究方向/工作经验等），提供相关支撑材料。</w:t>
      </w:r>
    </w:p>
    <w:p w14:paraId="3422FD62">
      <w:pPr>
        <w:spacing w:line="360" w:lineRule="auto"/>
        <w:outlineLvl w:val="2"/>
        <w:rPr>
          <w:rFonts w:hint="eastAsia" w:ascii="宋体" w:hAnsi="宋体" w:eastAsia="宋体" w:cs="宋体"/>
          <w:kern w:val="2"/>
          <w:sz w:val="24"/>
          <w:szCs w:val="24"/>
        </w:rPr>
      </w:pPr>
      <w:r>
        <w:rPr>
          <w:rFonts w:hint="eastAsia" w:ascii="宋体" w:hAnsi="宋体" w:eastAsia="宋体" w:cs="宋体"/>
          <w:kern w:val="2"/>
          <w:sz w:val="24"/>
          <w:szCs w:val="24"/>
        </w:rPr>
        <w:t>（3）设备支撑能力</w:t>
      </w:r>
    </w:p>
    <w:p w14:paraId="3D5F663B">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该部分填写与标的物相关的、支撑该项目研究的设备、平台、实验室等。</w:t>
      </w:r>
    </w:p>
    <w:p w14:paraId="0FE1B6CF">
      <w:pPr>
        <w:spacing w:line="360" w:lineRule="auto"/>
        <w:outlineLvl w:val="1"/>
        <w:rPr>
          <w:rFonts w:hint="eastAsia" w:ascii="黑体" w:hAnsi="黑体" w:eastAsia="黑体" w:cs="黑体"/>
          <w:bCs/>
          <w:kern w:val="2"/>
          <w:sz w:val="24"/>
          <w:szCs w:val="24"/>
        </w:rPr>
      </w:pPr>
      <w:bookmarkStart w:id="14" w:name="_Toc3357"/>
      <w:bookmarkStart w:id="15" w:name="_Toc25058"/>
      <w:r>
        <w:rPr>
          <w:rFonts w:hint="eastAsia" w:ascii="黑体" w:hAnsi="黑体" w:eastAsia="黑体" w:cs="黑体"/>
          <w:bCs/>
          <w:kern w:val="2"/>
          <w:sz w:val="24"/>
          <w:szCs w:val="24"/>
        </w:rPr>
        <w:t>6.4 技术支持与售后服务</w:t>
      </w:r>
      <w:bookmarkEnd w:id="14"/>
      <w:bookmarkEnd w:id="15"/>
    </w:p>
    <w:p w14:paraId="612EE0B7">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投标方要明确所能提供的服务内容，服务方式，服务承诺和售后服务等情况。</w:t>
      </w:r>
    </w:p>
    <w:p w14:paraId="5E6FAB30">
      <w:pPr>
        <w:spacing w:line="360" w:lineRule="auto"/>
        <w:outlineLvl w:val="1"/>
        <w:rPr>
          <w:rFonts w:hint="eastAsia" w:ascii="黑体" w:hAnsi="黑体" w:eastAsia="黑体" w:cs="黑体"/>
          <w:bCs/>
          <w:kern w:val="2"/>
          <w:sz w:val="24"/>
          <w:szCs w:val="24"/>
        </w:rPr>
      </w:pPr>
      <w:bookmarkStart w:id="16" w:name="_Toc17138"/>
      <w:r>
        <w:rPr>
          <w:rFonts w:hint="eastAsia" w:ascii="黑体" w:hAnsi="黑体" w:eastAsia="黑体" w:cs="黑体"/>
          <w:bCs/>
          <w:kern w:val="2"/>
          <w:sz w:val="24"/>
          <w:szCs w:val="24"/>
        </w:rPr>
        <w:t>6.5 技术差异表</w:t>
      </w:r>
      <w:bookmarkEnd w:id="16"/>
    </w:p>
    <w:p w14:paraId="7D07410D">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投标方应针对主要技术指标要求、成果交付数量要求等填写响应的差异情况。</w:t>
      </w:r>
    </w:p>
    <w:p w14:paraId="1A579027">
      <w:pPr>
        <w:spacing w:line="360" w:lineRule="auto"/>
        <w:jc w:val="center"/>
        <w:rPr>
          <w:rFonts w:hint="eastAsia" w:ascii="黑体" w:hAnsi="黑体" w:eastAsia="黑体" w:cs="黑体"/>
          <w:bCs/>
          <w:color w:val="000000"/>
          <w:kern w:val="2"/>
          <w:sz w:val="21"/>
          <w:szCs w:val="21"/>
        </w:rPr>
      </w:pPr>
      <w:r>
        <w:rPr>
          <w:rFonts w:hint="eastAsia" w:ascii="黑体" w:hAnsi="黑体" w:eastAsia="黑体" w:cs="黑体"/>
          <w:bCs/>
          <w:color w:val="000000"/>
          <w:kern w:val="2"/>
          <w:sz w:val="21"/>
          <w:szCs w:val="21"/>
        </w:rPr>
        <w:t>表6.1 技术指标差异表（投标方填写）</w:t>
      </w:r>
    </w:p>
    <w:tbl>
      <w:tblPr>
        <w:tblStyle w:val="16"/>
        <w:tblW w:w="8391"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486"/>
        <w:gridCol w:w="1782"/>
        <w:gridCol w:w="1574"/>
        <w:gridCol w:w="1485"/>
        <w:gridCol w:w="1713"/>
        <w:gridCol w:w="1351"/>
      </w:tblGrid>
      <w:tr w14:paraId="02CB0309">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096" w:hRule="atLeast"/>
          <w:jc w:val="center"/>
        </w:trPr>
        <w:tc>
          <w:tcPr>
            <w:tcW w:w="486" w:type="dxa"/>
            <w:tcBorders>
              <w:tl2br w:val="nil"/>
              <w:tr2bl w:val="nil"/>
            </w:tcBorders>
            <w:vAlign w:val="center"/>
          </w:tcPr>
          <w:p w14:paraId="2C41E888">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序号</w:t>
            </w:r>
          </w:p>
        </w:tc>
        <w:tc>
          <w:tcPr>
            <w:tcW w:w="1782" w:type="dxa"/>
            <w:tcBorders>
              <w:tl2br w:val="nil"/>
              <w:tr2bl w:val="nil"/>
            </w:tcBorders>
            <w:vAlign w:val="center"/>
          </w:tcPr>
          <w:p w14:paraId="7782845E">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名称</w:t>
            </w:r>
          </w:p>
          <w:p w14:paraId="651CF79E">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（技术指标/成果要求）</w:t>
            </w:r>
          </w:p>
        </w:tc>
        <w:tc>
          <w:tcPr>
            <w:tcW w:w="1574" w:type="dxa"/>
            <w:tcBorders>
              <w:tl2br w:val="nil"/>
              <w:tr2bl w:val="nil"/>
            </w:tcBorders>
            <w:vAlign w:val="center"/>
          </w:tcPr>
          <w:p w14:paraId="235450C7">
            <w:pPr>
              <w:widowControl/>
              <w:jc w:val="center"/>
              <w:textAlignment w:val="center"/>
              <w:rPr>
                <w:rFonts w:hint="eastAsia" w:ascii="宋体" w:hAnsi="宋体" w:eastAsia="宋体" w:cs="宋体"/>
                <w:color w:val="000000"/>
                <w:kern w:val="2"/>
                <w:sz w:val="21"/>
                <w:szCs w:val="21"/>
              </w:rPr>
            </w:pPr>
            <w:r>
              <w:rPr>
                <w:rFonts w:hint="eastAsia" w:ascii="宋体" w:hAnsi="宋体" w:eastAsia="宋体" w:cs="宋体"/>
                <w:color w:val="000000"/>
                <w:sz w:val="21"/>
                <w:szCs w:val="21"/>
                <w:lang w:bidi="ar"/>
              </w:rPr>
              <w:t>招标方要求值</w:t>
            </w:r>
          </w:p>
        </w:tc>
        <w:tc>
          <w:tcPr>
            <w:tcW w:w="1485" w:type="dxa"/>
            <w:tcBorders>
              <w:tl2br w:val="nil"/>
              <w:tr2bl w:val="nil"/>
            </w:tcBorders>
            <w:vAlign w:val="center"/>
          </w:tcPr>
          <w:p w14:paraId="74AB96BD">
            <w:pPr>
              <w:widowControl/>
              <w:jc w:val="center"/>
              <w:textAlignment w:val="center"/>
              <w:rPr>
                <w:rFonts w:hint="eastAsia" w:ascii="宋体" w:hAnsi="宋体" w:eastAsia="宋体" w:cs="宋体"/>
                <w:color w:val="000000"/>
                <w:kern w:val="2"/>
                <w:sz w:val="21"/>
                <w:szCs w:val="21"/>
              </w:rPr>
            </w:pPr>
            <w:r>
              <w:rPr>
                <w:rFonts w:hint="eastAsia" w:ascii="宋体" w:hAnsi="宋体" w:eastAsia="宋体" w:cs="宋体"/>
                <w:color w:val="000000"/>
                <w:sz w:val="21"/>
                <w:szCs w:val="21"/>
                <w:lang w:bidi="ar"/>
              </w:rPr>
              <w:t>投标方保证值</w:t>
            </w:r>
          </w:p>
        </w:tc>
        <w:tc>
          <w:tcPr>
            <w:tcW w:w="1713" w:type="dxa"/>
            <w:tcBorders>
              <w:tl2br w:val="nil"/>
              <w:tr2bl w:val="nil"/>
            </w:tcBorders>
            <w:vAlign w:val="center"/>
          </w:tcPr>
          <w:p w14:paraId="75C2D68E">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关键指标允许响应情况（正偏差/负偏差/无偏差）</w:t>
            </w:r>
          </w:p>
        </w:tc>
        <w:tc>
          <w:tcPr>
            <w:tcW w:w="1351" w:type="dxa"/>
            <w:tcBorders>
              <w:tl2br w:val="nil"/>
              <w:tr2bl w:val="nil"/>
            </w:tcBorders>
            <w:vAlign w:val="center"/>
          </w:tcPr>
          <w:p w14:paraId="4EADF634">
            <w:pPr>
              <w:widowControl/>
              <w:jc w:val="center"/>
              <w:textAlignment w:val="center"/>
              <w:rPr>
                <w:rFonts w:hint="eastAsia" w:ascii="宋体" w:hAnsi="宋体" w:eastAsia="宋体" w:cs="宋体"/>
                <w:color w:val="000000"/>
                <w:kern w:val="2"/>
                <w:sz w:val="21"/>
                <w:szCs w:val="21"/>
              </w:rPr>
            </w:pPr>
            <w:r>
              <w:rPr>
                <w:rFonts w:hint="eastAsia" w:ascii="宋体" w:hAnsi="宋体" w:eastAsia="宋体" w:cs="宋体"/>
                <w:color w:val="000000"/>
                <w:sz w:val="21"/>
                <w:szCs w:val="21"/>
                <w:lang w:bidi="ar"/>
              </w:rPr>
              <w:t>技术方案或保障措施所在的页码</w:t>
            </w:r>
          </w:p>
        </w:tc>
      </w:tr>
      <w:tr w14:paraId="2A12F598">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50" w:hRule="atLeast"/>
          <w:jc w:val="center"/>
        </w:trPr>
        <w:tc>
          <w:tcPr>
            <w:tcW w:w="486" w:type="dxa"/>
            <w:tcBorders>
              <w:tl2br w:val="nil"/>
              <w:tr2bl w:val="nil"/>
            </w:tcBorders>
            <w:vAlign w:val="center"/>
          </w:tcPr>
          <w:p w14:paraId="41401117">
            <w:pPr>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1</w:t>
            </w:r>
          </w:p>
        </w:tc>
        <w:tc>
          <w:tcPr>
            <w:tcW w:w="1782" w:type="dxa"/>
            <w:tcBorders>
              <w:tl2br w:val="nil"/>
              <w:tr2bl w:val="nil"/>
            </w:tcBorders>
            <w:vAlign w:val="center"/>
          </w:tcPr>
          <w:p w14:paraId="51DC6843">
            <w:pPr>
              <w:jc w:val="center"/>
              <w:rPr>
                <w:rFonts w:hint="eastAsia" w:ascii="宋体" w:hAnsi="宋体" w:eastAsia="宋体" w:cs="宋体"/>
                <w:kern w:val="2"/>
                <w:sz w:val="21"/>
                <w:szCs w:val="21"/>
                <w:highlight w:val="yellow"/>
              </w:rPr>
            </w:pPr>
          </w:p>
        </w:tc>
        <w:tc>
          <w:tcPr>
            <w:tcW w:w="1574" w:type="dxa"/>
            <w:tcBorders>
              <w:tl2br w:val="nil"/>
              <w:tr2bl w:val="nil"/>
            </w:tcBorders>
            <w:vAlign w:val="center"/>
          </w:tcPr>
          <w:p w14:paraId="0F98B912">
            <w:pPr>
              <w:jc w:val="center"/>
              <w:rPr>
                <w:rFonts w:hint="eastAsia" w:ascii="宋体" w:hAnsi="宋体" w:eastAsia="宋体" w:cs="宋体"/>
                <w:kern w:val="2"/>
                <w:sz w:val="21"/>
                <w:szCs w:val="21"/>
                <w:highlight w:val="yellow"/>
              </w:rPr>
            </w:pPr>
          </w:p>
        </w:tc>
        <w:tc>
          <w:tcPr>
            <w:tcW w:w="1485" w:type="dxa"/>
            <w:tcBorders>
              <w:tl2br w:val="nil"/>
              <w:tr2bl w:val="nil"/>
            </w:tcBorders>
            <w:vAlign w:val="center"/>
          </w:tcPr>
          <w:p w14:paraId="71009C23">
            <w:pPr>
              <w:jc w:val="center"/>
              <w:rPr>
                <w:rFonts w:hint="eastAsia" w:ascii="宋体" w:hAnsi="宋体" w:eastAsia="宋体" w:cs="宋体"/>
                <w:color w:val="000000"/>
                <w:kern w:val="2"/>
                <w:sz w:val="21"/>
                <w:szCs w:val="21"/>
                <w:highlight w:val="yellow"/>
              </w:rPr>
            </w:pPr>
          </w:p>
        </w:tc>
        <w:tc>
          <w:tcPr>
            <w:tcW w:w="1713" w:type="dxa"/>
            <w:tcBorders>
              <w:tl2br w:val="nil"/>
              <w:tr2bl w:val="nil"/>
            </w:tcBorders>
            <w:vAlign w:val="center"/>
          </w:tcPr>
          <w:p w14:paraId="3F72D82F">
            <w:pPr>
              <w:widowControl/>
              <w:jc w:val="center"/>
              <w:textAlignment w:val="center"/>
              <w:rPr>
                <w:rFonts w:hint="eastAsia" w:ascii="宋体" w:hAnsi="宋体" w:eastAsia="宋体" w:cs="宋体"/>
                <w:color w:val="000000"/>
                <w:kern w:val="2"/>
                <w:sz w:val="21"/>
                <w:szCs w:val="21"/>
                <w:highlight w:val="yellow"/>
              </w:rPr>
            </w:pPr>
          </w:p>
        </w:tc>
        <w:tc>
          <w:tcPr>
            <w:tcW w:w="1351" w:type="dxa"/>
            <w:tcBorders>
              <w:tl2br w:val="nil"/>
              <w:tr2bl w:val="nil"/>
            </w:tcBorders>
            <w:vAlign w:val="center"/>
          </w:tcPr>
          <w:p w14:paraId="33DC6B73">
            <w:pPr>
              <w:jc w:val="center"/>
              <w:rPr>
                <w:rFonts w:hint="eastAsia" w:ascii="宋体" w:hAnsi="宋体" w:eastAsia="宋体" w:cs="宋体"/>
                <w:color w:val="000000"/>
                <w:kern w:val="2"/>
                <w:sz w:val="21"/>
                <w:szCs w:val="21"/>
                <w:highlight w:val="yellow"/>
              </w:rPr>
            </w:pPr>
          </w:p>
        </w:tc>
      </w:tr>
      <w:tr w14:paraId="13C6C85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jc w:val="center"/>
        </w:trPr>
        <w:tc>
          <w:tcPr>
            <w:tcW w:w="486" w:type="dxa"/>
            <w:tcBorders>
              <w:tl2br w:val="nil"/>
              <w:tr2bl w:val="nil"/>
            </w:tcBorders>
            <w:vAlign w:val="center"/>
          </w:tcPr>
          <w:p w14:paraId="34648164">
            <w:pPr>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2</w:t>
            </w:r>
          </w:p>
        </w:tc>
        <w:tc>
          <w:tcPr>
            <w:tcW w:w="1782" w:type="dxa"/>
            <w:tcBorders>
              <w:tl2br w:val="nil"/>
              <w:tr2bl w:val="nil"/>
            </w:tcBorders>
            <w:vAlign w:val="center"/>
          </w:tcPr>
          <w:p w14:paraId="0EC4A383">
            <w:pPr>
              <w:jc w:val="center"/>
              <w:rPr>
                <w:rFonts w:hint="eastAsia" w:ascii="宋体" w:hAnsi="宋体" w:eastAsia="宋体" w:cs="宋体"/>
                <w:kern w:val="2"/>
                <w:sz w:val="21"/>
                <w:szCs w:val="21"/>
                <w:highlight w:val="yellow"/>
              </w:rPr>
            </w:pPr>
          </w:p>
        </w:tc>
        <w:tc>
          <w:tcPr>
            <w:tcW w:w="1574" w:type="dxa"/>
            <w:tcBorders>
              <w:tl2br w:val="nil"/>
              <w:tr2bl w:val="nil"/>
            </w:tcBorders>
            <w:vAlign w:val="center"/>
          </w:tcPr>
          <w:p w14:paraId="28C18553">
            <w:pPr>
              <w:jc w:val="center"/>
              <w:rPr>
                <w:rFonts w:hint="eastAsia" w:ascii="宋体" w:hAnsi="宋体" w:eastAsia="宋体" w:cs="宋体"/>
                <w:kern w:val="2"/>
                <w:sz w:val="21"/>
                <w:szCs w:val="21"/>
                <w:highlight w:val="yellow"/>
              </w:rPr>
            </w:pPr>
          </w:p>
        </w:tc>
        <w:tc>
          <w:tcPr>
            <w:tcW w:w="1485" w:type="dxa"/>
            <w:tcBorders>
              <w:tl2br w:val="nil"/>
              <w:tr2bl w:val="nil"/>
            </w:tcBorders>
            <w:vAlign w:val="center"/>
          </w:tcPr>
          <w:p w14:paraId="2324857D">
            <w:pPr>
              <w:jc w:val="center"/>
              <w:rPr>
                <w:rFonts w:hint="eastAsia" w:ascii="宋体" w:hAnsi="宋体" w:eastAsia="宋体" w:cs="宋体"/>
                <w:color w:val="000000"/>
                <w:kern w:val="2"/>
                <w:sz w:val="21"/>
                <w:szCs w:val="21"/>
                <w:highlight w:val="yellow"/>
              </w:rPr>
            </w:pPr>
          </w:p>
        </w:tc>
        <w:tc>
          <w:tcPr>
            <w:tcW w:w="1713" w:type="dxa"/>
            <w:tcBorders>
              <w:tl2br w:val="nil"/>
              <w:tr2bl w:val="nil"/>
            </w:tcBorders>
            <w:vAlign w:val="center"/>
          </w:tcPr>
          <w:p w14:paraId="4B21D910">
            <w:pPr>
              <w:jc w:val="center"/>
              <w:rPr>
                <w:rFonts w:hint="eastAsia" w:ascii="宋体" w:hAnsi="宋体" w:eastAsia="宋体" w:cs="宋体"/>
                <w:color w:val="000000"/>
                <w:kern w:val="2"/>
                <w:sz w:val="21"/>
                <w:szCs w:val="21"/>
                <w:highlight w:val="yellow"/>
              </w:rPr>
            </w:pPr>
          </w:p>
        </w:tc>
        <w:tc>
          <w:tcPr>
            <w:tcW w:w="1351" w:type="dxa"/>
            <w:tcBorders>
              <w:tl2br w:val="nil"/>
              <w:tr2bl w:val="nil"/>
            </w:tcBorders>
            <w:vAlign w:val="center"/>
          </w:tcPr>
          <w:p w14:paraId="6C910DAE">
            <w:pPr>
              <w:jc w:val="center"/>
              <w:rPr>
                <w:rFonts w:hint="eastAsia" w:ascii="宋体" w:hAnsi="宋体" w:eastAsia="宋体" w:cs="宋体"/>
                <w:color w:val="000000"/>
                <w:kern w:val="2"/>
                <w:sz w:val="21"/>
                <w:szCs w:val="21"/>
                <w:highlight w:val="yellow"/>
              </w:rPr>
            </w:pPr>
          </w:p>
        </w:tc>
      </w:tr>
      <w:tr w14:paraId="2A663E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60" w:hRule="atLeast"/>
          <w:jc w:val="center"/>
        </w:trPr>
        <w:tc>
          <w:tcPr>
            <w:tcW w:w="486" w:type="dxa"/>
            <w:tcBorders>
              <w:tl2br w:val="nil"/>
              <w:tr2bl w:val="nil"/>
            </w:tcBorders>
            <w:vAlign w:val="center"/>
          </w:tcPr>
          <w:p w14:paraId="4C01973D">
            <w:pPr>
              <w:jc w:val="center"/>
              <w:rPr>
                <w:rFonts w:hint="eastAsia" w:ascii="宋体" w:hAnsi="宋体" w:eastAsia="宋体" w:cs="宋体"/>
                <w:color w:val="000000"/>
                <w:kern w:val="2"/>
                <w:sz w:val="21"/>
                <w:szCs w:val="21"/>
              </w:rPr>
            </w:pPr>
            <w:r>
              <w:rPr>
                <w:rFonts w:hint="eastAsia" w:ascii="宋体" w:hAnsi="宋体" w:eastAsia="宋体" w:cs="宋体"/>
                <w:color w:val="000000"/>
                <w:kern w:val="2"/>
                <w:sz w:val="21"/>
                <w:szCs w:val="21"/>
              </w:rPr>
              <w:t>3</w:t>
            </w:r>
          </w:p>
        </w:tc>
        <w:tc>
          <w:tcPr>
            <w:tcW w:w="1782" w:type="dxa"/>
            <w:tcBorders>
              <w:tl2br w:val="nil"/>
              <w:tr2bl w:val="nil"/>
            </w:tcBorders>
            <w:vAlign w:val="center"/>
          </w:tcPr>
          <w:p w14:paraId="7413D7DF">
            <w:pPr>
              <w:jc w:val="center"/>
              <w:rPr>
                <w:rFonts w:hint="eastAsia" w:ascii="宋体" w:hAnsi="宋体" w:eastAsia="宋体" w:cs="宋体"/>
                <w:kern w:val="2"/>
                <w:sz w:val="21"/>
                <w:szCs w:val="21"/>
                <w:highlight w:val="yellow"/>
              </w:rPr>
            </w:pPr>
          </w:p>
        </w:tc>
        <w:tc>
          <w:tcPr>
            <w:tcW w:w="1574" w:type="dxa"/>
            <w:tcBorders>
              <w:tl2br w:val="nil"/>
              <w:tr2bl w:val="nil"/>
            </w:tcBorders>
            <w:vAlign w:val="center"/>
          </w:tcPr>
          <w:p w14:paraId="384D889D">
            <w:pPr>
              <w:jc w:val="center"/>
              <w:rPr>
                <w:rFonts w:hint="eastAsia" w:ascii="宋体" w:hAnsi="宋体" w:eastAsia="宋体" w:cs="宋体"/>
                <w:kern w:val="2"/>
                <w:sz w:val="21"/>
                <w:szCs w:val="21"/>
                <w:highlight w:val="yellow"/>
              </w:rPr>
            </w:pPr>
          </w:p>
        </w:tc>
        <w:tc>
          <w:tcPr>
            <w:tcW w:w="1485" w:type="dxa"/>
            <w:tcBorders>
              <w:tl2br w:val="nil"/>
              <w:tr2bl w:val="nil"/>
            </w:tcBorders>
            <w:vAlign w:val="center"/>
          </w:tcPr>
          <w:p w14:paraId="117EB998">
            <w:pPr>
              <w:jc w:val="center"/>
              <w:rPr>
                <w:rFonts w:hint="eastAsia" w:ascii="宋体" w:hAnsi="宋体" w:eastAsia="宋体" w:cs="宋体"/>
                <w:color w:val="000000"/>
                <w:kern w:val="2"/>
                <w:sz w:val="21"/>
                <w:szCs w:val="21"/>
                <w:highlight w:val="yellow"/>
              </w:rPr>
            </w:pPr>
          </w:p>
        </w:tc>
        <w:tc>
          <w:tcPr>
            <w:tcW w:w="1713" w:type="dxa"/>
            <w:tcBorders>
              <w:tl2br w:val="nil"/>
              <w:tr2bl w:val="nil"/>
            </w:tcBorders>
            <w:vAlign w:val="center"/>
          </w:tcPr>
          <w:p w14:paraId="45A2A56E">
            <w:pPr>
              <w:jc w:val="center"/>
              <w:rPr>
                <w:rFonts w:hint="eastAsia" w:ascii="宋体" w:hAnsi="宋体" w:eastAsia="宋体" w:cs="宋体"/>
                <w:color w:val="000000"/>
                <w:kern w:val="2"/>
                <w:sz w:val="21"/>
                <w:szCs w:val="21"/>
                <w:highlight w:val="yellow"/>
              </w:rPr>
            </w:pPr>
          </w:p>
        </w:tc>
        <w:tc>
          <w:tcPr>
            <w:tcW w:w="1351" w:type="dxa"/>
            <w:tcBorders>
              <w:tl2br w:val="nil"/>
              <w:tr2bl w:val="nil"/>
            </w:tcBorders>
            <w:vAlign w:val="center"/>
          </w:tcPr>
          <w:p w14:paraId="0BB1430F">
            <w:pPr>
              <w:jc w:val="center"/>
              <w:rPr>
                <w:rFonts w:hint="eastAsia" w:ascii="宋体" w:hAnsi="宋体" w:eastAsia="宋体" w:cs="宋体"/>
                <w:color w:val="000000"/>
                <w:kern w:val="2"/>
                <w:sz w:val="21"/>
                <w:szCs w:val="21"/>
                <w:highlight w:val="yellow"/>
              </w:rPr>
            </w:pPr>
          </w:p>
        </w:tc>
      </w:tr>
    </w:tbl>
    <w:p w14:paraId="2F7CCE4D">
      <w:pPr>
        <w:spacing w:line="360" w:lineRule="auto"/>
        <w:ind w:firstLine="480" w:firstLineChars="200"/>
        <w:rPr>
          <w:rFonts w:hint="eastAsia" w:ascii="宋体" w:hAnsi="宋体" w:eastAsia="宋体" w:cs="宋体"/>
          <w:color w:val="000000"/>
          <w:kern w:val="2"/>
          <w:sz w:val="24"/>
          <w:szCs w:val="24"/>
        </w:rPr>
      </w:pPr>
      <w:bookmarkStart w:id="17" w:name="_Toc226362579"/>
      <w:r>
        <w:rPr>
          <w:rFonts w:hint="eastAsia" w:ascii="宋体" w:hAnsi="宋体" w:eastAsia="宋体" w:cs="宋体"/>
          <w:color w:val="000000"/>
          <w:kern w:val="2"/>
          <w:sz w:val="24"/>
          <w:szCs w:val="24"/>
        </w:rPr>
        <w:t>投标方应将所提供服务与本技术规范书有差异之处，无论优于或劣于本技术规范书要求，均汇集成下表。</w:t>
      </w:r>
    </w:p>
    <w:p w14:paraId="62031B77">
      <w:pPr>
        <w:spacing w:line="360" w:lineRule="auto"/>
        <w:jc w:val="center"/>
        <w:rPr>
          <w:rFonts w:hint="eastAsia" w:ascii="黑体" w:hAnsi="黑体" w:eastAsia="黑体" w:cs="黑体"/>
          <w:bCs/>
          <w:color w:val="000000"/>
          <w:kern w:val="2"/>
          <w:sz w:val="21"/>
          <w:szCs w:val="21"/>
        </w:rPr>
      </w:pPr>
      <w:r>
        <w:rPr>
          <w:rFonts w:hint="eastAsia" w:ascii="黑体" w:hAnsi="黑体" w:eastAsia="黑体" w:cs="黑体"/>
          <w:bCs/>
          <w:color w:val="000000"/>
          <w:kern w:val="2"/>
          <w:sz w:val="21"/>
          <w:szCs w:val="21"/>
        </w:rPr>
        <w:t>表6.2 技术差异汇总表</w:t>
      </w:r>
      <w:bookmarkEnd w:id="17"/>
      <w:r>
        <w:rPr>
          <w:rFonts w:hint="eastAsia" w:ascii="黑体" w:hAnsi="黑体" w:eastAsia="黑体" w:cs="黑体"/>
          <w:bCs/>
          <w:color w:val="000000"/>
          <w:kern w:val="2"/>
          <w:sz w:val="21"/>
          <w:szCs w:val="21"/>
        </w:rPr>
        <w:t>（投标方填写）</w:t>
      </w:r>
    </w:p>
    <w:tbl>
      <w:tblPr>
        <w:tblStyle w:val="15"/>
        <w:tblW w:w="8388" w:type="dxa"/>
        <w:jc w:val="center"/>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679"/>
        <w:gridCol w:w="1163"/>
        <w:gridCol w:w="2713"/>
        <w:gridCol w:w="1258"/>
        <w:gridCol w:w="2575"/>
      </w:tblGrid>
      <w:tr w14:paraId="0A65619D">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restart"/>
            <w:tcBorders>
              <w:tl2br w:val="nil"/>
              <w:tr2bl w:val="nil"/>
            </w:tcBorders>
            <w:vAlign w:val="center"/>
          </w:tcPr>
          <w:p w14:paraId="2C41869D">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序</w:t>
            </w:r>
          </w:p>
          <w:p w14:paraId="68D5FB77">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号</w:t>
            </w:r>
          </w:p>
        </w:tc>
        <w:tc>
          <w:tcPr>
            <w:tcW w:w="3876" w:type="dxa"/>
            <w:gridSpan w:val="2"/>
            <w:tcBorders>
              <w:tl2br w:val="nil"/>
              <w:tr2bl w:val="nil"/>
            </w:tcBorders>
            <w:vAlign w:val="center"/>
          </w:tcPr>
          <w:p w14:paraId="741CFA8A">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招 标 文 件</w:t>
            </w:r>
          </w:p>
        </w:tc>
        <w:tc>
          <w:tcPr>
            <w:tcW w:w="3833" w:type="dxa"/>
            <w:gridSpan w:val="2"/>
            <w:tcBorders>
              <w:tl2br w:val="nil"/>
              <w:tr2bl w:val="nil"/>
            </w:tcBorders>
            <w:vAlign w:val="center"/>
          </w:tcPr>
          <w:p w14:paraId="16C47912">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投  标  文  件</w:t>
            </w:r>
          </w:p>
        </w:tc>
      </w:tr>
      <w:tr w14:paraId="552E8981">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blHeader/>
          <w:jc w:val="center"/>
        </w:trPr>
        <w:tc>
          <w:tcPr>
            <w:tcW w:w="679" w:type="dxa"/>
            <w:vMerge w:val="continue"/>
            <w:tcBorders>
              <w:tl2br w:val="nil"/>
              <w:tr2bl w:val="nil"/>
            </w:tcBorders>
            <w:vAlign w:val="center"/>
          </w:tcPr>
          <w:p w14:paraId="6E5E6EBE">
            <w:pPr>
              <w:widowControl/>
              <w:jc w:val="center"/>
              <w:textAlignment w:val="center"/>
              <w:rPr>
                <w:rFonts w:hint="eastAsia" w:ascii="宋体" w:hAnsi="宋体" w:eastAsia="宋体" w:cs="宋体"/>
                <w:color w:val="000000"/>
                <w:sz w:val="21"/>
                <w:szCs w:val="21"/>
                <w:lang w:bidi="ar"/>
              </w:rPr>
            </w:pPr>
          </w:p>
        </w:tc>
        <w:tc>
          <w:tcPr>
            <w:tcW w:w="1163" w:type="dxa"/>
            <w:tcBorders>
              <w:tl2br w:val="nil"/>
              <w:tr2bl w:val="nil"/>
            </w:tcBorders>
            <w:vAlign w:val="center"/>
          </w:tcPr>
          <w:p w14:paraId="37CB5D65">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条  目</w:t>
            </w:r>
          </w:p>
        </w:tc>
        <w:tc>
          <w:tcPr>
            <w:tcW w:w="2713" w:type="dxa"/>
            <w:tcBorders>
              <w:tl2br w:val="nil"/>
              <w:tr2bl w:val="nil"/>
            </w:tcBorders>
            <w:vAlign w:val="center"/>
          </w:tcPr>
          <w:p w14:paraId="0FCAB49A">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简  要  内  容</w:t>
            </w:r>
          </w:p>
        </w:tc>
        <w:tc>
          <w:tcPr>
            <w:tcW w:w="1258" w:type="dxa"/>
            <w:tcBorders>
              <w:tl2br w:val="nil"/>
              <w:tr2bl w:val="nil"/>
            </w:tcBorders>
            <w:vAlign w:val="center"/>
          </w:tcPr>
          <w:p w14:paraId="6E7F214E">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条  目</w:t>
            </w:r>
          </w:p>
        </w:tc>
        <w:tc>
          <w:tcPr>
            <w:tcW w:w="2575" w:type="dxa"/>
            <w:tcBorders>
              <w:tl2br w:val="nil"/>
              <w:tr2bl w:val="nil"/>
            </w:tcBorders>
            <w:vAlign w:val="center"/>
          </w:tcPr>
          <w:p w14:paraId="1E2D915E">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简  要  内  容</w:t>
            </w:r>
          </w:p>
        </w:tc>
      </w:tr>
      <w:tr w14:paraId="0A981500">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755E0934">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1</w:t>
            </w:r>
          </w:p>
        </w:tc>
        <w:tc>
          <w:tcPr>
            <w:tcW w:w="1163" w:type="dxa"/>
            <w:tcBorders>
              <w:tl2br w:val="nil"/>
              <w:tr2bl w:val="nil"/>
            </w:tcBorders>
            <w:vAlign w:val="center"/>
          </w:tcPr>
          <w:p w14:paraId="33940CF2">
            <w:pPr>
              <w:widowControl/>
              <w:jc w:val="center"/>
              <w:textAlignment w:val="center"/>
              <w:rPr>
                <w:rFonts w:hint="eastAsia" w:ascii="宋体" w:hAnsi="宋体" w:eastAsia="宋体" w:cs="宋体"/>
                <w:color w:val="000000"/>
                <w:sz w:val="21"/>
                <w:szCs w:val="21"/>
                <w:lang w:bidi="ar"/>
              </w:rPr>
            </w:pPr>
          </w:p>
        </w:tc>
        <w:tc>
          <w:tcPr>
            <w:tcW w:w="2713" w:type="dxa"/>
            <w:tcBorders>
              <w:tl2br w:val="nil"/>
              <w:tr2bl w:val="nil"/>
            </w:tcBorders>
            <w:vAlign w:val="center"/>
          </w:tcPr>
          <w:p w14:paraId="51C17FE5">
            <w:pPr>
              <w:widowControl/>
              <w:jc w:val="center"/>
              <w:textAlignment w:val="center"/>
              <w:rPr>
                <w:rFonts w:hint="eastAsia" w:ascii="宋体" w:hAnsi="宋体" w:eastAsia="宋体" w:cs="宋体"/>
                <w:color w:val="000000"/>
                <w:sz w:val="21"/>
                <w:szCs w:val="21"/>
                <w:lang w:bidi="ar"/>
              </w:rPr>
            </w:pPr>
          </w:p>
        </w:tc>
        <w:tc>
          <w:tcPr>
            <w:tcW w:w="1258" w:type="dxa"/>
            <w:tcBorders>
              <w:tl2br w:val="nil"/>
              <w:tr2bl w:val="nil"/>
            </w:tcBorders>
            <w:vAlign w:val="center"/>
          </w:tcPr>
          <w:p w14:paraId="0754682F">
            <w:pPr>
              <w:widowControl/>
              <w:jc w:val="center"/>
              <w:textAlignment w:val="center"/>
              <w:rPr>
                <w:rFonts w:hint="eastAsia" w:ascii="宋体" w:hAnsi="宋体" w:eastAsia="宋体" w:cs="宋体"/>
                <w:color w:val="000000"/>
                <w:sz w:val="21"/>
                <w:szCs w:val="21"/>
                <w:lang w:bidi="ar"/>
              </w:rPr>
            </w:pPr>
          </w:p>
        </w:tc>
        <w:tc>
          <w:tcPr>
            <w:tcW w:w="2575" w:type="dxa"/>
            <w:tcBorders>
              <w:tl2br w:val="nil"/>
              <w:tr2bl w:val="nil"/>
            </w:tcBorders>
            <w:vAlign w:val="center"/>
          </w:tcPr>
          <w:p w14:paraId="4C2D8D71">
            <w:pPr>
              <w:widowControl/>
              <w:jc w:val="center"/>
              <w:textAlignment w:val="center"/>
              <w:rPr>
                <w:rFonts w:hint="eastAsia" w:ascii="宋体" w:hAnsi="宋体" w:eastAsia="宋体" w:cs="宋体"/>
                <w:color w:val="000000"/>
                <w:sz w:val="21"/>
                <w:szCs w:val="21"/>
                <w:lang w:bidi="ar"/>
              </w:rPr>
            </w:pPr>
          </w:p>
        </w:tc>
      </w:tr>
      <w:tr w14:paraId="7B53DEE5">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076A5887">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2</w:t>
            </w:r>
          </w:p>
        </w:tc>
        <w:tc>
          <w:tcPr>
            <w:tcW w:w="1163" w:type="dxa"/>
            <w:tcBorders>
              <w:tl2br w:val="nil"/>
              <w:tr2bl w:val="nil"/>
            </w:tcBorders>
            <w:vAlign w:val="center"/>
          </w:tcPr>
          <w:p w14:paraId="15D2D703">
            <w:pPr>
              <w:widowControl/>
              <w:jc w:val="center"/>
              <w:textAlignment w:val="center"/>
              <w:rPr>
                <w:rFonts w:hint="eastAsia" w:ascii="宋体" w:hAnsi="宋体" w:eastAsia="宋体" w:cs="宋体"/>
                <w:color w:val="000000"/>
                <w:sz w:val="21"/>
                <w:szCs w:val="21"/>
                <w:lang w:bidi="ar"/>
              </w:rPr>
            </w:pPr>
          </w:p>
        </w:tc>
        <w:tc>
          <w:tcPr>
            <w:tcW w:w="2713" w:type="dxa"/>
            <w:tcBorders>
              <w:tl2br w:val="nil"/>
              <w:tr2bl w:val="nil"/>
            </w:tcBorders>
            <w:vAlign w:val="center"/>
          </w:tcPr>
          <w:p w14:paraId="548F48C2">
            <w:pPr>
              <w:widowControl/>
              <w:jc w:val="center"/>
              <w:textAlignment w:val="center"/>
              <w:rPr>
                <w:rFonts w:hint="eastAsia" w:ascii="宋体" w:hAnsi="宋体" w:eastAsia="宋体" w:cs="宋体"/>
                <w:color w:val="000000"/>
                <w:sz w:val="21"/>
                <w:szCs w:val="21"/>
                <w:lang w:bidi="ar"/>
              </w:rPr>
            </w:pPr>
          </w:p>
        </w:tc>
        <w:tc>
          <w:tcPr>
            <w:tcW w:w="1258" w:type="dxa"/>
            <w:tcBorders>
              <w:tl2br w:val="nil"/>
              <w:tr2bl w:val="nil"/>
            </w:tcBorders>
            <w:vAlign w:val="center"/>
          </w:tcPr>
          <w:p w14:paraId="17E71CEF">
            <w:pPr>
              <w:widowControl/>
              <w:jc w:val="center"/>
              <w:textAlignment w:val="center"/>
              <w:rPr>
                <w:rFonts w:hint="eastAsia" w:ascii="宋体" w:hAnsi="宋体" w:eastAsia="宋体" w:cs="宋体"/>
                <w:color w:val="000000"/>
                <w:sz w:val="21"/>
                <w:szCs w:val="21"/>
                <w:lang w:bidi="ar"/>
              </w:rPr>
            </w:pPr>
          </w:p>
        </w:tc>
        <w:tc>
          <w:tcPr>
            <w:tcW w:w="2575" w:type="dxa"/>
            <w:tcBorders>
              <w:tl2br w:val="nil"/>
              <w:tr2bl w:val="nil"/>
            </w:tcBorders>
            <w:vAlign w:val="center"/>
          </w:tcPr>
          <w:p w14:paraId="184DCA3A">
            <w:pPr>
              <w:widowControl/>
              <w:jc w:val="center"/>
              <w:textAlignment w:val="center"/>
              <w:rPr>
                <w:rFonts w:hint="eastAsia" w:ascii="宋体" w:hAnsi="宋体" w:eastAsia="宋体" w:cs="宋体"/>
                <w:color w:val="000000"/>
                <w:sz w:val="21"/>
                <w:szCs w:val="21"/>
                <w:lang w:bidi="ar"/>
              </w:rPr>
            </w:pPr>
          </w:p>
        </w:tc>
      </w:tr>
      <w:tr w14:paraId="4707F57C">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5B9AF080">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3</w:t>
            </w:r>
          </w:p>
        </w:tc>
        <w:tc>
          <w:tcPr>
            <w:tcW w:w="1163" w:type="dxa"/>
            <w:tcBorders>
              <w:tl2br w:val="nil"/>
              <w:tr2bl w:val="nil"/>
            </w:tcBorders>
            <w:vAlign w:val="center"/>
          </w:tcPr>
          <w:p w14:paraId="62093B56">
            <w:pPr>
              <w:widowControl/>
              <w:jc w:val="center"/>
              <w:textAlignment w:val="center"/>
              <w:rPr>
                <w:rFonts w:hint="eastAsia" w:ascii="宋体" w:hAnsi="宋体" w:eastAsia="宋体" w:cs="宋体"/>
                <w:color w:val="000000"/>
                <w:sz w:val="21"/>
                <w:szCs w:val="21"/>
                <w:lang w:bidi="ar"/>
              </w:rPr>
            </w:pPr>
          </w:p>
        </w:tc>
        <w:tc>
          <w:tcPr>
            <w:tcW w:w="2713" w:type="dxa"/>
            <w:tcBorders>
              <w:tl2br w:val="nil"/>
              <w:tr2bl w:val="nil"/>
            </w:tcBorders>
            <w:vAlign w:val="center"/>
          </w:tcPr>
          <w:p w14:paraId="17362E1B">
            <w:pPr>
              <w:widowControl/>
              <w:jc w:val="center"/>
              <w:textAlignment w:val="center"/>
              <w:rPr>
                <w:rFonts w:hint="eastAsia" w:ascii="宋体" w:hAnsi="宋体" w:eastAsia="宋体" w:cs="宋体"/>
                <w:color w:val="000000"/>
                <w:sz w:val="21"/>
                <w:szCs w:val="21"/>
                <w:lang w:bidi="ar"/>
              </w:rPr>
            </w:pPr>
          </w:p>
        </w:tc>
        <w:tc>
          <w:tcPr>
            <w:tcW w:w="1258" w:type="dxa"/>
            <w:tcBorders>
              <w:tl2br w:val="nil"/>
              <w:tr2bl w:val="nil"/>
            </w:tcBorders>
            <w:vAlign w:val="center"/>
          </w:tcPr>
          <w:p w14:paraId="14938FD0">
            <w:pPr>
              <w:widowControl/>
              <w:jc w:val="center"/>
              <w:textAlignment w:val="center"/>
              <w:rPr>
                <w:rFonts w:hint="eastAsia" w:ascii="宋体" w:hAnsi="宋体" w:eastAsia="宋体" w:cs="宋体"/>
                <w:color w:val="000000"/>
                <w:sz w:val="21"/>
                <w:szCs w:val="21"/>
                <w:lang w:bidi="ar"/>
              </w:rPr>
            </w:pPr>
          </w:p>
        </w:tc>
        <w:tc>
          <w:tcPr>
            <w:tcW w:w="2575" w:type="dxa"/>
            <w:tcBorders>
              <w:tl2br w:val="nil"/>
              <w:tr2bl w:val="nil"/>
            </w:tcBorders>
            <w:vAlign w:val="center"/>
          </w:tcPr>
          <w:p w14:paraId="7C00D568">
            <w:pPr>
              <w:widowControl/>
              <w:jc w:val="center"/>
              <w:textAlignment w:val="center"/>
              <w:rPr>
                <w:rFonts w:hint="eastAsia" w:ascii="宋体" w:hAnsi="宋体" w:eastAsia="宋体" w:cs="宋体"/>
                <w:color w:val="000000"/>
                <w:sz w:val="21"/>
                <w:szCs w:val="21"/>
                <w:lang w:bidi="ar"/>
              </w:rPr>
            </w:pPr>
          </w:p>
        </w:tc>
      </w:tr>
      <w:tr w14:paraId="5FFA350F">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96" w:hRule="atLeast"/>
          <w:jc w:val="center"/>
        </w:trPr>
        <w:tc>
          <w:tcPr>
            <w:tcW w:w="679" w:type="dxa"/>
            <w:tcBorders>
              <w:tl2br w:val="nil"/>
              <w:tr2bl w:val="nil"/>
            </w:tcBorders>
            <w:vAlign w:val="center"/>
          </w:tcPr>
          <w:p w14:paraId="176175E2">
            <w:pPr>
              <w:widowControl/>
              <w:jc w:val="center"/>
              <w:textAlignment w:val="center"/>
              <w:rPr>
                <w:rFonts w:hint="eastAsia" w:ascii="宋体" w:hAnsi="宋体" w:eastAsia="宋体" w:cs="宋体"/>
                <w:color w:val="000000"/>
                <w:sz w:val="21"/>
                <w:szCs w:val="21"/>
                <w:lang w:bidi="ar"/>
              </w:rPr>
            </w:pPr>
            <w:r>
              <w:rPr>
                <w:rFonts w:hint="eastAsia" w:ascii="宋体" w:hAnsi="宋体" w:eastAsia="宋体" w:cs="宋体"/>
                <w:color w:val="000000"/>
                <w:sz w:val="21"/>
                <w:szCs w:val="21"/>
                <w:lang w:bidi="ar"/>
              </w:rPr>
              <w:t>4</w:t>
            </w:r>
          </w:p>
        </w:tc>
        <w:tc>
          <w:tcPr>
            <w:tcW w:w="1163" w:type="dxa"/>
            <w:tcBorders>
              <w:tl2br w:val="nil"/>
              <w:tr2bl w:val="nil"/>
            </w:tcBorders>
            <w:vAlign w:val="center"/>
          </w:tcPr>
          <w:p w14:paraId="10F41ECB">
            <w:pPr>
              <w:widowControl/>
              <w:jc w:val="center"/>
              <w:textAlignment w:val="center"/>
              <w:rPr>
                <w:rFonts w:hint="eastAsia" w:ascii="宋体" w:hAnsi="宋体" w:eastAsia="宋体" w:cs="宋体"/>
                <w:color w:val="000000"/>
                <w:sz w:val="21"/>
                <w:szCs w:val="21"/>
                <w:lang w:bidi="ar"/>
              </w:rPr>
            </w:pPr>
          </w:p>
        </w:tc>
        <w:tc>
          <w:tcPr>
            <w:tcW w:w="2713" w:type="dxa"/>
            <w:tcBorders>
              <w:tl2br w:val="nil"/>
              <w:tr2bl w:val="nil"/>
            </w:tcBorders>
            <w:vAlign w:val="center"/>
          </w:tcPr>
          <w:p w14:paraId="004E145D">
            <w:pPr>
              <w:widowControl/>
              <w:jc w:val="center"/>
              <w:textAlignment w:val="center"/>
              <w:rPr>
                <w:rFonts w:hint="eastAsia" w:ascii="宋体" w:hAnsi="宋体" w:eastAsia="宋体" w:cs="宋体"/>
                <w:color w:val="000000"/>
                <w:sz w:val="21"/>
                <w:szCs w:val="21"/>
                <w:lang w:bidi="ar"/>
              </w:rPr>
            </w:pPr>
          </w:p>
        </w:tc>
        <w:tc>
          <w:tcPr>
            <w:tcW w:w="1258" w:type="dxa"/>
            <w:tcBorders>
              <w:tl2br w:val="nil"/>
              <w:tr2bl w:val="nil"/>
            </w:tcBorders>
            <w:vAlign w:val="center"/>
          </w:tcPr>
          <w:p w14:paraId="4E6FD341">
            <w:pPr>
              <w:widowControl/>
              <w:jc w:val="center"/>
              <w:textAlignment w:val="center"/>
              <w:rPr>
                <w:rFonts w:hint="eastAsia" w:ascii="宋体" w:hAnsi="宋体" w:eastAsia="宋体" w:cs="宋体"/>
                <w:color w:val="000000"/>
                <w:sz w:val="21"/>
                <w:szCs w:val="21"/>
                <w:lang w:bidi="ar"/>
              </w:rPr>
            </w:pPr>
          </w:p>
        </w:tc>
        <w:tc>
          <w:tcPr>
            <w:tcW w:w="2575" w:type="dxa"/>
            <w:tcBorders>
              <w:tl2br w:val="nil"/>
              <w:tr2bl w:val="nil"/>
            </w:tcBorders>
            <w:vAlign w:val="center"/>
          </w:tcPr>
          <w:p w14:paraId="3308498B">
            <w:pPr>
              <w:widowControl/>
              <w:jc w:val="center"/>
              <w:textAlignment w:val="center"/>
              <w:rPr>
                <w:rFonts w:hint="eastAsia" w:ascii="宋体" w:hAnsi="宋体" w:eastAsia="宋体" w:cs="宋体"/>
                <w:color w:val="000000"/>
                <w:sz w:val="21"/>
                <w:szCs w:val="21"/>
                <w:lang w:bidi="ar"/>
              </w:rPr>
            </w:pPr>
          </w:p>
        </w:tc>
      </w:tr>
    </w:tbl>
    <w:p w14:paraId="1CD258F1">
      <w:pPr>
        <w:spacing w:before="120" w:beforeLines="50" w:line="360" w:lineRule="auto"/>
        <w:outlineLvl w:val="1"/>
        <w:rPr>
          <w:rFonts w:hint="eastAsia" w:ascii="黑体" w:hAnsi="黑体" w:eastAsia="黑体" w:cs="黑体"/>
          <w:kern w:val="2"/>
          <w:sz w:val="24"/>
          <w:szCs w:val="24"/>
        </w:rPr>
      </w:pPr>
      <w:bookmarkStart w:id="18" w:name="_Toc10100"/>
      <w:r>
        <w:rPr>
          <w:rFonts w:hint="eastAsia" w:ascii="黑体" w:hAnsi="黑体" w:eastAsia="黑体" w:cs="黑体"/>
          <w:kern w:val="2"/>
          <w:sz w:val="24"/>
          <w:szCs w:val="24"/>
        </w:rPr>
        <w:t>6.6 其它补充说明</w:t>
      </w:r>
      <w:bookmarkEnd w:id="18"/>
    </w:p>
    <w:p w14:paraId="4CAADCE2">
      <w:pPr>
        <w:spacing w:line="360" w:lineRule="auto"/>
        <w:ind w:firstLine="480" w:firstLineChars="200"/>
        <w:rPr>
          <w:rFonts w:hint="eastAsia" w:ascii="宋体" w:hAnsi="宋体" w:eastAsia="宋体" w:cs="宋体"/>
          <w:color w:val="000000"/>
          <w:kern w:val="2"/>
          <w:sz w:val="24"/>
          <w:szCs w:val="24"/>
        </w:rPr>
      </w:pPr>
      <w:r>
        <w:rPr>
          <w:rFonts w:hint="eastAsia" w:ascii="宋体" w:hAnsi="宋体" w:eastAsia="宋体" w:cs="宋体"/>
          <w:color w:val="000000"/>
          <w:kern w:val="2"/>
          <w:sz w:val="24"/>
          <w:szCs w:val="24"/>
        </w:rPr>
        <w:t>投标方认为实现本文件的相关内容存在技术类或其它类风险，请详细说明，并提供相应的对策。</w:t>
      </w:r>
    </w:p>
    <w:p w14:paraId="2966497D">
      <w:pPr>
        <w:pStyle w:val="4"/>
        <w:spacing w:before="240" w:after="120"/>
      </w:pPr>
    </w:p>
    <w:sectPr>
      <w:pgSz w:w="11906" w:h="16838"/>
      <w:pgMar w:top="1440" w:right="1800" w:bottom="1440" w:left="1800" w:header="708" w:footer="708"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隶书">
    <w:altName w:val="微软雅黑"/>
    <w:panose1 w:val="02010509060101010101"/>
    <w:charset w:val="86"/>
    <w:family w:val="modern"/>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5136ABC"/>
    <w:multiLevelType w:val="multilevel"/>
    <w:tmpl w:val="05136ABC"/>
    <w:lvl w:ilvl="0" w:tentative="0">
      <w:start w:val="1"/>
      <w:numFmt w:val="decimal"/>
      <w:lvlText w:val="(%1)"/>
      <w:lvlJc w:val="left"/>
      <w:pPr>
        <w:ind w:left="435" w:hanging="435"/>
      </w:pPr>
      <w:rPr>
        <w:rFonts w:hint="default"/>
      </w:r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1">
    <w:nsid w:val="5E537055"/>
    <w:multiLevelType w:val="singleLevel"/>
    <w:tmpl w:val="5E537055"/>
    <w:lvl w:ilvl="0" w:tentative="0">
      <w:start w:val="1"/>
      <w:numFmt w:val="decimal"/>
      <w:lvlText w:val="%1."/>
      <w:lvlJc w:val="left"/>
      <w:pPr>
        <w:ind w:left="42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trackRevisions w:val="1"/>
  <w:documentProtection w:enforcement="0"/>
  <w:defaultTabStop w:val="4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18AF"/>
    <w:rsid w:val="000347EE"/>
    <w:rsid w:val="000643DB"/>
    <w:rsid w:val="000C22F5"/>
    <w:rsid w:val="00113081"/>
    <w:rsid w:val="0035018F"/>
    <w:rsid w:val="00417807"/>
    <w:rsid w:val="00492555"/>
    <w:rsid w:val="004C72B1"/>
    <w:rsid w:val="004D45BC"/>
    <w:rsid w:val="006879E5"/>
    <w:rsid w:val="0071074F"/>
    <w:rsid w:val="009A1E05"/>
    <w:rsid w:val="00A46BE7"/>
    <w:rsid w:val="00A84043"/>
    <w:rsid w:val="00AE5B14"/>
    <w:rsid w:val="00B11055"/>
    <w:rsid w:val="00B53B58"/>
    <w:rsid w:val="00BC0B1F"/>
    <w:rsid w:val="00DD3568"/>
    <w:rsid w:val="00DE18AF"/>
    <w:rsid w:val="00EA6E1A"/>
    <w:rsid w:val="00F2092D"/>
    <w:rsid w:val="00FB61A5"/>
    <w:rsid w:val="0182349B"/>
    <w:rsid w:val="27533DDD"/>
    <w:rsid w:val="2C5B0CBF"/>
    <w:rsid w:val="2D522AA7"/>
    <w:rsid w:val="38547E4A"/>
    <w:rsid w:val="3AC568D9"/>
    <w:rsid w:val="3DDE1D7E"/>
    <w:rsid w:val="3EAF6425"/>
    <w:rsid w:val="3FD55947"/>
    <w:rsid w:val="405E4ED1"/>
    <w:rsid w:val="40D866C0"/>
    <w:rsid w:val="54443B40"/>
    <w:rsid w:val="56967270"/>
    <w:rsid w:val="57E05C07"/>
    <w:rsid w:val="76B128B7"/>
    <w:rsid w:val="7FD9399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qFormat="1" w:uiPriority="99" w:name="footnote reference"/>
    <w:lsdException w:qFormat="1" w:uiPriority="99" w:name="annotation reference"/>
    <w:lsdException w:uiPriority="99" w:name="line number"/>
    <w:lsdException w:uiPriority="99" w:name="page number"/>
    <w:lsdException w:qFormat="1" w:uiPriority="99" w:name="endnote reference"/>
    <w:lsdException w:qFormat="1"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cs="Times New Roman" w:eastAsiaTheme="minorEastAsia"/>
      <w:lang w:val="en-US" w:eastAsia="zh-CN" w:bidi="ar-SA"/>
    </w:rPr>
  </w:style>
  <w:style w:type="paragraph" w:styleId="4">
    <w:name w:val="heading 1"/>
    <w:qFormat/>
    <w:uiPriority w:val="9"/>
    <w:pPr>
      <w:outlineLvl w:val="0"/>
    </w:pPr>
    <w:rPr>
      <w:rFonts w:ascii="Times New Roman" w:hAnsi="Times New Roman" w:cs="Times New Roman" w:eastAsiaTheme="minorEastAsia"/>
      <w:color w:val="2E74B5"/>
      <w:sz w:val="32"/>
      <w:szCs w:val="32"/>
      <w:lang w:val="en-US" w:eastAsia="zh-CN" w:bidi="ar-SA"/>
    </w:rPr>
  </w:style>
  <w:style w:type="paragraph" w:styleId="5">
    <w:name w:val="heading 2"/>
    <w:unhideWhenUsed/>
    <w:qFormat/>
    <w:uiPriority w:val="9"/>
    <w:pPr>
      <w:outlineLvl w:val="1"/>
    </w:pPr>
    <w:rPr>
      <w:rFonts w:ascii="Times New Roman" w:hAnsi="Times New Roman" w:cs="Times New Roman" w:eastAsiaTheme="minorEastAsia"/>
      <w:color w:val="2E74B5"/>
      <w:sz w:val="26"/>
      <w:szCs w:val="26"/>
      <w:lang w:val="en-US" w:eastAsia="zh-CN" w:bidi="ar-SA"/>
    </w:rPr>
  </w:style>
  <w:style w:type="paragraph" w:styleId="6">
    <w:name w:val="heading 3"/>
    <w:semiHidden/>
    <w:unhideWhenUsed/>
    <w:qFormat/>
    <w:uiPriority w:val="9"/>
    <w:pPr>
      <w:outlineLvl w:val="2"/>
    </w:pPr>
    <w:rPr>
      <w:rFonts w:ascii="Times New Roman" w:hAnsi="Times New Roman" w:cs="Times New Roman" w:eastAsiaTheme="minorEastAsia"/>
      <w:color w:val="1F4D78"/>
      <w:sz w:val="24"/>
      <w:szCs w:val="24"/>
      <w:lang w:val="en-US" w:eastAsia="zh-CN" w:bidi="ar-SA"/>
    </w:rPr>
  </w:style>
  <w:style w:type="paragraph" w:styleId="7">
    <w:name w:val="heading 4"/>
    <w:semiHidden/>
    <w:unhideWhenUsed/>
    <w:qFormat/>
    <w:uiPriority w:val="9"/>
    <w:pPr>
      <w:outlineLvl w:val="3"/>
    </w:pPr>
    <w:rPr>
      <w:rFonts w:ascii="Times New Roman" w:hAnsi="Times New Roman" w:cs="Times New Roman" w:eastAsiaTheme="minorEastAsia"/>
      <w:i/>
      <w:iCs/>
      <w:color w:val="2E74B5"/>
      <w:lang w:val="en-US" w:eastAsia="zh-CN" w:bidi="ar-SA"/>
    </w:rPr>
  </w:style>
  <w:style w:type="paragraph" w:styleId="8">
    <w:name w:val="heading 5"/>
    <w:semiHidden/>
    <w:unhideWhenUsed/>
    <w:qFormat/>
    <w:uiPriority w:val="9"/>
    <w:pPr>
      <w:outlineLvl w:val="4"/>
    </w:pPr>
    <w:rPr>
      <w:rFonts w:ascii="Times New Roman" w:hAnsi="Times New Roman" w:cs="Times New Roman" w:eastAsiaTheme="minorEastAsia"/>
      <w:color w:val="2E74B5"/>
      <w:lang w:val="en-US" w:eastAsia="zh-CN" w:bidi="ar-SA"/>
    </w:rPr>
  </w:style>
  <w:style w:type="paragraph" w:styleId="9">
    <w:name w:val="heading 6"/>
    <w:semiHidden/>
    <w:unhideWhenUsed/>
    <w:qFormat/>
    <w:uiPriority w:val="9"/>
    <w:pPr>
      <w:outlineLvl w:val="5"/>
    </w:pPr>
    <w:rPr>
      <w:rFonts w:ascii="Times New Roman" w:hAnsi="Times New Roman" w:cs="Times New Roman" w:eastAsiaTheme="minorEastAsia"/>
      <w:color w:val="1F4D78"/>
      <w:lang w:val="en-US" w:eastAsia="zh-CN" w:bidi="ar-SA"/>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2">
    <w:name w:val="Body Text"/>
    <w:basedOn w:val="1"/>
    <w:next w:val="3"/>
    <w:unhideWhenUsed/>
    <w:qFormat/>
    <w:uiPriority w:val="0"/>
    <w:pPr>
      <w:spacing w:after="120"/>
    </w:pPr>
  </w:style>
  <w:style w:type="paragraph" w:styleId="3">
    <w:name w:val="Title"/>
    <w:basedOn w:val="1"/>
    <w:next w:val="1"/>
    <w:qFormat/>
    <w:uiPriority w:val="10"/>
    <w:rPr>
      <w:sz w:val="56"/>
      <w:szCs w:val="56"/>
    </w:rPr>
  </w:style>
  <w:style w:type="paragraph" w:styleId="10">
    <w:name w:val="annotation text"/>
    <w:basedOn w:val="1"/>
    <w:semiHidden/>
    <w:unhideWhenUsed/>
    <w:qFormat/>
    <w:uiPriority w:val="99"/>
    <w:pPr>
      <w:jc w:val="left"/>
    </w:pPr>
  </w:style>
  <w:style w:type="paragraph" w:styleId="11">
    <w:name w:val="endnote text"/>
    <w:link w:val="25"/>
    <w:semiHidden/>
    <w:unhideWhenUsed/>
    <w:qFormat/>
    <w:uiPriority w:val="99"/>
    <w:rPr>
      <w:rFonts w:ascii="Times New Roman" w:hAnsi="Times New Roman" w:cs="Times New Roman" w:eastAsiaTheme="minorEastAsia"/>
      <w:lang w:val="en-US" w:eastAsia="zh-CN" w:bidi="ar-SA"/>
    </w:rPr>
  </w:style>
  <w:style w:type="paragraph" w:styleId="12">
    <w:name w:val="footer"/>
    <w:basedOn w:val="1"/>
    <w:link w:val="27"/>
    <w:unhideWhenUsed/>
    <w:qFormat/>
    <w:uiPriority w:val="99"/>
    <w:pPr>
      <w:tabs>
        <w:tab w:val="center" w:pos="4153"/>
        <w:tab w:val="right" w:pos="8306"/>
      </w:tabs>
      <w:snapToGrid w:val="0"/>
      <w:jc w:val="left"/>
    </w:pPr>
    <w:rPr>
      <w:sz w:val="18"/>
      <w:szCs w:val="18"/>
    </w:rPr>
  </w:style>
  <w:style w:type="paragraph" w:styleId="13">
    <w:name w:val="header"/>
    <w:basedOn w:val="1"/>
    <w:link w:val="26"/>
    <w:unhideWhenUsed/>
    <w:qFormat/>
    <w:uiPriority w:val="99"/>
    <w:pPr>
      <w:pBdr>
        <w:bottom w:val="single" w:color="auto" w:sz="6" w:space="1"/>
      </w:pBdr>
      <w:tabs>
        <w:tab w:val="center" w:pos="4153"/>
        <w:tab w:val="right" w:pos="8306"/>
      </w:tabs>
      <w:snapToGrid w:val="0"/>
      <w:jc w:val="center"/>
    </w:pPr>
    <w:rPr>
      <w:sz w:val="18"/>
      <w:szCs w:val="18"/>
    </w:rPr>
  </w:style>
  <w:style w:type="paragraph" w:styleId="14">
    <w:name w:val="footnote text"/>
    <w:link w:val="24"/>
    <w:semiHidden/>
    <w:unhideWhenUsed/>
    <w:qFormat/>
    <w:uiPriority w:val="99"/>
    <w:rPr>
      <w:rFonts w:ascii="Times New Roman" w:hAnsi="Times New Roman" w:cs="Times New Roman" w:eastAsiaTheme="minorEastAsia"/>
      <w:lang w:val="en-US" w:eastAsia="zh-CN" w:bidi="ar-SA"/>
    </w:rPr>
  </w:style>
  <w:style w:type="table" w:styleId="16">
    <w:name w:val="Table Grid"/>
    <w:basedOn w:val="15"/>
    <w:qFormat/>
    <w:uiPriority w:val="0"/>
    <w:pPr>
      <w:widowControl w:val="0"/>
      <w:jc w:val="both"/>
    </w:pPr>
    <w:rPr>
      <w:rFonts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ndnote reference"/>
    <w:semiHidden/>
    <w:unhideWhenUsed/>
    <w:qFormat/>
    <w:uiPriority w:val="99"/>
    <w:rPr>
      <w:vertAlign w:val="superscript"/>
    </w:rPr>
  </w:style>
  <w:style w:type="character" w:styleId="19">
    <w:name w:val="Hyperlink"/>
    <w:unhideWhenUsed/>
    <w:qFormat/>
    <w:uiPriority w:val="99"/>
    <w:rPr>
      <w:color w:val="0563C1"/>
      <w:u w:val="single"/>
    </w:rPr>
  </w:style>
  <w:style w:type="character" w:styleId="20">
    <w:name w:val="annotation reference"/>
    <w:basedOn w:val="17"/>
    <w:semiHidden/>
    <w:unhideWhenUsed/>
    <w:qFormat/>
    <w:uiPriority w:val="99"/>
    <w:rPr>
      <w:sz w:val="21"/>
      <w:szCs w:val="21"/>
    </w:rPr>
  </w:style>
  <w:style w:type="character" w:styleId="21">
    <w:name w:val="footnote reference"/>
    <w:semiHidden/>
    <w:unhideWhenUsed/>
    <w:qFormat/>
    <w:uiPriority w:val="99"/>
    <w:rPr>
      <w:vertAlign w:val="superscript"/>
    </w:rPr>
  </w:style>
  <w:style w:type="paragraph" w:customStyle="1" w:styleId="22">
    <w:name w:val="要点1"/>
    <w:qFormat/>
    <w:uiPriority w:val="0"/>
    <w:rPr>
      <w:rFonts w:ascii="Times New Roman" w:hAnsi="Times New Roman" w:cs="Times New Roman" w:eastAsiaTheme="minorEastAsia"/>
      <w:b/>
      <w:bCs/>
      <w:lang w:val="en-US" w:eastAsia="zh-CN" w:bidi="ar-SA"/>
    </w:rPr>
  </w:style>
  <w:style w:type="paragraph" w:styleId="23">
    <w:name w:val="List Paragraph"/>
    <w:qFormat/>
    <w:uiPriority w:val="0"/>
    <w:rPr>
      <w:rFonts w:ascii="Times New Roman" w:hAnsi="Times New Roman" w:cs="Times New Roman" w:eastAsiaTheme="minorEastAsia"/>
      <w:lang w:val="en-US" w:eastAsia="zh-CN" w:bidi="ar-SA"/>
    </w:rPr>
  </w:style>
  <w:style w:type="character" w:customStyle="1" w:styleId="24">
    <w:name w:val="脚注文本 字符"/>
    <w:link w:val="14"/>
    <w:semiHidden/>
    <w:unhideWhenUsed/>
    <w:qFormat/>
    <w:uiPriority w:val="99"/>
  </w:style>
  <w:style w:type="character" w:customStyle="1" w:styleId="25">
    <w:name w:val="尾注文本 字符"/>
    <w:link w:val="11"/>
    <w:semiHidden/>
    <w:unhideWhenUsed/>
    <w:qFormat/>
    <w:uiPriority w:val="99"/>
  </w:style>
  <w:style w:type="character" w:customStyle="1" w:styleId="26">
    <w:name w:val="页眉 字符"/>
    <w:basedOn w:val="17"/>
    <w:link w:val="13"/>
    <w:qFormat/>
    <w:uiPriority w:val="99"/>
    <w:rPr>
      <w:sz w:val="18"/>
      <w:szCs w:val="18"/>
    </w:rPr>
  </w:style>
  <w:style w:type="character" w:customStyle="1" w:styleId="27">
    <w:name w:val="页脚 字符"/>
    <w:basedOn w:val="17"/>
    <w:link w:val="12"/>
    <w:qFormat/>
    <w:uiPriority w:val="99"/>
    <w:rPr>
      <w:sz w:val="18"/>
      <w:szCs w:val="18"/>
    </w:rPr>
  </w:style>
  <w:style w:type="paragraph" w:customStyle="1" w:styleId="28">
    <w:name w:val="首页项目名称"/>
    <w:qFormat/>
    <w:uiPriority w:val="0"/>
    <w:pPr>
      <w:jc w:val="center"/>
    </w:pPr>
    <w:rPr>
      <w:rFonts w:ascii="Times New Roman" w:hAnsi="Times New Roman" w:eastAsia="隶书" w:cs="Times New Roman"/>
      <w:sz w:val="52"/>
      <w:lang w:val="en-US" w:eastAsia="zh-CN" w:bidi="ar-SA"/>
    </w:rPr>
  </w:style>
  <w:style w:type="paragraph" w:customStyle="1" w:styleId="29">
    <w:name w:val="修订1"/>
    <w:hidden/>
    <w:unhideWhenUsed/>
    <w:qFormat/>
    <w:uiPriority w:val="99"/>
    <w:rPr>
      <w:rFonts w:ascii="Times New Roman" w:hAnsi="Times New Roman" w:cs="Times New Roman" w:eastAsiaTheme="minorEastAsia"/>
      <w:lang w:val="en-US" w:eastAsia="zh-CN" w:bidi="ar-SA"/>
    </w:rPr>
  </w:style>
  <w:style w:type="paragraph" w:customStyle="1" w:styleId="30">
    <w:name w:val="Revision"/>
    <w:hidden/>
    <w:unhideWhenUsed/>
    <w:qFormat/>
    <w:uiPriority w:val="99"/>
    <w:rPr>
      <w:rFonts w:ascii="Times New Roman" w:hAnsi="Times New Roman" w:cs="Times New Roman" w:eastAsiaTheme="minorEastAsia"/>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296694-E18A-4CAC-945A-84CD5F62F796}">
  <ds:schemaRefs/>
</ds:datastoreItem>
</file>

<file path=docProps/app.xml><?xml version="1.0" encoding="utf-8"?>
<Properties xmlns="http://schemas.openxmlformats.org/officeDocument/2006/extended-properties" xmlns:vt="http://schemas.openxmlformats.org/officeDocument/2006/docPropsVTypes">
  <Template>Normal.dotm</Template>
  <Pages>10</Pages>
  <Words>913</Words>
  <Characters>5210</Characters>
  <Lines>43</Lines>
  <Paragraphs>12</Paragraphs>
  <TotalTime>7</TotalTime>
  <ScaleCrop>false</ScaleCrop>
  <LinksUpToDate>false</LinksUpToDate>
  <CharactersWithSpaces>6111</CharactersWithSpaces>
  <Application>WPS Office_12.8.2.19795_F1E327BC-269C-435d-A152-05C5408002CA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2026-07-21T05:47:00Z</dcterms:created>
  <dc:creator>Un-named</dc:creator>
  <cp:lastModifiedBy>张琪玥</cp:lastModifiedBy>
  <cp:lastPrinted>2026-07-22T12:13:07Z</cp:lastPrinted>
  <dcterms:modified xsi:type="dcterms:W3CDTF">2026-07-22T12:18:09Z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eyJoZGlkIjoiYTA3YmFkYmZlMzBmZmE1NGU4ODU3NWY5ZjM0ZWRkODMiLCJ1c2VySWQiOiIxNzkyMjQyMzA0In0=</vt:lpwstr>
  </property>
  <property fmtid="{D5CDD505-2E9C-101B-9397-08002B2CF9AE}" pid="3" name="KSOProductBuildVer">
    <vt:lpwstr>2052-12.8.2.19795</vt:lpwstr>
  </property>
  <property fmtid="{D5CDD505-2E9C-101B-9397-08002B2CF9AE}" pid="4" name="ICV">
    <vt:lpwstr>072163D8AD484CAA95ADA5518BE52917_13</vt:lpwstr>
  </property>
</Properties>
</file>