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34FB4">
      <w:pPr>
        <w:pStyle w:val="7"/>
        <w:jc w:val="center"/>
        <w:rPr>
          <w:rFonts w:ascii="隶书" w:eastAsia="隶书"/>
          <w:sz w:val="56"/>
          <w:szCs w:val="56"/>
        </w:rPr>
      </w:pPr>
      <w:bookmarkStart w:id="0" w:name="_Toc6059"/>
      <w:bookmarkStart w:id="1" w:name="_Toc1572"/>
    </w:p>
    <w:p w14:paraId="3373BD34">
      <w:pPr>
        <w:pStyle w:val="7"/>
        <w:jc w:val="center"/>
        <w:rPr>
          <w:rFonts w:ascii="隶书" w:eastAsia="隶书"/>
          <w:sz w:val="56"/>
          <w:szCs w:val="56"/>
        </w:rPr>
      </w:pPr>
    </w:p>
    <w:p w14:paraId="2DA59D6C">
      <w:pPr>
        <w:pStyle w:val="17"/>
        <w:rPr>
          <w:rFonts w:hint="eastAsia" w:ascii="黑体" w:hAnsi="黑体" w:eastAsia="黑体" w:cs="黑体"/>
          <w:sz w:val="48"/>
          <w:szCs w:val="48"/>
          <w:highlight w:val="none"/>
          <w:lang w:val="en-US" w:eastAsia="zh-CN"/>
        </w:rPr>
      </w:pPr>
      <w:r>
        <w:rPr>
          <w:rFonts w:hint="eastAsia" w:ascii="黑体" w:hAnsi="黑体" w:eastAsia="黑体" w:cs="黑体"/>
          <w:sz w:val="48"/>
          <w:szCs w:val="48"/>
          <w:highlight w:val="none"/>
          <w:lang w:val="en-US" w:eastAsia="zh-CN"/>
        </w:rPr>
        <w:t>标的3：角钢塔自主攀爬作业机器人研究（技术开发）</w:t>
      </w:r>
    </w:p>
    <w:p w14:paraId="2CBFBEE9">
      <w:pPr>
        <w:pStyle w:val="17"/>
        <w:rPr>
          <w:rFonts w:hint="eastAsia" w:ascii="黑体" w:hAnsi="黑体" w:eastAsia="黑体" w:cs="黑体"/>
          <w:sz w:val="48"/>
          <w:szCs w:val="48"/>
          <w:highlight w:val="yellow"/>
          <w:lang w:val="en-US" w:eastAsia="zh-CN"/>
        </w:rPr>
      </w:pPr>
    </w:p>
    <w:p w14:paraId="7AEB5CBF">
      <w:pPr>
        <w:pStyle w:val="7"/>
        <w:jc w:val="center"/>
        <w:rPr>
          <w:rFonts w:ascii="隶书" w:eastAsia="隶书"/>
          <w:sz w:val="48"/>
          <w:szCs w:val="48"/>
        </w:rPr>
      </w:pPr>
    </w:p>
    <w:p w14:paraId="197450D9">
      <w:pPr>
        <w:pStyle w:val="7"/>
        <w:jc w:val="center"/>
        <w:rPr>
          <w:rFonts w:ascii="隶书" w:eastAsia="隶书"/>
          <w:sz w:val="48"/>
          <w:szCs w:val="48"/>
        </w:rPr>
      </w:pPr>
    </w:p>
    <w:p w14:paraId="579E8283">
      <w:pPr>
        <w:pStyle w:val="7"/>
        <w:jc w:val="center"/>
        <w:rPr>
          <w:rFonts w:ascii="隶书" w:eastAsia="隶书"/>
          <w:sz w:val="48"/>
          <w:szCs w:val="48"/>
        </w:rPr>
      </w:pPr>
    </w:p>
    <w:p w14:paraId="55CD8D51">
      <w:pPr>
        <w:pStyle w:val="7"/>
        <w:jc w:val="center"/>
        <w:rPr>
          <w:rFonts w:ascii="黑体" w:hAnsi="黑体" w:eastAsia="黑体" w:cs="黑体"/>
          <w:sz w:val="52"/>
          <w:szCs w:val="52"/>
        </w:rPr>
      </w:pPr>
      <w:r>
        <w:rPr>
          <w:rFonts w:hint="eastAsia" w:ascii="黑体" w:hAnsi="黑体" w:eastAsia="黑体" w:cs="黑体"/>
          <w:sz w:val="52"/>
          <w:szCs w:val="52"/>
        </w:rPr>
        <w:t>技术规范书</w:t>
      </w:r>
    </w:p>
    <w:p w14:paraId="55123A42">
      <w:pPr>
        <w:spacing w:before="156" w:beforeLines="50"/>
        <w:rPr>
          <w:rFonts w:ascii="楷体_GB2312" w:hAnsi="宋体" w:eastAsia="楷体_GB2312"/>
          <w:sz w:val="32"/>
          <w:szCs w:val="32"/>
        </w:rPr>
      </w:pPr>
    </w:p>
    <w:p w14:paraId="43DC8E66">
      <w:pPr>
        <w:spacing w:before="156" w:beforeLines="50"/>
        <w:jc w:val="center"/>
        <w:rPr>
          <w:rFonts w:ascii="楷体_GB2312" w:hAnsi="宋体" w:eastAsia="楷体_GB2312"/>
          <w:sz w:val="32"/>
          <w:szCs w:val="32"/>
        </w:rPr>
      </w:pPr>
    </w:p>
    <w:p w14:paraId="2D8DE4B4">
      <w:pPr>
        <w:spacing w:before="156" w:beforeLines="50"/>
        <w:rPr>
          <w:rFonts w:ascii="楷体_GB2312" w:hAnsi="宋体" w:eastAsia="楷体_GB2312"/>
          <w:sz w:val="32"/>
          <w:szCs w:val="32"/>
        </w:rPr>
      </w:pPr>
    </w:p>
    <w:p w14:paraId="1823027C">
      <w:pPr>
        <w:pStyle w:val="18"/>
        <w:rPr>
          <w:rStyle w:val="20"/>
          <w:rFonts w:ascii="黑体" w:hAnsi="黑体" w:eastAsia="黑体" w:cs="黑体"/>
          <w:highlight w:val="yellow"/>
        </w:rPr>
      </w:pPr>
    </w:p>
    <w:p w14:paraId="0BC07FC2">
      <w:pPr>
        <w:pStyle w:val="18"/>
        <w:rPr>
          <w:rStyle w:val="20"/>
          <w:rFonts w:ascii="黑体" w:hAnsi="黑体" w:eastAsia="黑体" w:cs="黑体"/>
          <w:highlight w:val="yellow"/>
        </w:rPr>
      </w:pPr>
    </w:p>
    <w:p w14:paraId="37813127">
      <w:pPr>
        <w:pStyle w:val="18"/>
        <w:rPr>
          <w:rFonts w:ascii="黑体" w:hAnsi="黑体" w:eastAsia="黑体" w:cs="黑体"/>
        </w:rPr>
        <w:sectPr>
          <w:pgSz w:w="11906" w:h="16838"/>
          <w:pgMar w:top="1440" w:right="1800" w:bottom="1440" w:left="1800" w:header="851" w:footer="992" w:gutter="0"/>
          <w:cols w:space="425" w:num="1"/>
          <w:docGrid w:type="lines" w:linePitch="312" w:charSpace="0"/>
        </w:sectPr>
      </w:pPr>
      <w:r>
        <w:rPr>
          <w:rStyle w:val="20"/>
          <w:rFonts w:hint="eastAsia" w:ascii="黑体" w:hAnsi="黑体" w:eastAsia="黑体" w:cs="黑体"/>
          <w:highlight w:val="none"/>
          <w:lang w:val="en-US" w:eastAsia="zh-CN"/>
        </w:rPr>
        <w:t>2026</w:t>
      </w:r>
      <w:r>
        <w:rPr>
          <w:rStyle w:val="20"/>
          <w:rFonts w:hint="eastAsia" w:ascii="黑体" w:hAnsi="黑体" w:eastAsia="黑体" w:cs="黑体"/>
          <w:highlight w:val="none"/>
        </w:rPr>
        <w:t>年</w:t>
      </w:r>
      <w:r>
        <w:rPr>
          <w:rStyle w:val="20"/>
          <w:rFonts w:hint="eastAsia" w:ascii="黑体" w:hAnsi="黑体" w:eastAsia="黑体" w:cs="黑体"/>
          <w:highlight w:val="none"/>
          <w:lang w:val="en-US" w:eastAsia="zh-CN"/>
        </w:rPr>
        <w:t>7</w:t>
      </w:r>
      <w:r>
        <w:rPr>
          <w:rStyle w:val="20"/>
          <w:rFonts w:hint="eastAsia" w:ascii="黑体" w:hAnsi="黑体" w:eastAsia="黑体" w:cs="黑体"/>
          <w:highlight w:val="none"/>
        </w:rPr>
        <w:t>月</w:t>
      </w:r>
    </w:p>
    <w:p w14:paraId="70C1EBE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黑体" w:hAnsi="黑体" w:eastAsia="黑体" w:cs="黑体"/>
          <w:bCs/>
          <w:sz w:val="44"/>
          <w:szCs w:val="36"/>
        </w:rPr>
      </w:pPr>
      <w:bookmarkStart w:id="2" w:name="_Toc30850"/>
      <w:r>
        <w:rPr>
          <w:rFonts w:hint="eastAsia" w:ascii="黑体" w:hAnsi="黑体" w:eastAsia="黑体" w:cs="黑体"/>
          <w:bCs/>
          <w:sz w:val="44"/>
          <w:szCs w:val="36"/>
        </w:rPr>
        <w:t>目</w:t>
      </w:r>
      <w:r>
        <w:rPr>
          <w:rFonts w:hint="eastAsia" w:ascii="黑体" w:hAnsi="黑体" w:eastAsia="黑体" w:cs="黑体"/>
          <w:bCs/>
          <w:sz w:val="44"/>
          <w:szCs w:val="36"/>
          <w:lang w:val="en-US" w:eastAsia="zh-CN"/>
        </w:rPr>
        <w:t xml:space="preserve"> </w:t>
      </w:r>
      <w:r>
        <w:rPr>
          <w:rFonts w:hint="eastAsia" w:ascii="黑体" w:hAnsi="黑体" w:eastAsia="黑体" w:cs="黑体"/>
          <w:bCs/>
          <w:sz w:val="44"/>
          <w:szCs w:val="36"/>
        </w:rPr>
        <w:t>录</w:t>
      </w:r>
      <w:bookmarkEnd w:id="0"/>
      <w:bookmarkEnd w:id="1"/>
      <w:bookmarkEnd w:id="2"/>
    </w:p>
    <w:p w14:paraId="79646C7A">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_Toc9347 </w:instrText>
      </w:r>
      <w:r>
        <w:rPr>
          <w:rFonts w:hint="eastAsia" w:ascii="宋体" w:hAnsi="宋体" w:eastAsia="宋体" w:cs="宋体"/>
          <w:sz w:val="24"/>
          <w:szCs w:val="24"/>
        </w:rPr>
        <w:fldChar w:fldCharType="separate"/>
      </w:r>
      <w:r>
        <w:rPr>
          <w:rFonts w:hint="eastAsia" w:ascii="宋体" w:hAnsi="宋体" w:eastAsia="宋体" w:cs="宋体"/>
          <w:sz w:val="24"/>
          <w:szCs w:val="24"/>
        </w:rPr>
        <w:t>总 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_Toc9347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34DCBA2">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_Toc3738 </w:instrText>
      </w:r>
      <w:r>
        <w:rPr>
          <w:rFonts w:hint="eastAsia" w:ascii="宋体" w:hAnsi="宋体" w:eastAsia="宋体" w:cs="宋体"/>
          <w:sz w:val="24"/>
          <w:szCs w:val="24"/>
        </w:rPr>
        <w:fldChar w:fldCharType="separate"/>
      </w:r>
      <w:r>
        <w:rPr>
          <w:rFonts w:hint="eastAsia" w:ascii="宋体" w:hAnsi="宋体" w:eastAsia="宋体" w:cs="宋体"/>
          <w:sz w:val="24"/>
          <w:szCs w:val="24"/>
        </w:rPr>
        <w:t>1  标的概况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_Toc3738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AC859C1">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_Toc7667 </w:instrText>
      </w:r>
      <w:r>
        <w:rPr>
          <w:rFonts w:hint="eastAsia" w:ascii="宋体" w:hAnsi="宋体" w:eastAsia="宋体" w:cs="宋体"/>
          <w:sz w:val="24"/>
          <w:szCs w:val="24"/>
        </w:rPr>
        <w:fldChar w:fldCharType="separate"/>
      </w:r>
      <w:r>
        <w:rPr>
          <w:rFonts w:hint="eastAsia" w:ascii="宋体" w:hAnsi="宋体" w:eastAsia="宋体" w:cs="宋体"/>
          <w:sz w:val="24"/>
          <w:szCs w:val="24"/>
        </w:rPr>
        <w:t>2  研究内容及目的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_Toc7667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FB7E1A4">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_Toc29882 </w:instrText>
      </w:r>
      <w:r>
        <w:rPr>
          <w:rFonts w:hint="eastAsia" w:ascii="宋体" w:hAnsi="宋体" w:eastAsia="宋体" w:cs="宋体"/>
          <w:sz w:val="24"/>
          <w:szCs w:val="24"/>
        </w:rPr>
        <w:fldChar w:fldCharType="separate"/>
      </w:r>
      <w:r>
        <w:rPr>
          <w:rFonts w:hint="eastAsia" w:ascii="宋体" w:hAnsi="宋体" w:eastAsia="宋体" w:cs="宋体"/>
          <w:bCs/>
          <w:sz w:val="24"/>
          <w:szCs w:val="24"/>
        </w:rPr>
        <w:t>2.1 研究内容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_Toc29882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076726">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_Toc22754 </w:instrText>
      </w:r>
      <w:r>
        <w:rPr>
          <w:rFonts w:hint="eastAsia" w:ascii="宋体" w:hAnsi="宋体" w:eastAsia="宋体" w:cs="宋体"/>
          <w:sz w:val="24"/>
          <w:szCs w:val="24"/>
        </w:rPr>
        <w:fldChar w:fldCharType="separate"/>
      </w:r>
      <w:r>
        <w:rPr>
          <w:rFonts w:hint="eastAsia" w:ascii="宋体" w:hAnsi="宋体" w:eastAsia="宋体" w:cs="宋体"/>
          <w:bCs/>
          <w:sz w:val="24"/>
          <w:szCs w:val="24"/>
        </w:rPr>
        <w:t>2.2 研究目的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_Toc22754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5359BFC">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_Toc20003 </w:instrText>
      </w:r>
      <w:r>
        <w:rPr>
          <w:rFonts w:hint="eastAsia" w:ascii="宋体" w:hAnsi="宋体" w:eastAsia="宋体" w:cs="宋体"/>
          <w:sz w:val="24"/>
          <w:szCs w:val="24"/>
        </w:rPr>
        <w:fldChar w:fldCharType="separate"/>
      </w:r>
      <w:r>
        <w:rPr>
          <w:rFonts w:hint="eastAsia" w:ascii="宋体" w:hAnsi="宋体" w:eastAsia="宋体" w:cs="宋体"/>
          <w:sz w:val="24"/>
          <w:szCs w:val="24"/>
        </w:rPr>
        <w:t>3  主要技术指标要求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_Toc20003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5683E48">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_Toc14246 </w:instrText>
      </w:r>
      <w:r>
        <w:rPr>
          <w:rFonts w:hint="eastAsia" w:ascii="宋体" w:hAnsi="宋体" w:eastAsia="宋体" w:cs="宋体"/>
          <w:sz w:val="24"/>
          <w:szCs w:val="24"/>
        </w:rPr>
        <w:fldChar w:fldCharType="separate"/>
      </w:r>
      <w:r>
        <w:rPr>
          <w:rFonts w:hint="eastAsia" w:ascii="宋体" w:hAnsi="宋体" w:eastAsia="宋体" w:cs="宋体"/>
          <w:sz w:val="24"/>
          <w:szCs w:val="24"/>
        </w:rPr>
        <w:t>4  时间进度要求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_Toc14246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A9DE976">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_Toc21501 </w:instrText>
      </w:r>
      <w:r>
        <w:rPr>
          <w:rFonts w:hint="eastAsia" w:ascii="宋体" w:hAnsi="宋体" w:eastAsia="宋体" w:cs="宋体"/>
          <w:sz w:val="24"/>
          <w:szCs w:val="24"/>
        </w:rPr>
        <w:fldChar w:fldCharType="separate"/>
      </w:r>
      <w:r>
        <w:rPr>
          <w:rFonts w:hint="eastAsia" w:ascii="宋体" w:hAnsi="宋体" w:eastAsia="宋体" w:cs="宋体"/>
          <w:sz w:val="24"/>
          <w:szCs w:val="24"/>
        </w:rPr>
        <w:t>5  成果交付与验收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_Toc21501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FB87AB1">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_Toc5704 </w:instrText>
      </w:r>
      <w:r>
        <w:rPr>
          <w:rFonts w:hint="eastAsia" w:ascii="宋体" w:hAnsi="宋体" w:eastAsia="宋体" w:cs="宋体"/>
          <w:sz w:val="24"/>
          <w:szCs w:val="24"/>
        </w:rPr>
        <w:fldChar w:fldCharType="separate"/>
      </w:r>
      <w:r>
        <w:rPr>
          <w:rFonts w:hint="eastAsia" w:ascii="宋体" w:hAnsi="宋体" w:eastAsia="宋体" w:cs="宋体"/>
          <w:bCs/>
          <w:sz w:val="24"/>
          <w:szCs w:val="24"/>
        </w:rPr>
        <w:t>5.1 成果形式及数量要求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_Toc5704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FC7DA68">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_Toc25508 </w:instrText>
      </w:r>
      <w:r>
        <w:rPr>
          <w:rFonts w:hint="eastAsia" w:ascii="宋体" w:hAnsi="宋体" w:eastAsia="宋体" w:cs="宋体"/>
          <w:sz w:val="24"/>
          <w:szCs w:val="24"/>
        </w:rPr>
        <w:fldChar w:fldCharType="separate"/>
      </w:r>
      <w:r>
        <w:rPr>
          <w:rFonts w:hint="eastAsia" w:ascii="宋体" w:hAnsi="宋体" w:eastAsia="宋体" w:cs="宋体"/>
          <w:bCs/>
          <w:sz w:val="24"/>
          <w:szCs w:val="24"/>
        </w:rPr>
        <w:t>★5.2 成果的权属要求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729719A">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_Toc28744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5.3技术架构要求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_Toc28744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845268">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_Toc6117 </w:instrText>
      </w:r>
      <w:r>
        <w:rPr>
          <w:rFonts w:hint="eastAsia" w:ascii="宋体" w:hAnsi="宋体" w:eastAsia="宋体" w:cs="宋体"/>
          <w:sz w:val="24"/>
          <w:szCs w:val="24"/>
        </w:rPr>
        <w:fldChar w:fldCharType="separate"/>
      </w:r>
      <w:r>
        <w:rPr>
          <w:rFonts w:hint="eastAsia" w:ascii="宋体" w:hAnsi="宋体" w:eastAsia="宋体" w:cs="宋体"/>
          <w:bCs/>
          <w:sz w:val="24"/>
          <w:szCs w:val="24"/>
        </w:rPr>
        <w:t>5.</w:t>
      </w:r>
      <w:r>
        <w:rPr>
          <w:rFonts w:hint="eastAsia" w:ascii="宋体" w:hAnsi="宋体" w:eastAsia="宋体" w:cs="宋体"/>
          <w:bCs/>
          <w:sz w:val="24"/>
          <w:szCs w:val="24"/>
          <w:lang w:val="en-US" w:eastAsia="zh-CN"/>
        </w:rPr>
        <w:t>4</w:t>
      </w:r>
      <w:r>
        <w:rPr>
          <w:rFonts w:hint="eastAsia" w:ascii="宋体" w:hAnsi="宋体" w:eastAsia="宋体" w:cs="宋体"/>
          <w:bCs/>
          <w:sz w:val="24"/>
          <w:szCs w:val="24"/>
        </w:rPr>
        <w:t>成果验收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_Toc6117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BC36C84">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_Toc30047 </w:instrText>
      </w:r>
      <w:r>
        <w:rPr>
          <w:rFonts w:hint="eastAsia" w:ascii="宋体" w:hAnsi="宋体" w:eastAsia="宋体" w:cs="宋体"/>
          <w:sz w:val="24"/>
          <w:szCs w:val="24"/>
        </w:rPr>
        <w:fldChar w:fldCharType="separate"/>
      </w:r>
      <w:r>
        <w:rPr>
          <w:rFonts w:hint="eastAsia" w:ascii="宋体" w:hAnsi="宋体" w:eastAsia="宋体" w:cs="宋体"/>
          <w:sz w:val="24"/>
          <w:szCs w:val="24"/>
        </w:rPr>
        <w:t>6  投标技术文件要求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_Toc30047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DBCD351">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_Toc26928 </w:instrText>
      </w:r>
      <w:r>
        <w:rPr>
          <w:rFonts w:hint="eastAsia" w:ascii="宋体" w:hAnsi="宋体" w:eastAsia="宋体" w:cs="宋体"/>
          <w:sz w:val="24"/>
          <w:szCs w:val="24"/>
        </w:rPr>
        <w:fldChar w:fldCharType="separate"/>
      </w:r>
      <w:r>
        <w:rPr>
          <w:rFonts w:hint="eastAsia" w:ascii="宋体" w:hAnsi="宋体" w:eastAsia="宋体" w:cs="宋体"/>
          <w:bCs/>
          <w:sz w:val="24"/>
          <w:szCs w:val="24"/>
        </w:rPr>
        <w:t>6.1 研究方案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_Toc26928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178F70B">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_Toc3443 </w:instrText>
      </w:r>
      <w:r>
        <w:rPr>
          <w:rFonts w:hint="eastAsia" w:ascii="宋体" w:hAnsi="宋体" w:eastAsia="宋体" w:cs="宋体"/>
          <w:sz w:val="24"/>
          <w:szCs w:val="24"/>
        </w:rPr>
        <w:fldChar w:fldCharType="separate"/>
      </w:r>
      <w:r>
        <w:rPr>
          <w:rFonts w:hint="eastAsia" w:ascii="宋体" w:hAnsi="宋体" w:eastAsia="宋体" w:cs="宋体"/>
          <w:bCs/>
          <w:sz w:val="24"/>
          <w:szCs w:val="24"/>
        </w:rPr>
        <w:t>6.2 项目管理实施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_Toc3443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52F40C2">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_Toc29755 </w:instrText>
      </w:r>
      <w:r>
        <w:rPr>
          <w:rFonts w:hint="eastAsia" w:ascii="宋体" w:hAnsi="宋体" w:eastAsia="宋体" w:cs="宋体"/>
          <w:sz w:val="24"/>
          <w:szCs w:val="24"/>
        </w:rPr>
        <w:fldChar w:fldCharType="separate"/>
      </w:r>
      <w:r>
        <w:rPr>
          <w:rFonts w:hint="eastAsia" w:ascii="宋体" w:hAnsi="宋体" w:eastAsia="宋体" w:cs="宋体"/>
          <w:bCs/>
          <w:sz w:val="24"/>
          <w:szCs w:val="24"/>
        </w:rPr>
        <w:t>6.3 项目技术支撑能力</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_Toc29755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FC01DB9">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_Toc3357 </w:instrText>
      </w:r>
      <w:r>
        <w:rPr>
          <w:rFonts w:hint="eastAsia" w:ascii="宋体" w:hAnsi="宋体" w:eastAsia="宋体" w:cs="宋体"/>
          <w:sz w:val="24"/>
          <w:szCs w:val="24"/>
        </w:rPr>
        <w:fldChar w:fldCharType="separate"/>
      </w:r>
      <w:r>
        <w:rPr>
          <w:rFonts w:hint="eastAsia" w:ascii="宋体" w:hAnsi="宋体" w:eastAsia="宋体" w:cs="宋体"/>
          <w:bCs/>
          <w:sz w:val="24"/>
          <w:szCs w:val="24"/>
        </w:rPr>
        <w:t>6.4 技术支持与售后服务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_Toc3357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23A5DF">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_Toc17138 </w:instrText>
      </w:r>
      <w:r>
        <w:rPr>
          <w:rFonts w:hint="eastAsia" w:ascii="宋体" w:hAnsi="宋体" w:eastAsia="宋体" w:cs="宋体"/>
          <w:sz w:val="24"/>
          <w:szCs w:val="24"/>
        </w:rPr>
        <w:fldChar w:fldCharType="separate"/>
      </w:r>
      <w:r>
        <w:rPr>
          <w:rFonts w:hint="eastAsia" w:ascii="宋体" w:hAnsi="宋体" w:eastAsia="宋体" w:cs="宋体"/>
          <w:bCs/>
          <w:sz w:val="24"/>
          <w:szCs w:val="24"/>
        </w:rPr>
        <w:t>6.5 技术差异表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_Toc17138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EFECA1">
      <w:pPr>
        <w:pStyle w:val="11"/>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_Toc10100 </w:instrText>
      </w:r>
      <w:r>
        <w:rPr>
          <w:rFonts w:hint="eastAsia" w:ascii="宋体" w:hAnsi="宋体" w:eastAsia="宋体" w:cs="宋体"/>
          <w:sz w:val="24"/>
          <w:szCs w:val="24"/>
        </w:rPr>
        <w:fldChar w:fldCharType="separate"/>
      </w:r>
      <w:r>
        <w:rPr>
          <w:rFonts w:hint="eastAsia" w:ascii="宋体" w:hAnsi="宋体" w:eastAsia="宋体" w:cs="宋体"/>
          <w:sz w:val="24"/>
          <w:szCs w:val="24"/>
        </w:rPr>
        <w:t>6.6 其它补充说明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_Toc10100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90C5B57">
      <w:pPr>
        <w:pStyle w:val="10"/>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ascii="黑体" w:hAnsi="黑体" w:eastAsia="黑体" w:cs="黑体"/>
          <w:b/>
          <w:sz w:val="24"/>
        </w:rPr>
      </w:pPr>
      <w:r>
        <w:rPr>
          <w:rFonts w:hint="eastAsia" w:ascii="宋体" w:hAnsi="宋体" w:eastAsia="宋体" w:cs="宋体"/>
          <w:sz w:val="24"/>
          <w:szCs w:val="24"/>
        </w:rPr>
        <w:fldChar w:fldCharType="end"/>
      </w:r>
    </w:p>
    <w:p w14:paraId="792D008B">
      <w:pPr>
        <w:rPr>
          <w:rFonts w:ascii="宋体" w:hAnsi="宋体"/>
          <w:b/>
          <w:sz w:val="30"/>
        </w:rPr>
      </w:pPr>
      <w:r>
        <w:rPr>
          <w:rFonts w:ascii="宋体" w:hAnsi="宋体"/>
          <w:b/>
          <w:sz w:val="30"/>
        </w:rPr>
        <w:br w:type="page"/>
      </w:r>
    </w:p>
    <w:p w14:paraId="0848A198">
      <w:pPr>
        <w:spacing w:line="480" w:lineRule="auto"/>
        <w:jc w:val="center"/>
        <w:outlineLvl w:val="0"/>
        <w:rPr>
          <w:rFonts w:ascii="宋体" w:hAnsi="宋体"/>
          <w:b/>
          <w:sz w:val="32"/>
        </w:rPr>
      </w:pPr>
      <w:bookmarkStart w:id="3" w:name="_Toc9347"/>
      <w:bookmarkStart w:id="4" w:name="_Toc17586"/>
      <w:bookmarkStart w:id="5" w:name="_Toc32374"/>
      <w:bookmarkStart w:id="6" w:name="_Toc266713645"/>
      <w:bookmarkStart w:id="7" w:name="_Toc19589"/>
      <w:r>
        <w:rPr>
          <w:rFonts w:hint="eastAsia" w:ascii="宋体" w:hAnsi="宋体"/>
          <w:b/>
          <w:sz w:val="32"/>
        </w:rPr>
        <w:t>总 则</w:t>
      </w:r>
      <w:bookmarkEnd w:id="3"/>
      <w:bookmarkEnd w:id="4"/>
      <w:bookmarkEnd w:id="5"/>
      <w:bookmarkEnd w:id="6"/>
      <w:bookmarkEnd w:id="7"/>
    </w:p>
    <w:p w14:paraId="47149EDA">
      <w:pPr>
        <w:numPr>
          <w:ilvl w:val="0"/>
          <w:numId w:val="2"/>
        </w:numPr>
        <w:spacing w:line="360" w:lineRule="auto"/>
        <w:rPr>
          <w:rFonts w:ascii="宋体" w:hAnsi="宋体"/>
          <w:bCs/>
          <w:sz w:val="24"/>
        </w:rPr>
      </w:pPr>
      <w:r>
        <w:rPr>
          <w:rFonts w:hint="eastAsia" w:ascii="宋体" w:hAnsi="宋体"/>
          <w:bCs/>
          <w:sz w:val="24"/>
        </w:rPr>
        <w:t>本文件</w:t>
      </w:r>
      <w:r>
        <w:rPr>
          <w:rFonts w:hint="eastAsia" w:ascii="宋体" w:hAnsi="宋体"/>
          <w:bCs/>
          <w:sz w:val="24"/>
          <w:highlight w:val="none"/>
        </w:rPr>
        <w:t>为</w:t>
      </w:r>
      <w:r>
        <w:rPr>
          <w:rFonts w:hint="eastAsia" w:ascii="宋体" w:hAnsi="宋体"/>
          <w:bCs/>
          <w:sz w:val="24"/>
          <w:highlight w:val="none"/>
          <w:lang w:val="en-US" w:eastAsia="zh-CN"/>
        </w:rPr>
        <w:t>该采购项目的</w:t>
      </w:r>
      <w:r>
        <w:rPr>
          <w:rFonts w:hint="eastAsia" w:ascii="宋体" w:hAnsi="宋体"/>
          <w:bCs/>
          <w:sz w:val="24"/>
          <w:highlight w:val="none"/>
        </w:rPr>
        <w:t>技</w:t>
      </w:r>
      <w:r>
        <w:rPr>
          <w:rFonts w:hint="eastAsia" w:ascii="宋体" w:hAnsi="宋体"/>
          <w:bCs/>
          <w:sz w:val="24"/>
        </w:rPr>
        <w:t>术招标文件。</w:t>
      </w:r>
    </w:p>
    <w:p w14:paraId="7A31199D">
      <w:pPr>
        <w:numPr>
          <w:ilvl w:val="0"/>
          <w:numId w:val="2"/>
        </w:numPr>
        <w:spacing w:line="360" w:lineRule="auto"/>
        <w:rPr>
          <w:rFonts w:ascii="宋体" w:hAnsi="宋体"/>
          <w:bCs/>
          <w:sz w:val="24"/>
        </w:rPr>
      </w:pPr>
      <w:r>
        <w:rPr>
          <w:rFonts w:hint="eastAsia" w:ascii="宋体" w:hAnsi="宋体"/>
          <w:bCs/>
          <w:sz w:val="24"/>
        </w:rPr>
        <w:t>本文件所描述的各</w:t>
      </w:r>
      <w:r>
        <w:rPr>
          <w:rFonts w:hint="eastAsia" w:hAnsi="宋体"/>
          <w:bCs/>
          <w:sz w:val="24"/>
        </w:rPr>
        <w:t>项技术要求</w:t>
      </w:r>
      <w:r>
        <w:rPr>
          <w:rFonts w:hint="eastAsia" w:ascii="宋体" w:hAnsi="宋体"/>
          <w:bCs/>
          <w:sz w:val="24"/>
        </w:rPr>
        <w:t>仅供投标方编制投标文件之用。</w:t>
      </w:r>
    </w:p>
    <w:p w14:paraId="38B417D5">
      <w:pPr>
        <w:numPr>
          <w:ilvl w:val="0"/>
          <w:numId w:val="2"/>
        </w:numPr>
        <w:spacing w:line="360" w:lineRule="auto"/>
        <w:rPr>
          <w:rFonts w:ascii="宋体" w:hAnsi="宋体"/>
          <w:bCs/>
          <w:sz w:val="24"/>
        </w:rPr>
      </w:pPr>
      <w:r>
        <w:rPr>
          <w:rFonts w:hint="eastAsia" w:ascii="宋体" w:hAnsi="宋体"/>
          <w:bCs/>
          <w:sz w:val="24"/>
        </w:rPr>
        <w:t>本标书仅描述基本的技术需求，并未对一切技术细节做出规定，也未充分引述有关标准和技术条文，投标方应根据需求目标提供进一步具体的可满足要求的</w:t>
      </w:r>
      <w:r>
        <w:rPr>
          <w:rFonts w:hint="eastAsia" w:hAnsi="宋体"/>
          <w:bCs/>
          <w:sz w:val="24"/>
        </w:rPr>
        <w:t>技术</w:t>
      </w:r>
      <w:r>
        <w:rPr>
          <w:rFonts w:hint="eastAsia" w:ascii="宋体" w:hAnsi="宋体"/>
          <w:bCs/>
          <w:sz w:val="24"/>
        </w:rPr>
        <w:t>指标。</w:t>
      </w:r>
    </w:p>
    <w:p w14:paraId="4D23A3E9">
      <w:pPr>
        <w:numPr>
          <w:ilvl w:val="0"/>
          <w:numId w:val="2"/>
        </w:numPr>
        <w:spacing w:line="360" w:lineRule="auto"/>
        <w:rPr>
          <w:rFonts w:ascii="宋体" w:hAnsi="宋体"/>
          <w:bCs/>
          <w:sz w:val="24"/>
        </w:rPr>
      </w:pPr>
      <w:r>
        <w:rPr>
          <w:rFonts w:hint="eastAsia" w:ascii="宋体" w:hAnsi="宋体"/>
          <w:bCs/>
          <w:sz w:val="24"/>
        </w:rPr>
        <w:t>投标技术文件要求文字精练、数据准确、表述及图示清晰明确，具有针对性。</w:t>
      </w:r>
    </w:p>
    <w:p w14:paraId="0895E83A">
      <w:pPr>
        <w:numPr>
          <w:ilvl w:val="0"/>
          <w:numId w:val="2"/>
        </w:numPr>
        <w:spacing w:line="360" w:lineRule="auto"/>
        <w:rPr>
          <w:rFonts w:ascii="宋体" w:hAnsi="宋体"/>
          <w:bCs/>
          <w:sz w:val="24"/>
        </w:rPr>
      </w:pPr>
      <w:r>
        <w:rPr>
          <w:rFonts w:hint="eastAsia" w:ascii="宋体" w:hAnsi="宋体"/>
          <w:bCs/>
          <w:sz w:val="24"/>
          <w:szCs w:val="22"/>
        </w:rPr>
        <w:t>投标方在投标技术文件中应对本标书逐项予以说明和答复,应如实反映投标</w:t>
      </w:r>
      <w:r>
        <w:rPr>
          <w:rFonts w:hint="eastAsia" w:hAnsi="宋体"/>
          <w:bCs/>
          <w:sz w:val="24"/>
          <w:szCs w:val="22"/>
        </w:rPr>
        <w:t>服务</w:t>
      </w:r>
      <w:r>
        <w:rPr>
          <w:rFonts w:hint="eastAsia" w:ascii="宋体" w:hAnsi="宋体"/>
          <w:bCs/>
          <w:sz w:val="24"/>
          <w:szCs w:val="22"/>
        </w:rPr>
        <w:t>与本技术规范书的技术差异。如果投标方没有提出技术差异，而在执行合同的过程中，招标方发现投标方提供的</w:t>
      </w:r>
      <w:r>
        <w:rPr>
          <w:rFonts w:hint="eastAsia" w:hAnsi="宋体"/>
          <w:bCs/>
          <w:sz w:val="24"/>
          <w:szCs w:val="22"/>
        </w:rPr>
        <w:t>服务</w:t>
      </w:r>
      <w:r>
        <w:rPr>
          <w:rFonts w:hint="eastAsia" w:ascii="宋体" w:hAnsi="宋体"/>
          <w:bCs/>
          <w:sz w:val="24"/>
          <w:szCs w:val="22"/>
        </w:rPr>
        <w:t>与其投标技术文件的条文存在差异，招标方</w:t>
      </w:r>
      <w:r>
        <w:rPr>
          <w:rFonts w:hint="eastAsia" w:hAnsi="宋体"/>
          <w:bCs/>
          <w:sz w:val="24"/>
          <w:szCs w:val="22"/>
        </w:rPr>
        <w:t>将</w:t>
      </w:r>
      <w:r>
        <w:rPr>
          <w:rFonts w:hint="eastAsia" w:ascii="宋体" w:hAnsi="宋体"/>
          <w:bCs/>
          <w:sz w:val="24"/>
          <w:szCs w:val="22"/>
        </w:rPr>
        <w:t>追究投标方违约责任</w:t>
      </w:r>
      <w:r>
        <w:rPr>
          <w:rFonts w:hint="eastAsia" w:ascii="宋体" w:hAnsi="宋体"/>
          <w:bCs/>
          <w:sz w:val="24"/>
        </w:rPr>
        <w:t>。</w:t>
      </w:r>
    </w:p>
    <w:p w14:paraId="65987CD4">
      <w:pPr>
        <w:numPr>
          <w:ilvl w:val="0"/>
          <w:numId w:val="2"/>
        </w:numPr>
        <w:spacing w:line="360" w:lineRule="auto"/>
        <w:rPr>
          <w:rFonts w:ascii="宋体" w:hAnsi="宋体"/>
          <w:bCs/>
          <w:sz w:val="24"/>
        </w:rPr>
      </w:pPr>
      <w:r>
        <w:rPr>
          <w:rFonts w:hint="eastAsia" w:ascii="宋体" w:hAnsi="宋体"/>
          <w:bCs/>
          <w:sz w:val="24"/>
          <w:szCs w:val="22"/>
        </w:rPr>
        <w:t>投标方应在投标技术部分按本技术规范书的要求</w:t>
      </w:r>
      <w:r>
        <w:rPr>
          <w:rFonts w:hint="eastAsia" w:hAnsi="宋体"/>
          <w:bCs/>
          <w:sz w:val="24"/>
          <w:szCs w:val="22"/>
        </w:rPr>
        <w:t>内容</w:t>
      </w:r>
      <w:r>
        <w:rPr>
          <w:rFonts w:hint="eastAsia" w:ascii="宋体" w:hAnsi="宋体"/>
          <w:bCs/>
          <w:sz w:val="24"/>
          <w:szCs w:val="22"/>
        </w:rPr>
        <w:t>如实详细填写投标</w:t>
      </w:r>
      <w:r>
        <w:rPr>
          <w:rFonts w:hint="eastAsia" w:hAnsi="宋体"/>
          <w:bCs/>
          <w:sz w:val="24"/>
          <w:szCs w:val="22"/>
        </w:rPr>
        <w:t>服务</w:t>
      </w:r>
      <w:r>
        <w:rPr>
          <w:rFonts w:hint="eastAsia" w:ascii="宋体" w:hAnsi="宋体"/>
          <w:bCs/>
          <w:sz w:val="24"/>
          <w:szCs w:val="22"/>
        </w:rPr>
        <w:t>的</w:t>
      </w:r>
      <w:r>
        <w:rPr>
          <w:rFonts w:hint="eastAsia" w:hAnsi="宋体"/>
          <w:bCs/>
          <w:sz w:val="24"/>
          <w:szCs w:val="22"/>
        </w:rPr>
        <w:t>范围及明细</w:t>
      </w:r>
      <w:r>
        <w:rPr>
          <w:rFonts w:hint="eastAsia" w:ascii="宋体" w:hAnsi="宋体"/>
          <w:bCs/>
          <w:sz w:val="24"/>
          <w:szCs w:val="22"/>
        </w:rPr>
        <w:t>，并在投标商务部分</w:t>
      </w:r>
      <w:r>
        <w:rPr>
          <w:rFonts w:hint="eastAsia" w:hAnsi="宋体"/>
          <w:bCs/>
          <w:sz w:val="24"/>
          <w:szCs w:val="22"/>
        </w:rPr>
        <w:t>（或报价部分）</w:t>
      </w:r>
      <w:r>
        <w:rPr>
          <w:rFonts w:hint="eastAsia" w:ascii="宋体" w:hAnsi="宋体"/>
          <w:bCs/>
          <w:sz w:val="24"/>
          <w:szCs w:val="22"/>
        </w:rPr>
        <w:t>按</w:t>
      </w:r>
      <w:r>
        <w:rPr>
          <w:rFonts w:hint="eastAsia" w:hAnsi="宋体"/>
          <w:bCs/>
          <w:sz w:val="24"/>
          <w:szCs w:val="22"/>
        </w:rPr>
        <w:t>此范围及明细</w:t>
      </w:r>
      <w:r>
        <w:rPr>
          <w:rFonts w:hint="eastAsia" w:ascii="宋体" w:hAnsi="宋体"/>
          <w:bCs/>
          <w:sz w:val="24"/>
          <w:szCs w:val="22"/>
        </w:rPr>
        <w:t>进行</w:t>
      </w:r>
      <w:r>
        <w:rPr>
          <w:rFonts w:hint="eastAsia" w:hAnsi="宋体"/>
          <w:bCs/>
          <w:sz w:val="24"/>
          <w:szCs w:val="22"/>
        </w:rPr>
        <w:t>分项</w:t>
      </w:r>
      <w:r>
        <w:rPr>
          <w:rFonts w:hint="eastAsia" w:ascii="宋体" w:hAnsi="宋体"/>
          <w:bCs/>
          <w:sz w:val="24"/>
          <w:szCs w:val="22"/>
        </w:rPr>
        <w:t>报价，如发现</w:t>
      </w:r>
      <w:r>
        <w:rPr>
          <w:rFonts w:hint="eastAsia" w:hAnsi="宋体"/>
          <w:bCs/>
          <w:sz w:val="24"/>
          <w:szCs w:val="22"/>
        </w:rPr>
        <w:t>总报价与分项报价</w:t>
      </w:r>
      <w:r>
        <w:rPr>
          <w:rFonts w:hint="eastAsia" w:ascii="宋体" w:hAnsi="宋体"/>
          <w:bCs/>
          <w:sz w:val="24"/>
          <w:szCs w:val="22"/>
        </w:rPr>
        <w:t>有矛盾之处，将按有利于招标方的条款执行</w:t>
      </w:r>
      <w:r>
        <w:rPr>
          <w:rFonts w:hint="eastAsia" w:hAnsi="宋体"/>
          <w:bCs/>
          <w:sz w:val="24"/>
          <w:szCs w:val="22"/>
        </w:rPr>
        <w:t>。</w:t>
      </w:r>
      <w:r>
        <w:rPr>
          <w:rFonts w:hint="eastAsia" w:ascii="宋体" w:hAnsi="宋体"/>
          <w:bCs/>
          <w:sz w:val="24"/>
          <w:szCs w:val="22"/>
        </w:rPr>
        <w:t xml:space="preserve"> </w:t>
      </w:r>
    </w:p>
    <w:p w14:paraId="1F0461CF">
      <w:pPr>
        <w:numPr>
          <w:ilvl w:val="0"/>
          <w:numId w:val="2"/>
        </w:numPr>
        <w:spacing w:line="360" w:lineRule="auto"/>
        <w:rPr>
          <w:rFonts w:ascii="宋体" w:hAnsi="宋体"/>
          <w:bCs/>
          <w:sz w:val="24"/>
          <w:szCs w:val="22"/>
        </w:rPr>
      </w:pPr>
      <w:r>
        <w:rPr>
          <w:rFonts w:hint="eastAsia" w:ascii="宋体" w:hAnsi="宋体"/>
          <w:bCs/>
          <w:sz w:val="24"/>
          <w:szCs w:val="22"/>
        </w:rPr>
        <w:t>投标方必须仔细阅读采购文件的全部条款，并作出明确响应。采购文件带“★”号的条款及要求，</w:t>
      </w:r>
      <w:r>
        <w:rPr>
          <w:rFonts w:hint="eastAsia" w:ascii="宋体" w:hAnsi="宋体"/>
          <w:bCs/>
          <w:sz w:val="24"/>
          <w:szCs w:val="22"/>
          <w:lang w:val="en-US" w:eastAsia="zh-CN"/>
        </w:rPr>
        <w:t>投标</w:t>
      </w:r>
      <w:r>
        <w:rPr>
          <w:rFonts w:hint="eastAsia" w:ascii="宋体" w:hAnsi="宋体"/>
          <w:bCs/>
          <w:sz w:val="24"/>
          <w:szCs w:val="22"/>
        </w:rPr>
        <w:t>方必须满足，若有一项不满足将否决投标。</w:t>
      </w:r>
    </w:p>
    <w:p w14:paraId="4159E2BD">
      <w:pPr>
        <w:numPr>
          <w:ilvl w:val="0"/>
          <w:numId w:val="2"/>
        </w:numPr>
        <w:spacing w:line="360" w:lineRule="auto"/>
        <w:rPr>
          <w:rFonts w:ascii="宋体" w:hAnsi="宋体"/>
          <w:bCs/>
          <w:sz w:val="24"/>
          <w:szCs w:val="22"/>
        </w:rPr>
      </w:pPr>
      <w:r>
        <w:rPr>
          <w:rFonts w:hint="eastAsia" w:ascii="宋体" w:hAnsi="宋体"/>
          <w:bCs/>
          <w:sz w:val="24"/>
          <w:szCs w:val="22"/>
        </w:rPr>
        <w:t>本技术规范书未尽事宜，由双方协商确定。</w:t>
      </w:r>
    </w:p>
    <w:p w14:paraId="40BF604E">
      <w:pPr>
        <w:numPr>
          <w:ilvl w:val="0"/>
          <w:numId w:val="2"/>
        </w:numPr>
        <w:spacing w:line="360" w:lineRule="auto"/>
        <w:rPr>
          <w:rFonts w:ascii="宋体" w:hAnsi="宋体"/>
          <w:bCs/>
          <w:sz w:val="24"/>
        </w:rPr>
      </w:pPr>
      <w:r>
        <w:rPr>
          <w:rFonts w:hint="eastAsia" w:ascii="宋体" w:hAnsi="宋体"/>
          <w:bCs/>
          <w:sz w:val="24"/>
        </w:rPr>
        <w:t>本标书的最终解释权归招标方。</w:t>
      </w:r>
    </w:p>
    <w:p w14:paraId="38A192B1">
      <w:pPr>
        <w:pStyle w:val="21"/>
        <w:spacing w:before="312"/>
        <w:rPr>
          <w:szCs w:val="22"/>
        </w:rPr>
      </w:pPr>
      <w:r>
        <w:rPr>
          <w:rFonts w:hint="eastAsia"/>
          <w:szCs w:val="22"/>
        </w:rPr>
        <w:br w:type="page"/>
      </w:r>
    </w:p>
    <w:p w14:paraId="51E250FC">
      <w:pPr>
        <w:pStyle w:val="21"/>
        <w:spacing w:before="312"/>
        <w:outlineLvl w:val="0"/>
        <w:rPr>
          <w:rFonts w:ascii="黑体" w:hAnsi="黑体" w:eastAsia="黑体" w:cs="黑体"/>
          <w:sz w:val="28"/>
          <w:szCs w:val="28"/>
        </w:rPr>
      </w:pPr>
      <w:bookmarkStart w:id="8" w:name="_Toc3738"/>
      <w:r>
        <w:rPr>
          <w:rFonts w:hint="eastAsia" w:ascii="黑体" w:hAnsi="黑体" w:eastAsia="黑体" w:cs="黑体"/>
          <w:sz w:val="28"/>
          <w:szCs w:val="28"/>
        </w:rPr>
        <w:t>1  标的概况</w:t>
      </w:r>
      <w:bookmarkEnd w:id="8"/>
    </w:p>
    <w:p w14:paraId="2E675EE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标的名称：</w:t>
      </w:r>
      <w:bookmarkStart w:id="9" w:name="_Toc30787"/>
      <w:bookmarkStart w:id="10" w:name="_Toc22746"/>
      <w:r>
        <w:rPr>
          <w:rFonts w:hint="eastAsia" w:asciiTheme="minorEastAsia" w:hAnsiTheme="minorEastAsia" w:eastAsiaTheme="minorEastAsia" w:cstheme="minorEastAsia"/>
          <w:color w:val="000000"/>
          <w:sz w:val="24"/>
          <w:highlight w:val="none"/>
        </w:rPr>
        <w:t>标的3：角钢塔自主攀爬作业机器人研究（技术开发）</w:t>
      </w:r>
    </w:p>
    <w:p w14:paraId="2E0ED8D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lang w:val="en-US" w:eastAsia="zh-CN"/>
        </w:rPr>
        <w:t>标包</w:t>
      </w:r>
      <w:r>
        <w:rPr>
          <w:rFonts w:hint="eastAsia" w:asciiTheme="minorEastAsia" w:hAnsiTheme="minorEastAsia" w:eastAsiaTheme="minorEastAsia" w:cstheme="minorEastAsia"/>
          <w:color w:val="000000"/>
          <w:sz w:val="24"/>
          <w:highlight w:val="none"/>
        </w:rPr>
        <w:t>名称：</w:t>
      </w:r>
      <w:bookmarkEnd w:id="9"/>
      <w:bookmarkEnd w:id="10"/>
      <w:r>
        <w:rPr>
          <w:rFonts w:hint="eastAsia" w:asciiTheme="minorEastAsia" w:hAnsiTheme="minorEastAsia" w:eastAsiaTheme="minorEastAsia" w:cstheme="minorEastAsia"/>
          <w:color w:val="000000"/>
          <w:sz w:val="24"/>
          <w:highlight w:val="none"/>
        </w:rPr>
        <w:t>标的3：角钢塔自主攀爬作业机器人研究（技术开发）</w:t>
      </w:r>
    </w:p>
    <w:p w14:paraId="1C5F2474">
      <w:pPr>
        <w:pStyle w:val="24"/>
        <w:numPr>
          <w:ilvl w:val="0"/>
          <w:numId w:val="0"/>
        </w:numPr>
        <w:spacing w:line="360" w:lineRule="auto"/>
        <w:ind w:firstLine="480" w:firstLineChars="200"/>
        <w:outlineLvl w:val="1"/>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概况：研究与开发角钢塔自主攀爬作业机器人相关技术。针对角钢塔高空作业场景中攀爬机器人稳定性不足、环境识别精度不高以及运动效率较低等问题，开展关键技术研究与系统集成。通过研究仿生攀爬底座结构设计、多源传感信息融合的高精度识别定位方法以及自主移动控制技术，构建面向角钢塔作业环境的攀爬机器人技术体系，助力实现电力行业的智能化转型，推动技术创新与产业升级。</w:t>
      </w:r>
    </w:p>
    <w:p w14:paraId="5D0B2E48">
      <w:pPr>
        <w:pStyle w:val="21"/>
        <w:spacing w:before="312"/>
        <w:outlineLvl w:val="0"/>
        <w:rPr>
          <w:rFonts w:ascii="黑体" w:hAnsi="黑体" w:eastAsia="黑体" w:cs="黑体"/>
          <w:sz w:val="28"/>
          <w:szCs w:val="28"/>
        </w:rPr>
      </w:pPr>
      <w:bookmarkStart w:id="11" w:name="_Toc7667"/>
      <w:r>
        <w:rPr>
          <w:rFonts w:hint="eastAsia" w:ascii="黑体" w:hAnsi="黑体" w:eastAsia="黑体" w:cs="黑体"/>
          <w:sz w:val="28"/>
          <w:szCs w:val="28"/>
        </w:rPr>
        <w:t>2  研究内容及目的</w:t>
      </w:r>
      <w:bookmarkEnd w:id="11"/>
    </w:p>
    <w:p w14:paraId="4EABEA59">
      <w:pPr>
        <w:spacing w:line="360" w:lineRule="auto"/>
        <w:outlineLvl w:val="1"/>
        <w:rPr>
          <w:rFonts w:hint="eastAsia" w:ascii="黑体" w:hAnsi="黑体" w:eastAsia="黑体" w:cs="黑体"/>
          <w:bCs/>
          <w:sz w:val="24"/>
        </w:rPr>
      </w:pPr>
      <w:bookmarkStart w:id="12" w:name="_Toc29882"/>
      <w:r>
        <w:rPr>
          <w:rFonts w:hint="eastAsia" w:ascii="黑体" w:hAnsi="黑体" w:eastAsia="黑体" w:cs="黑体"/>
          <w:bCs/>
          <w:sz w:val="24"/>
        </w:rPr>
        <w:t>2.1 研究内容</w:t>
      </w:r>
      <w:bookmarkEnd w:id="12"/>
    </w:p>
    <w:p w14:paraId="505424A2">
      <w:pPr>
        <w:pStyle w:val="24"/>
        <w:numPr>
          <w:ilvl w:val="0"/>
          <w:numId w:val="0"/>
        </w:numPr>
        <w:spacing w:line="360" w:lineRule="auto"/>
        <w:ind w:leftChars="0" w:firstLine="480" w:firstLineChars="200"/>
        <w:outlineLvl w:val="1"/>
        <w:rPr>
          <w:rFonts w:hint="eastAsia" w:cs="黑体" w:asciiTheme="minorEastAsia" w:hAnsiTheme="minorEastAsia" w:eastAsiaTheme="minorEastAsia"/>
          <w:bCs/>
          <w:sz w:val="24"/>
        </w:rPr>
      </w:pP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lang w:val="en-US" w:eastAsia="zh-CN"/>
        </w:rPr>
        <w:t>1</w:t>
      </w: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rPr>
        <w:t>研究不同高空攀爬移动方式的适用性与技术差异，结合角钢塔结构特性，选择适宜的攀爬运动方式，并完成角钢塔攀爬机器人移动底座设计；</w:t>
      </w:r>
    </w:p>
    <w:p w14:paraId="769A57B8">
      <w:pPr>
        <w:pStyle w:val="24"/>
        <w:numPr>
          <w:ilvl w:val="0"/>
          <w:numId w:val="0"/>
        </w:numPr>
        <w:spacing w:line="360" w:lineRule="auto"/>
        <w:ind w:leftChars="0" w:firstLine="480" w:firstLineChars="200"/>
        <w:outlineLvl w:val="1"/>
        <w:rPr>
          <w:rFonts w:hint="eastAsia" w:cs="黑体" w:asciiTheme="minorEastAsia" w:hAnsiTheme="minorEastAsia" w:eastAsiaTheme="minorEastAsia"/>
          <w:bCs/>
          <w:sz w:val="24"/>
        </w:rPr>
      </w:pP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lang w:val="en-US" w:eastAsia="zh-CN"/>
        </w:rPr>
        <w:t>2</w:t>
      </w: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rPr>
        <w:t>开发轻量化多源感知模型，实现对高空施工作业场景中目标对象的准确检测与定位，并完成模型在移动平台端的部署与应用；</w:t>
      </w:r>
    </w:p>
    <w:p w14:paraId="14E68E03">
      <w:pPr>
        <w:pStyle w:val="24"/>
        <w:numPr>
          <w:ilvl w:val="0"/>
          <w:numId w:val="0"/>
        </w:numPr>
        <w:spacing w:line="360" w:lineRule="auto"/>
        <w:ind w:leftChars="0" w:firstLine="480" w:firstLineChars="200"/>
        <w:outlineLvl w:val="1"/>
        <w:rPr>
          <w:rFonts w:hint="eastAsia" w:ascii="黑体" w:hAnsi="黑体" w:eastAsia="黑体" w:cs="黑体"/>
          <w:bCs/>
          <w:sz w:val="24"/>
        </w:rPr>
      </w:pP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lang w:val="en-US" w:eastAsia="zh-CN"/>
        </w:rPr>
        <w:t>3</w:t>
      </w:r>
      <w:r>
        <w:rPr>
          <w:rFonts w:hint="eastAsia" w:cs="黑体" w:asciiTheme="minorEastAsia" w:hAnsiTheme="minorEastAsia" w:eastAsiaTheme="minorEastAsia"/>
          <w:bCs/>
          <w:sz w:val="24"/>
          <w:lang w:eastAsia="zh-CN"/>
        </w:rPr>
        <w:t>）</w:t>
      </w:r>
      <w:r>
        <w:rPr>
          <w:rFonts w:hint="eastAsia" w:cs="黑体" w:asciiTheme="minorEastAsia" w:hAnsiTheme="minorEastAsia" w:eastAsiaTheme="minorEastAsia"/>
          <w:bCs/>
          <w:sz w:val="24"/>
        </w:rPr>
        <w:t>开发角钢塔自主攀爬作业机器人的自主移动控制算法，构建安全、稳定、高效的运动控制与路径规划框架，提升机器人高空运动作业的可靠性与作业效率。</w:t>
      </w:r>
    </w:p>
    <w:p w14:paraId="786EBFDB">
      <w:pPr>
        <w:spacing w:line="360" w:lineRule="auto"/>
        <w:outlineLvl w:val="1"/>
        <w:rPr>
          <w:rFonts w:hint="eastAsia" w:ascii="黑体" w:hAnsi="黑体" w:eastAsia="黑体" w:cs="黑体"/>
          <w:bCs/>
          <w:sz w:val="24"/>
        </w:rPr>
      </w:pPr>
      <w:bookmarkStart w:id="13" w:name="_Toc22754"/>
      <w:r>
        <w:rPr>
          <w:rFonts w:hint="eastAsia" w:ascii="黑体" w:hAnsi="黑体" w:eastAsia="黑体" w:cs="黑体"/>
          <w:bCs/>
          <w:sz w:val="24"/>
        </w:rPr>
        <w:t>2.2 研究目的</w:t>
      </w:r>
      <w:bookmarkEnd w:id="13"/>
    </w:p>
    <w:p w14:paraId="70287D9E">
      <w:pPr>
        <w:spacing w:line="360" w:lineRule="auto"/>
        <w:ind w:firstLine="480" w:firstLineChars="200"/>
        <w:outlineLvl w:val="1"/>
        <w:rPr>
          <w:rFonts w:hint="eastAsia" w:ascii="黑体" w:hAnsi="黑体" w:eastAsia="黑体" w:cs="黑体"/>
          <w:bCs/>
          <w:sz w:val="24"/>
        </w:rPr>
      </w:pPr>
      <w:r>
        <w:rPr>
          <w:rFonts w:hint="eastAsia" w:cs="黑体" w:asciiTheme="minorEastAsia" w:hAnsiTheme="minorEastAsia" w:eastAsiaTheme="minorEastAsia"/>
          <w:bCs/>
          <w:sz w:val="24"/>
        </w:rPr>
        <w:t>研发一套角钢塔自主攀爬作业机器人系统。通过机器人硬件结构设计，提升攀爬机器人的运动效率与运行稳定性；开发轻量化多源感知模型并在移动平台端部署，提高机器人在高空作业场景中的目标检测与定位能力；研究适用于角钢塔复杂高空作业环境的自主移动控制方法，构建安全、稳定、高效的运动控制与路径规划框架，提升机器人在复杂高空环境中的运动可靠性、作业稳定性与执行效率。</w:t>
      </w:r>
    </w:p>
    <w:p w14:paraId="714D6AE7">
      <w:pPr>
        <w:pStyle w:val="21"/>
        <w:spacing w:before="312"/>
        <w:outlineLvl w:val="0"/>
        <w:rPr>
          <w:rFonts w:ascii="黑体" w:hAnsi="黑体" w:eastAsia="黑体" w:cs="黑体"/>
          <w:sz w:val="28"/>
          <w:szCs w:val="28"/>
        </w:rPr>
      </w:pPr>
      <w:bookmarkStart w:id="14" w:name="_Toc20003"/>
      <w:r>
        <w:rPr>
          <w:rFonts w:hint="eastAsia" w:ascii="黑体" w:hAnsi="黑体" w:eastAsia="黑体" w:cs="黑体"/>
          <w:sz w:val="28"/>
          <w:szCs w:val="28"/>
        </w:rPr>
        <w:t>3  主要技术指标要求</w:t>
      </w:r>
      <w:bookmarkEnd w:id="14"/>
    </w:p>
    <w:tbl>
      <w:tblPr>
        <w:tblStyle w:val="12"/>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449"/>
        <w:gridCol w:w="1934"/>
        <w:gridCol w:w="1611"/>
        <w:gridCol w:w="1451"/>
        <w:gridCol w:w="1734"/>
      </w:tblGrid>
      <w:tr w14:paraId="1834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478" w:type="dxa"/>
            <w:vAlign w:val="center"/>
          </w:tcPr>
          <w:p w14:paraId="0D392868">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49" w:type="dxa"/>
            <w:vAlign w:val="center"/>
          </w:tcPr>
          <w:p w14:paraId="256303CA">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考核指标</w:t>
            </w:r>
          </w:p>
          <w:p w14:paraId="77DE99B7">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名称</w:t>
            </w:r>
          </w:p>
        </w:tc>
        <w:tc>
          <w:tcPr>
            <w:tcW w:w="1934" w:type="dxa"/>
            <w:vAlign w:val="center"/>
          </w:tcPr>
          <w:p w14:paraId="66028EB0">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指标定义</w:t>
            </w:r>
          </w:p>
        </w:tc>
        <w:tc>
          <w:tcPr>
            <w:tcW w:w="1611" w:type="dxa"/>
            <w:vAlign w:val="center"/>
          </w:tcPr>
          <w:p w14:paraId="7C4323D6">
            <w:pPr>
              <w:adjustRightInd w:val="0"/>
              <w:snapToGrid w:val="0"/>
              <w:jc w:val="center"/>
              <w:rPr>
                <w:rFonts w:hint="eastAsia" w:asciiTheme="minorEastAsia" w:hAnsiTheme="minorEastAsia" w:eastAsiaTheme="minorEastAsia" w:cstheme="minorEastAsia"/>
                <w:color w:val="000000"/>
                <w:spacing w:val="-4"/>
                <w:sz w:val="21"/>
                <w:szCs w:val="21"/>
              </w:rPr>
            </w:pPr>
            <w:r>
              <w:rPr>
                <w:rFonts w:hint="eastAsia" w:asciiTheme="minorEastAsia" w:hAnsiTheme="minorEastAsia" w:eastAsiaTheme="minorEastAsia" w:cstheme="minorEastAsia"/>
                <w:color w:val="000000"/>
                <w:spacing w:val="-4"/>
                <w:sz w:val="21"/>
                <w:szCs w:val="21"/>
              </w:rPr>
              <w:t>中期指标值/状态</w:t>
            </w:r>
          </w:p>
        </w:tc>
        <w:tc>
          <w:tcPr>
            <w:tcW w:w="1451" w:type="dxa"/>
            <w:vAlign w:val="center"/>
          </w:tcPr>
          <w:p w14:paraId="0FEC6D5F">
            <w:pPr>
              <w:adjustRightInd w:val="0"/>
              <w:snapToGrid w:val="0"/>
              <w:jc w:val="center"/>
              <w:rPr>
                <w:rFonts w:hint="eastAsia" w:asciiTheme="minorEastAsia" w:hAnsiTheme="minorEastAsia" w:eastAsiaTheme="minorEastAsia" w:cstheme="minorEastAsia"/>
                <w:color w:val="000000"/>
                <w:spacing w:val="-4"/>
                <w:sz w:val="21"/>
                <w:szCs w:val="21"/>
              </w:rPr>
            </w:pPr>
            <w:r>
              <w:rPr>
                <w:rFonts w:hint="eastAsia" w:asciiTheme="minorEastAsia" w:hAnsiTheme="minorEastAsia" w:eastAsiaTheme="minorEastAsia" w:cstheme="minorEastAsia"/>
                <w:color w:val="000000"/>
                <w:spacing w:val="-4"/>
                <w:sz w:val="21"/>
                <w:szCs w:val="21"/>
              </w:rPr>
              <w:t>验收时指标值/状态</w:t>
            </w:r>
          </w:p>
        </w:tc>
        <w:tc>
          <w:tcPr>
            <w:tcW w:w="1734" w:type="dxa"/>
            <w:vAlign w:val="center"/>
          </w:tcPr>
          <w:p w14:paraId="5605D28B">
            <w:pPr>
              <w:adjustRightInd w:val="0"/>
              <w:snapToGrid w:val="0"/>
              <w:jc w:val="center"/>
              <w:rPr>
                <w:rFonts w:hint="eastAsia" w:asciiTheme="minorEastAsia" w:hAnsiTheme="minorEastAsia" w:eastAsiaTheme="minorEastAsia" w:cstheme="minorEastAsia"/>
                <w:color w:val="000000"/>
                <w:spacing w:val="-4"/>
                <w:sz w:val="21"/>
                <w:szCs w:val="21"/>
              </w:rPr>
            </w:pPr>
            <w:r>
              <w:rPr>
                <w:rFonts w:hint="eastAsia" w:asciiTheme="minorEastAsia" w:hAnsiTheme="minorEastAsia" w:eastAsiaTheme="minorEastAsia" w:cstheme="minorEastAsia"/>
                <w:color w:val="000000"/>
                <w:spacing w:val="-4"/>
                <w:sz w:val="21"/>
                <w:szCs w:val="21"/>
              </w:rPr>
              <w:t>考核方式（方法）及评价手段</w:t>
            </w:r>
          </w:p>
        </w:tc>
      </w:tr>
      <w:tr w14:paraId="23B1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478" w:type="dxa"/>
            <w:vAlign w:val="center"/>
          </w:tcPr>
          <w:p w14:paraId="1955CEEC">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449" w:type="dxa"/>
            <w:vAlign w:val="center"/>
          </w:tcPr>
          <w:p w14:paraId="0FDE65CE">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攀爬速度</w:t>
            </w:r>
          </w:p>
        </w:tc>
        <w:tc>
          <w:tcPr>
            <w:tcW w:w="1934" w:type="dxa"/>
            <w:vAlign w:val="center"/>
          </w:tcPr>
          <w:p w14:paraId="01B9A690">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正常作业条件下，机器人在塔上每分钟运动的距离</w:t>
            </w:r>
          </w:p>
        </w:tc>
        <w:tc>
          <w:tcPr>
            <w:tcW w:w="1611" w:type="dxa"/>
            <w:vAlign w:val="center"/>
          </w:tcPr>
          <w:p w14:paraId="0A54F4BC">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初步具备角钢塔附着能力</w:t>
            </w:r>
          </w:p>
        </w:tc>
        <w:tc>
          <w:tcPr>
            <w:tcW w:w="1451" w:type="dxa"/>
            <w:vAlign w:val="center"/>
          </w:tcPr>
          <w:p w14:paraId="6239B17D">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攀爬速度≥1.5米/分钟</w:t>
            </w:r>
          </w:p>
        </w:tc>
        <w:tc>
          <w:tcPr>
            <w:tcW w:w="1734" w:type="dxa"/>
            <w:vAlign w:val="center"/>
          </w:tcPr>
          <w:p w14:paraId="0AC01EAF">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第三方测试</w:t>
            </w:r>
          </w:p>
        </w:tc>
      </w:tr>
      <w:tr w14:paraId="4BA1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478" w:type="dxa"/>
            <w:vAlign w:val="center"/>
          </w:tcPr>
          <w:p w14:paraId="233B8094">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49" w:type="dxa"/>
            <w:vAlign w:val="center"/>
          </w:tcPr>
          <w:p w14:paraId="562BECEB">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机器人负载能力</w:t>
            </w:r>
          </w:p>
        </w:tc>
        <w:tc>
          <w:tcPr>
            <w:tcW w:w="1934" w:type="dxa"/>
            <w:vAlign w:val="center"/>
          </w:tcPr>
          <w:p w14:paraId="01B9C29C">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除却自重外，机器人能够携带额外物体的质量</w:t>
            </w:r>
          </w:p>
        </w:tc>
        <w:tc>
          <w:tcPr>
            <w:tcW w:w="1611" w:type="dxa"/>
            <w:vAlign w:val="center"/>
          </w:tcPr>
          <w:p w14:paraId="0541FBE3">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451" w:type="dxa"/>
            <w:vAlign w:val="center"/>
          </w:tcPr>
          <w:p w14:paraId="3C2C0CB2">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机器人负载≥20KG</w:t>
            </w:r>
          </w:p>
        </w:tc>
        <w:tc>
          <w:tcPr>
            <w:tcW w:w="1734" w:type="dxa"/>
            <w:vAlign w:val="center"/>
          </w:tcPr>
          <w:p w14:paraId="41ACDE64">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第三方测试</w:t>
            </w:r>
          </w:p>
        </w:tc>
      </w:tr>
      <w:tr w14:paraId="362E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478" w:type="dxa"/>
            <w:vAlign w:val="center"/>
          </w:tcPr>
          <w:p w14:paraId="472BE459">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49" w:type="dxa"/>
            <w:vAlign w:val="center"/>
          </w:tcPr>
          <w:p w14:paraId="229B2458">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复合控制系统规划响应时间</w:t>
            </w:r>
          </w:p>
        </w:tc>
        <w:tc>
          <w:tcPr>
            <w:tcW w:w="1934" w:type="dxa"/>
            <w:vAlign w:val="center"/>
          </w:tcPr>
          <w:p w14:paraId="463A33ED">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系统从接收到任务/控制输入到生成可执行规划结果的时间</w:t>
            </w:r>
          </w:p>
        </w:tc>
        <w:tc>
          <w:tcPr>
            <w:tcW w:w="1611" w:type="dxa"/>
            <w:vAlign w:val="center"/>
          </w:tcPr>
          <w:p w14:paraId="506CBA8A">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搭建控制系统框架</w:t>
            </w:r>
          </w:p>
        </w:tc>
        <w:tc>
          <w:tcPr>
            <w:tcW w:w="1451" w:type="dxa"/>
            <w:vAlign w:val="center"/>
          </w:tcPr>
          <w:p w14:paraId="482FCE0E">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复合控制系统规划响应时间＜300ms</w:t>
            </w:r>
          </w:p>
        </w:tc>
        <w:tc>
          <w:tcPr>
            <w:tcW w:w="1734" w:type="dxa"/>
            <w:vAlign w:val="center"/>
          </w:tcPr>
          <w:p w14:paraId="48098649">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第三方测试</w:t>
            </w:r>
          </w:p>
        </w:tc>
      </w:tr>
      <w:tr w14:paraId="3447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trPr>
        <w:tc>
          <w:tcPr>
            <w:tcW w:w="478" w:type="dxa"/>
            <w:vAlign w:val="center"/>
          </w:tcPr>
          <w:p w14:paraId="7FDEA5C6">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449" w:type="dxa"/>
            <w:vAlign w:val="center"/>
          </w:tcPr>
          <w:p w14:paraId="3FDD03A6">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遥操作能力及控制延迟</w:t>
            </w:r>
          </w:p>
        </w:tc>
        <w:tc>
          <w:tcPr>
            <w:tcW w:w="1934" w:type="dxa"/>
            <w:vAlign w:val="center"/>
          </w:tcPr>
          <w:p w14:paraId="2900FFD6">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机器人具备远程遥操作能力，且在远程遥操作模式下的从接收信号到动作响应所需时间</w:t>
            </w:r>
          </w:p>
        </w:tc>
        <w:tc>
          <w:tcPr>
            <w:tcW w:w="1611" w:type="dxa"/>
            <w:vAlign w:val="center"/>
          </w:tcPr>
          <w:p w14:paraId="740D6479">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完成遥操作模块搭建</w:t>
            </w:r>
          </w:p>
        </w:tc>
        <w:tc>
          <w:tcPr>
            <w:tcW w:w="1451" w:type="dxa"/>
            <w:vAlign w:val="center"/>
          </w:tcPr>
          <w:p w14:paraId="6C7C63E5">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遥操作控制延迟＜100ms</w:t>
            </w:r>
          </w:p>
        </w:tc>
        <w:tc>
          <w:tcPr>
            <w:tcW w:w="1734" w:type="dxa"/>
            <w:vAlign w:val="center"/>
          </w:tcPr>
          <w:p w14:paraId="7D400206">
            <w:pPr>
              <w:adjustRightInd w:val="0"/>
              <w:snapToGrid w:val="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第三方测试</w:t>
            </w:r>
          </w:p>
        </w:tc>
      </w:tr>
    </w:tbl>
    <w:p w14:paraId="31AF67DD">
      <w:pPr>
        <w:pStyle w:val="21"/>
        <w:spacing w:before="312"/>
        <w:outlineLvl w:val="0"/>
        <w:rPr>
          <w:rFonts w:hint="eastAsia" w:ascii="黑体" w:hAnsi="黑体" w:eastAsia="黑体" w:cs="黑体"/>
          <w:sz w:val="28"/>
          <w:szCs w:val="28"/>
        </w:rPr>
      </w:pPr>
      <w:bookmarkStart w:id="15" w:name="_Toc266713650"/>
      <w:bookmarkStart w:id="16" w:name="_Toc14246"/>
      <w:r>
        <w:rPr>
          <w:rFonts w:hint="eastAsia" w:ascii="黑体" w:hAnsi="黑体" w:eastAsia="黑体" w:cs="黑体"/>
          <w:sz w:val="28"/>
          <w:szCs w:val="28"/>
        </w:rPr>
        <w:t>4  时间进度要求</w:t>
      </w:r>
      <w:bookmarkEnd w:id="15"/>
      <w:bookmarkEnd w:id="16"/>
    </w:p>
    <w:tbl>
      <w:tblPr>
        <w:tblStyle w:val="12"/>
        <w:tblW w:w="865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889"/>
      </w:tblGrid>
      <w:tr w14:paraId="3F09B3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51" w:type="dxa"/>
            <w:gridSpan w:val="2"/>
            <w:tcBorders>
              <w:tl2br w:val="nil"/>
              <w:tr2bl w:val="nil"/>
            </w:tcBorders>
            <w:vAlign w:val="center"/>
          </w:tcPr>
          <w:p w14:paraId="10737F30">
            <w:pPr>
              <w:adjustRightInd w:val="0"/>
              <w:snapToGrid w:val="0"/>
              <w:jc w:val="center"/>
              <w:textAlignment w:val="center"/>
              <w:rPr>
                <w:rFonts w:hint="eastAsia" w:ascii="宋体" w:hAnsi="宋体"/>
                <w:b/>
                <w:color w:val="000000"/>
                <w:szCs w:val="21"/>
                <w:highlight w:val="yellow"/>
              </w:rPr>
            </w:pPr>
            <w:r>
              <w:rPr>
                <w:rFonts w:hint="eastAsia" w:ascii="宋体" w:hAnsi="宋体"/>
                <w:b/>
                <w:color w:val="000000"/>
                <w:szCs w:val="21"/>
              </w:rPr>
              <w:t>进度计划</w:t>
            </w:r>
          </w:p>
        </w:tc>
      </w:tr>
      <w:tr w14:paraId="351FB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762" w:type="dxa"/>
            <w:tcBorders>
              <w:tl2br w:val="nil"/>
              <w:tr2bl w:val="nil"/>
            </w:tcBorders>
            <w:vAlign w:val="center"/>
          </w:tcPr>
          <w:p w14:paraId="0C592A7C">
            <w:pPr>
              <w:adjustRightInd w:val="0"/>
              <w:snapToGrid w:val="0"/>
              <w:jc w:val="center"/>
              <w:textAlignment w:val="center"/>
              <w:rPr>
                <w:rFonts w:hint="eastAsia" w:ascii="宋体" w:hAnsi="宋体" w:eastAsia="宋体"/>
                <w:b/>
                <w:color w:val="000000"/>
                <w:szCs w:val="21"/>
                <w:highlight w:val="yellow"/>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1</w:t>
            </w:r>
          </w:p>
        </w:tc>
        <w:tc>
          <w:tcPr>
            <w:tcW w:w="7889" w:type="dxa"/>
            <w:tcBorders>
              <w:tl2br w:val="nil"/>
              <w:tr2bl w:val="nil"/>
            </w:tcBorders>
          </w:tcPr>
          <w:p w14:paraId="5E7A30C6">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w:t>
            </w:r>
            <w:r>
              <w:rPr>
                <w:rFonts w:hint="eastAsia" w:ascii="宋体" w:hAnsi="宋体"/>
                <w:b/>
                <w:color w:val="000000"/>
                <w:szCs w:val="21"/>
                <w:highlight w:val="none"/>
                <w:lang w:val="en-US" w:eastAsia="zh-CN"/>
              </w:rPr>
              <w:t>自合同签订日起</w:t>
            </w:r>
            <w:r>
              <w:rPr>
                <w:rFonts w:hint="eastAsia" w:ascii="宋体" w:hAnsi="宋体"/>
                <w:b/>
                <w:color w:val="000000"/>
                <w:szCs w:val="21"/>
                <w:highlight w:val="none"/>
              </w:rPr>
              <w:t>— 202</w:t>
            </w:r>
            <w:r>
              <w:rPr>
                <w:rFonts w:hint="eastAsia" w:ascii="宋体" w:hAnsi="宋体"/>
                <w:b/>
                <w:color w:val="000000"/>
                <w:szCs w:val="21"/>
                <w:highlight w:val="none"/>
                <w:lang w:val="en-US" w:eastAsia="zh-CN"/>
              </w:rPr>
              <w:t>6</w:t>
            </w:r>
            <w:r>
              <w:rPr>
                <w:rFonts w:hint="eastAsia" w:ascii="宋体" w:hAnsi="宋体"/>
                <w:b/>
                <w:color w:val="000000"/>
                <w:szCs w:val="21"/>
                <w:highlight w:val="none"/>
              </w:rPr>
              <w:t>年</w:t>
            </w:r>
            <w:r>
              <w:rPr>
                <w:rFonts w:hint="eastAsia" w:ascii="宋体" w:hAnsi="宋体"/>
                <w:b/>
                <w:color w:val="000000"/>
                <w:szCs w:val="21"/>
                <w:highlight w:val="none"/>
                <w:lang w:val="en-US" w:eastAsia="zh-CN"/>
              </w:rPr>
              <w:t>1</w:t>
            </w:r>
            <w:r>
              <w:rPr>
                <w:rFonts w:hint="eastAsia" w:ascii="宋体" w:hAnsi="宋体"/>
                <w:b/>
                <w:color w:val="000000"/>
                <w:szCs w:val="21"/>
                <w:highlight w:val="none"/>
              </w:rPr>
              <w:t>2月</w:t>
            </w:r>
            <w:r>
              <w:rPr>
                <w:rFonts w:hint="eastAsia" w:ascii="宋体" w:hAnsi="宋体"/>
                <w:b/>
                <w:color w:val="000000"/>
                <w:szCs w:val="21"/>
                <w:highlight w:val="none"/>
                <w:lang w:val="en-US" w:eastAsia="zh-CN"/>
              </w:rPr>
              <w:t>31</w:t>
            </w:r>
            <w:r>
              <w:rPr>
                <w:rFonts w:hint="eastAsia" w:ascii="宋体" w:hAnsi="宋体"/>
                <w:b/>
                <w:color w:val="000000"/>
                <w:szCs w:val="21"/>
                <w:highlight w:val="none"/>
              </w:rPr>
              <w:t xml:space="preserve">日] </w:t>
            </w:r>
          </w:p>
          <w:p w14:paraId="5D45163B">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69A8B1F9">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(1)开展角钢塔结构调研与仿生攀爬机理分析，分析角钢塔杆件结构特征与典型障碍物类型；</w:t>
            </w:r>
          </w:p>
          <w:p w14:paraId="7BBD4933">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(2)提出仿生攀爬底座总体设计方案，确定底座结构形式、附着方式及运动机构布局。</w:t>
            </w:r>
          </w:p>
          <w:p w14:paraId="43A4C413">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59AEE539">
            <w:pPr>
              <w:adjustRightInd w:val="0"/>
              <w:snapToGrid w:val="0"/>
              <w:textAlignment w:val="center"/>
              <w:rPr>
                <w:rFonts w:hint="eastAsia" w:ascii="宋体" w:hAnsi="宋体"/>
                <w:b/>
                <w:color w:val="000000"/>
                <w:szCs w:val="21"/>
                <w:highlight w:val="yellow"/>
              </w:rPr>
            </w:pPr>
            <w:r>
              <w:rPr>
                <w:rFonts w:hint="eastAsia" w:ascii="宋体" w:hAnsi="宋体"/>
                <w:b w:val="0"/>
                <w:bCs/>
                <w:color w:val="000000"/>
                <w:szCs w:val="21"/>
                <w:highlight w:val="none"/>
              </w:rPr>
              <w:t>(1)技术调研报告、仿生攀爬底座总体设计方案。</w:t>
            </w:r>
          </w:p>
        </w:tc>
      </w:tr>
      <w:tr w14:paraId="64C19D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762" w:type="dxa"/>
            <w:tcBorders>
              <w:tl2br w:val="nil"/>
              <w:tr2bl w:val="nil"/>
            </w:tcBorders>
            <w:vAlign w:val="center"/>
          </w:tcPr>
          <w:p w14:paraId="4CBEAFD2">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2</w:t>
            </w:r>
          </w:p>
        </w:tc>
        <w:tc>
          <w:tcPr>
            <w:tcW w:w="7889" w:type="dxa"/>
            <w:tcBorders>
              <w:tl2br w:val="nil"/>
              <w:tr2bl w:val="nil"/>
            </w:tcBorders>
          </w:tcPr>
          <w:p w14:paraId="4DF2A34D">
            <w:pPr>
              <w:adjustRightInd w:val="0"/>
              <w:snapToGrid w:val="0"/>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[2027年 1月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2027年3月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w:t>
            </w:r>
          </w:p>
          <w:p w14:paraId="5CA00235">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4D638D78">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(1)完成仿生攀爬底座结构设计与关键机构设计，包括附着机构、驱动机构及稳定支撑结构。</w:t>
            </w:r>
          </w:p>
          <w:p w14:paraId="5F88E090">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50E0C31F">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(1)仿生攀爬底座结构设计图</w:t>
            </w:r>
            <w:r>
              <w:rPr>
                <w:rFonts w:hint="eastAsia" w:ascii="宋体" w:hAnsi="宋体"/>
                <w:b w:val="0"/>
                <w:bCs/>
                <w:color w:val="000000"/>
                <w:szCs w:val="21"/>
                <w:highlight w:val="none"/>
                <w:lang w:eastAsia="zh-CN"/>
              </w:rPr>
              <w:t>；</w:t>
            </w:r>
          </w:p>
          <w:p w14:paraId="64C90DAE">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(2)乙方根据甲方需求，协助提供</w:t>
            </w:r>
            <w:r>
              <w:rPr>
                <w:rFonts w:hint="eastAsia" w:ascii="宋体" w:hAnsi="宋体"/>
                <w:b w:val="0"/>
                <w:bCs/>
                <w:color w:val="000000"/>
                <w:szCs w:val="21"/>
                <w:highlight w:val="none"/>
                <w:lang w:val="en-US" w:eastAsia="zh-CN"/>
              </w:rPr>
              <w:t>1</w:t>
            </w:r>
            <w:r>
              <w:rPr>
                <w:rFonts w:hint="eastAsia" w:ascii="宋体" w:hAnsi="宋体"/>
                <w:b w:val="0"/>
                <w:bCs/>
                <w:color w:val="000000"/>
                <w:szCs w:val="21"/>
                <w:highlight w:val="none"/>
              </w:rPr>
              <w:t>件项目相关发明专利选题、文献检索、论证方法、数据分析、文本修改的指导服务，直至发明专利受理。</w:t>
            </w:r>
          </w:p>
        </w:tc>
      </w:tr>
      <w:tr w14:paraId="031C9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6BCD96F5">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3</w:t>
            </w:r>
          </w:p>
        </w:tc>
        <w:tc>
          <w:tcPr>
            <w:tcW w:w="7889" w:type="dxa"/>
            <w:tcBorders>
              <w:tl2br w:val="nil"/>
              <w:tr2bl w:val="nil"/>
            </w:tcBorders>
          </w:tcPr>
          <w:p w14:paraId="4013457C">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[2027年 4月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2027年6月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5E3C389A">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6165506B">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(1)建立攀爬底座运动学模型与稳定性分析模型。</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(2)开展角钢塔典型结构与障碍物类型调研，分析攀爬机器人在复杂结构环境中的感知需求。</w:t>
            </w:r>
          </w:p>
          <w:p w14:paraId="0F52B837">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(3)确定视觉、力觉等多模态传感器配置方案，设计多模态感知系统总体架构</w:t>
            </w:r>
            <w:r>
              <w:rPr>
                <w:rFonts w:hint="eastAsia" w:ascii="宋体" w:hAnsi="宋体"/>
                <w:b w:val="0"/>
                <w:bCs/>
                <w:color w:val="000000"/>
                <w:szCs w:val="21"/>
                <w:highlight w:val="none"/>
                <w:lang w:eastAsia="zh-CN"/>
              </w:rPr>
              <w:t>。</w:t>
            </w:r>
          </w:p>
          <w:p w14:paraId="5055E19A">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68591CC1">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(1)结构计算与仿真分析报告</w:t>
            </w:r>
            <w:r>
              <w:rPr>
                <w:rFonts w:hint="eastAsia" w:ascii="宋体" w:hAnsi="宋体"/>
                <w:b w:val="0"/>
                <w:bCs/>
                <w:color w:val="000000"/>
                <w:szCs w:val="21"/>
                <w:highlight w:val="none"/>
                <w:lang w:eastAsia="zh-CN"/>
              </w:rPr>
              <w:t>；</w:t>
            </w:r>
          </w:p>
          <w:p w14:paraId="32BE1186">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(2)乙方根据甲方需求，协助提供</w:t>
            </w:r>
            <w:r>
              <w:rPr>
                <w:rFonts w:hint="eastAsia" w:ascii="宋体" w:hAnsi="宋体"/>
                <w:b w:val="0"/>
                <w:bCs/>
                <w:color w:val="000000"/>
                <w:szCs w:val="21"/>
                <w:highlight w:val="none"/>
                <w:lang w:val="en-US" w:eastAsia="zh-CN"/>
              </w:rPr>
              <w:t>1</w:t>
            </w:r>
            <w:r>
              <w:rPr>
                <w:rFonts w:hint="eastAsia" w:ascii="宋体" w:hAnsi="宋体"/>
                <w:b w:val="0"/>
                <w:bCs/>
                <w:color w:val="000000"/>
                <w:szCs w:val="21"/>
                <w:highlight w:val="none"/>
              </w:rPr>
              <w:t>件项目相关发明专利选题、文献检索、论证方法、数据分析、文本修改的指导服务，直至发明专利受理。</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(3)多模态感知系统技术方案</w:t>
            </w:r>
            <w:r>
              <w:rPr>
                <w:rFonts w:hint="eastAsia" w:ascii="宋体" w:hAnsi="宋体"/>
                <w:b w:val="0"/>
                <w:bCs/>
                <w:color w:val="000000"/>
                <w:szCs w:val="21"/>
                <w:highlight w:val="none"/>
                <w:lang w:eastAsia="zh-CN"/>
              </w:rPr>
              <w:t>；</w:t>
            </w:r>
          </w:p>
          <w:p w14:paraId="13D9DF93">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(4)需求分析报告</w:t>
            </w:r>
            <w:r>
              <w:rPr>
                <w:rFonts w:hint="eastAsia" w:ascii="宋体" w:hAnsi="宋体"/>
                <w:b w:val="0"/>
                <w:bCs/>
                <w:color w:val="000000"/>
                <w:szCs w:val="21"/>
                <w:highlight w:val="none"/>
                <w:lang w:eastAsia="zh-CN"/>
              </w:rPr>
              <w:t>。</w:t>
            </w:r>
          </w:p>
        </w:tc>
      </w:tr>
      <w:tr w14:paraId="4F8C01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07678FB4">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4</w:t>
            </w:r>
          </w:p>
        </w:tc>
        <w:tc>
          <w:tcPr>
            <w:tcW w:w="7889" w:type="dxa"/>
            <w:tcBorders>
              <w:tl2br w:val="nil"/>
              <w:tr2bl w:val="nil"/>
            </w:tcBorders>
          </w:tcPr>
          <w:p w14:paraId="28856B08">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[2027年 7月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2027年9月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418E9C2F">
            <w:pPr>
              <w:adjustRightInd w:val="0"/>
              <w:snapToGrid w:val="0"/>
              <w:textAlignment w:val="center"/>
              <w:rPr>
                <w:rFonts w:hint="eastAsia" w:ascii="宋体" w:hAnsi="宋体"/>
                <w:b w:val="0"/>
                <w:bCs/>
                <w:color w:val="000000"/>
                <w:szCs w:val="21"/>
                <w:highlight w:val="none"/>
              </w:rPr>
            </w:pPr>
            <w:r>
              <w:rPr>
                <w:rFonts w:hint="eastAsia" w:ascii="宋体" w:hAnsi="宋体"/>
                <w:b/>
                <w:color w:val="000000"/>
                <w:szCs w:val="21"/>
                <w:highlight w:val="none"/>
              </w:rPr>
              <w:t>主要内容：</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1</w:t>
            </w:r>
            <w:r>
              <w:rPr>
                <w:rFonts w:hint="eastAsia" w:ascii="宋体" w:hAnsi="宋体"/>
                <w:b w:val="0"/>
                <w:bCs/>
                <w:color w:val="000000"/>
                <w:szCs w:val="21"/>
                <w:highlight w:val="none"/>
              </w:rPr>
              <w:t>)构建角钢塔结构与典型障碍物数据集。</w:t>
            </w:r>
          </w:p>
          <w:p w14:paraId="21677316">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2</w:t>
            </w:r>
            <w:r>
              <w:rPr>
                <w:rFonts w:hint="eastAsia" w:ascii="宋体" w:hAnsi="宋体"/>
                <w:b w:val="0"/>
                <w:bCs/>
                <w:color w:val="000000"/>
                <w:szCs w:val="21"/>
                <w:highlight w:val="none"/>
              </w:rPr>
              <w:t>)开展视觉识别算法研究，实现塔体构件、连接件及障碍物目标检测与定位。</w:t>
            </w:r>
          </w:p>
          <w:p w14:paraId="0F7DEB92">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153E925A">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(1)仿生攀爬底座</w:t>
            </w:r>
            <w:r>
              <w:rPr>
                <w:rFonts w:hint="eastAsia" w:ascii="宋体" w:hAnsi="宋体"/>
                <w:b w:val="0"/>
                <w:bCs/>
                <w:color w:val="000000"/>
                <w:szCs w:val="21"/>
                <w:highlight w:val="none"/>
                <w:lang w:val="en-US" w:eastAsia="zh-CN"/>
              </w:rPr>
              <w:t>模型</w:t>
            </w:r>
            <w:r>
              <w:rPr>
                <w:rFonts w:hint="eastAsia" w:ascii="宋体" w:hAnsi="宋体"/>
                <w:b w:val="0"/>
                <w:bCs/>
                <w:color w:val="000000"/>
                <w:szCs w:val="21"/>
                <w:highlight w:val="none"/>
              </w:rPr>
              <w:t>1</w:t>
            </w:r>
            <w:r>
              <w:rPr>
                <w:rFonts w:hint="eastAsia" w:ascii="宋体" w:hAnsi="宋体"/>
                <w:b w:val="0"/>
                <w:bCs/>
                <w:color w:val="000000"/>
                <w:szCs w:val="21"/>
                <w:highlight w:val="none"/>
                <w:lang w:val="en-US" w:eastAsia="zh-CN"/>
              </w:rPr>
              <w:t>份</w:t>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对应</w:t>
            </w:r>
            <w:r>
              <w:rPr>
                <w:rFonts w:hint="eastAsia" w:ascii="宋体" w:hAnsi="宋体"/>
                <w:b w:val="0"/>
                <w:bCs/>
                <w:color w:val="000000"/>
                <w:szCs w:val="21"/>
                <w:highlight w:val="none"/>
              </w:rPr>
              <w:t>装配技术文档</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(2)视觉识别算法模型、数据集与算法测试报告</w:t>
            </w:r>
            <w:r>
              <w:rPr>
                <w:rFonts w:hint="eastAsia" w:ascii="宋体" w:hAnsi="宋体"/>
                <w:b w:val="0"/>
                <w:bCs/>
                <w:color w:val="000000"/>
                <w:szCs w:val="21"/>
                <w:highlight w:val="none"/>
                <w:lang w:eastAsia="zh-CN"/>
              </w:rPr>
              <w:t>；</w:t>
            </w:r>
          </w:p>
          <w:p w14:paraId="1EE18082">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(3)乙方根据甲方需求，协助提供</w:t>
            </w:r>
            <w:r>
              <w:rPr>
                <w:rFonts w:hint="eastAsia" w:ascii="宋体" w:hAnsi="宋体"/>
                <w:b w:val="0"/>
                <w:bCs/>
                <w:color w:val="000000"/>
                <w:szCs w:val="21"/>
                <w:highlight w:val="none"/>
                <w:lang w:val="en-US" w:eastAsia="zh-CN"/>
              </w:rPr>
              <w:t>2</w:t>
            </w:r>
            <w:r>
              <w:rPr>
                <w:rFonts w:hint="eastAsia" w:ascii="宋体" w:hAnsi="宋体"/>
                <w:b w:val="0"/>
                <w:bCs/>
                <w:color w:val="000000"/>
                <w:szCs w:val="21"/>
                <w:highlight w:val="none"/>
              </w:rPr>
              <w:t>件项目相关发明专利选题、文献检索、论证方法、数据分析、文本修改的指导服务，直至发明专利受理</w:t>
            </w:r>
            <w:r>
              <w:rPr>
                <w:rFonts w:hint="eastAsia" w:ascii="宋体" w:hAnsi="宋体"/>
                <w:b w:val="0"/>
                <w:bCs/>
                <w:color w:val="000000"/>
                <w:szCs w:val="21"/>
                <w:highlight w:val="none"/>
                <w:lang w:eastAsia="zh-CN"/>
              </w:rPr>
              <w:t>。</w:t>
            </w:r>
          </w:p>
        </w:tc>
      </w:tr>
      <w:tr w14:paraId="06C109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2BAC3C19">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5</w:t>
            </w:r>
          </w:p>
        </w:tc>
        <w:tc>
          <w:tcPr>
            <w:tcW w:w="7889" w:type="dxa"/>
            <w:tcBorders>
              <w:tl2br w:val="nil"/>
              <w:tr2bl w:val="nil"/>
            </w:tcBorders>
          </w:tcPr>
          <w:p w14:paraId="5BD464B5">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[2027年 10月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2027年12月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20754655">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19B829FF">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(1)开展仿生攀爬底座性能测试，包括附着稳定性测试、承载能力测试以及攀爬运动稳定性测试，分析样机性能并进行结构优化。</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(2)研究视觉与力觉多模态信息融合方法，建立多传感器融合状态估计模型，实现机器人相对角钢塔结构的高精度定位。</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(3)开展攀爬机器人移动控制系统总体架构设计，分析角钢塔结构环境下机器人运动控制需求。</w:t>
            </w:r>
          </w:p>
          <w:p w14:paraId="75BC3222">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(4)设计自主移动控制与远程遥控协同控制系统框架。</w:t>
            </w:r>
          </w:p>
          <w:p w14:paraId="26A9A39F">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60714A30">
            <w:pPr>
              <w:adjustRightInd w:val="0"/>
              <w:snapToGrid w:val="0"/>
              <w:textAlignment w:val="center"/>
              <w:rPr>
                <w:rFonts w:hint="eastAsia" w:ascii="宋体" w:hAnsi="宋体" w:eastAsia="宋体"/>
                <w:b w:val="0"/>
                <w:bCs/>
                <w:color w:val="000000"/>
                <w:szCs w:val="21"/>
                <w:highlight w:val="none"/>
                <w:lang w:val="en-US" w:eastAsia="zh-CN"/>
              </w:rPr>
            </w:pPr>
            <w:r>
              <w:rPr>
                <w:rFonts w:hint="eastAsia" w:ascii="宋体" w:hAnsi="宋体"/>
                <w:b w:val="0"/>
                <w:bCs/>
                <w:color w:val="000000"/>
                <w:szCs w:val="21"/>
                <w:highlight w:val="none"/>
              </w:rPr>
              <w:t>(1)仿生攀爬底座性能测试报告</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(2)多模态融合定位算法程序、融合定位实验报告</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(3)移动控制系统总体设计方案</w:t>
            </w:r>
            <w:r>
              <w:rPr>
                <w:rFonts w:hint="eastAsia" w:ascii="宋体" w:hAnsi="宋体"/>
                <w:b w:val="0"/>
                <w:bCs/>
                <w:color w:val="000000"/>
                <w:szCs w:val="21"/>
                <w:highlight w:val="none"/>
                <w:lang w:eastAsia="zh-CN"/>
              </w:rPr>
              <w:t>；</w:t>
            </w:r>
          </w:p>
          <w:p w14:paraId="352E859B">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(4)系统技术报告</w:t>
            </w:r>
            <w:r>
              <w:rPr>
                <w:rFonts w:hint="eastAsia" w:ascii="宋体" w:hAnsi="宋体"/>
                <w:b w:val="0"/>
                <w:bCs/>
                <w:color w:val="000000"/>
                <w:szCs w:val="21"/>
                <w:highlight w:val="none"/>
                <w:lang w:eastAsia="zh-CN"/>
              </w:rPr>
              <w:t>。</w:t>
            </w:r>
          </w:p>
        </w:tc>
      </w:tr>
      <w:tr w14:paraId="0217CD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762" w:type="dxa"/>
            <w:tcBorders>
              <w:tl2br w:val="nil"/>
              <w:tr2bl w:val="nil"/>
            </w:tcBorders>
            <w:vAlign w:val="center"/>
          </w:tcPr>
          <w:p w14:paraId="5ECB112E">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6</w:t>
            </w:r>
          </w:p>
        </w:tc>
        <w:tc>
          <w:tcPr>
            <w:tcW w:w="7889" w:type="dxa"/>
            <w:tcBorders>
              <w:tl2br w:val="nil"/>
              <w:tr2bl w:val="nil"/>
            </w:tcBorders>
          </w:tcPr>
          <w:p w14:paraId="162C47D1">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[2028年 1月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2028年3月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4D2A7077">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0ECFACA0">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 根据测试结果对攀爬底座结构进行优化改进，完善关键机构设计，提高攀爬稳定性和通过能力。</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(2)完成</w:t>
            </w:r>
            <w:r>
              <w:rPr>
                <w:rFonts w:hint="eastAsia" w:ascii="宋体" w:hAnsi="宋体"/>
                <w:b w:val="0"/>
                <w:bCs/>
                <w:color w:val="000000"/>
                <w:szCs w:val="21"/>
                <w:highlight w:val="none"/>
                <w:lang w:val="en-US" w:eastAsia="zh-CN"/>
              </w:rPr>
              <w:t>综</w:t>
            </w:r>
            <w:r>
              <w:rPr>
                <w:rFonts w:hint="eastAsia" w:ascii="宋体" w:hAnsi="宋体"/>
                <w:b w:val="0"/>
                <w:bCs/>
                <w:color w:val="000000"/>
                <w:szCs w:val="21"/>
                <w:highlight w:val="none"/>
              </w:rPr>
              <w:t>合实验验证，包括典型角钢塔结构攀爬实验和复杂障碍通过实验，对系统性能进行综合评估</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(3)完成多模态识别定位模块系统集成，并开展实验验证，评估识别精度与定位稳定性，优化算法性能。</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(4)研究面向角钢塔结构环境的路径规划与轨迹生成算法，实现机器人在塔体结构中的自主路径规划与轨迹优化</w:t>
            </w:r>
            <w:r>
              <w:rPr>
                <w:rFonts w:hint="eastAsia" w:ascii="宋体" w:hAnsi="宋体"/>
                <w:b w:val="0"/>
                <w:bCs/>
                <w:color w:val="000000"/>
                <w:szCs w:val="21"/>
                <w:highlight w:val="none"/>
                <w:lang w:eastAsia="zh-CN"/>
              </w:rPr>
              <w:t>。</w:t>
            </w:r>
          </w:p>
          <w:p w14:paraId="104658A4">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689B8266">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(1)优化后的仿生攀爬底座设计方案；</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2</w:t>
            </w:r>
            <w:r>
              <w:rPr>
                <w:rFonts w:hint="eastAsia" w:ascii="宋体" w:hAnsi="宋体"/>
                <w:b w:val="0"/>
                <w:bCs/>
                <w:color w:val="000000"/>
                <w:szCs w:val="21"/>
                <w:highlight w:val="none"/>
              </w:rPr>
              <w:t>)实验验证报告；</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3</w:t>
            </w:r>
            <w:r>
              <w:rPr>
                <w:rFonts w:hint="eastAsia" w:ascii="宋体" w:hAnsi="宋体"/>
                <w:b w:val="0"/>
                <w:bCs/>
                <w:color w:val="000000"/>
                <w:szCs w:val="21"/>
                <w:highlight w:val="none"/>
              </w:rPr>
              <w:t>)多模态识别定位系统模块；</w:t>
            </w:r>
            <w:r>
              <w:rPr>
                <w:rFonts w:hint="eastAsia" w:ascii="宋体" w:hAnsi="宋体"/>
                <w:b/>
                <w:color w:val="000000"/>
                <w:szCs w:val="21"/>
                <w:highlight w:val="none"/>
              </w:rPr>
              <w:br w:type="textWrapping"/>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4</w:t>
            </w:r>
            <w:r>
              <w:rPr>
                <w:rFonts w:hint="eastAsia" w:ascii="宋体" w:hAnsi="宋体"/>
                <w:b w:val="0"/>
                <w:bCs/>
                <w:color w:val="000000"/>
                <w:szCs w:val="21"/>
                <w:highlight w:val="none"/>
              </w:rPr>
              <w:t>)乙方根据甲方需求，协助提供</w:t>
            </w:r>
            <w:r>
              <w:rPr>
                <w:rFonts w:hint="eastAsia" w:ascii="宋体" w:hAnsi="宋体"/>
                <w:b w:val="0"/>
                <w:bCs/>
                <w:color w:val="000000"/>
                <w:szCs w:val="21"/>
                <w:highlight w:val="none"/>
                <w:lang w:val="en-US" w:eastAsia="zh-CN"/>
              </w:rPr>
              <w:t>2</w:t>
            </w:r>
            <w:r>
              <w:rPr>
                <w:rFonts w:hint="eastAsia" w:ascii="宋体" w:hAnsi="宋体"/>
                <w:b w:val="0"/>
                <w:bCs/>
                <w:color w:val="000000"/>
                <w:szCs w:val="21"/>
                <w:highlight w:val="none"/>
              </w:rPr>
              <w:t>件项目相关发明专利选题、文献检索、论证方法、数据分析、文本修改的指导服务，直至发明专利受理</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5</w:t>
            </w:r>
            <w:r>
              <w:rPr>
                <w:rFonts w:hint="eastAsia" w:ascii="宋体" w:hAnsi="宋体"/>
                <w:b w:val="0"/>
                <w:bCs/>
                <w:color w:val="000000"/>
                <w:szCs w:val="21"/>
                <w:highlight w:val="none"/>
              </w:rPr>
              <w:t>)路径规划与轨迹生成算法程序、算法测试报告</w:t>
            </w:r>
            <w:r>
              <w:rPr>
                <w:rFonts w:hint="eastAsia" w:ascii="宋体" w:hAnsi="宋体"/>
                <w:b w:val="0"/>
                <w:bCs/>
                <w:color w:val="000000"/>
                <w:szCs w:val="21"/>
                <w:highlight w:val="none"/>
                <w:lang w:eastAsia="zh-CN"/>
              </w:rPr>
              <w:t>。</w:t>
            </w:r>
          </w:p>
        </w:tc>
      </w:tr>
      <w:tr w14:paraId="52607C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0C9BBA43">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7</w:t>
            </w:r>
          </w:p>
        </w:tc>
        <w:tc>
          <w:tcPr>
            <w:tcW w:w="7889" w:type="dxa"/>
            <w:tcBorders>
              <w:tl2br w:val="nil"/>
              <w:tr2bl w:val="nil"/>
            </w:tcBorders>
          </w:tcPr>
          <w:p w14:paraId="5A48943E">
            <w:pPr>
              <w:adjustRightInd w:val="0"/>
              <w:snapToGrid w:val="0"/>
              <w:textAlignment w:val="center"/>
              <w:rPr>
                <w:rFonts w:hint="default" w:ascii="宋体" w:hAnsi="宋体"/>
                <w:b/>
                <w:color w:val="000000"/>
                <w:szCs w:val="21"/>
                <w:highlight w:val="none"/>
                <w:lang w:val="en-US" w:eastAsia="zh-CN"/>
              </w:rPr>
            </w:pPr>
            <w:r>
              <w:rPr>
                <w:rFonts w:hint="eastAsia" w:ascii="宋体" w:hAnsi="宋体"/>
                <w:b/>
                <w:color w:val="000000"/>
                <w:szCs w:val="21"/>
                <w:highlight w:val="none"/>
              </w:rPr>
              <w:t>[2028年 1月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w:t>
            </w:r>
            <w:r>
              <w:rPr>
                <w:rFonts w:hint="eastAsia" w:ascii="宋体" w:hAnsi="宋体"/>
                <w:b/>
                <w:color w:val="000000"/>
                <w:szCs w:val="21"/>
                <w:highlight w:val="none"/>
                <w:lang w:val="en-US" w:eastAsia="zh-CN"/>
              </w:rPr>
              <w:t>2028年1月30日</w:t>
            </w:r>
            <w:r>
              <w:rPr>
                <w:rFonts w:hint="eastAsia" w:ascii="宋体" w:hAnsi="宋体"/>
                <w:b/>
                <w:color w:val="000000"/>
                <w:szCs w:val="21"/>
                <w:highlight w:val="none"/>
              </w:rPr>
              <w:t>]</w:t>
            </w:r>
          </w:p>
          <w:p w14:paraId="4CD695C9">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4428B6CB">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w:t>
            </w:r>
            <w:r>
              <w:rPr>
                <w:rFonts w:hint="eastAsia" w:ascii="宋体" w:hAnsi="宋体"/>
                <w:b w:val="0"/>
                <w:bCs/>
                <w:color w:val="000000"/>
                <w:szCs w:val="21"/>
                <w:highlight w:val="none"/>
                <w:lang w:val="en-US" w:eastAsia="zh-CN"/>
              </w:rPr>
              <w:t>配合甲方</w:t>
            </w:r>
            <w:r>
              <w:rPr>
                <w:rFonts w:hint="eastAsia" w:ascii="宋体" w:hAnsi="宋体"/>
                <w:b w:val="0"/>
                <w:bCs/>
                <w:color w:val="000000"/>
                <w:szCs w:val="21"/>
                <w:highlight w:val="none"/>
              </w:rPr>
              <w:t>完成项目中期检查。</w:t>
            </w:r>
          </w:p>
          <w:p w14:paraId="62BE375C">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0232FA74">
            <w:pPr>
              <w:adjustRightInd w:val="0"/>
              <w:snapToGrid w:val="0"/>
              <w:textAlignment w:val="center"/>
              <w:rPr>
                <w:rFonts w:hint="eastAsia" w:ascii="宋体" w:hAnsi="宋体"/>
                <w:b/>
                <w:color w:val="000000"/>
                <w:szCs w:val="21"/>
                <w:highlight w:val="none"/>
              </w:rPr>
            </w:pPr>
            <w:r>
              <w:rPr>
                <w:rFonts w:hint="eastAsia" w:ascii="宋体" w:hAnsi="宋体"/>
                <w:b w:val="0"/>
                <w:bCs/>
                <w:color w:val="000000"/>
                <w:szCs w:val="21"/>
                <w:highlight w:val="none"/>
              </w:rPr>
              <w:t>(1)项目中期检查材料1份。</w:t>
            </w:r>
          </w:p>
        </w:tc>
      </w:tr>
      <w:tr w14:paraId="1FABF6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75DF5112">
            <w:pPr>
              <w:adjustRightInd w:val="0"/>
              <w:snapToGrid w:val="0"/>
              <w:jc w:val="center"/>
              <w:textAlignment w:val="center"/>
              <w:rPr>
                <w:rFonts w:hint="eastAsia" w:ascii="宋体" w:hAnsi="宋体" w:eastAsia="宋体"/>
                <w:b/>
                <w:color w:val="000000"/>
                <w:szCs w:val="21"/>
                <w:highlight w:val="none"/>
                <w:lang w:val="en-US" w:eastAsia="zh-CN"/>
              </w:rPr>
            </w:pPr>
            <w:bookmarkStart w:id="17" w:name="_Hlk25764254"/>
            <w:r>
              <w:rPr>
                <w:rFonts w:hint="eastAsia" w:ascii="宋体" w:hAnsi="宋体"/>
                <w:b/>
                <w:color w:val="000000"/>
                <w:szCs w:val="21"/>
                <w:highlight w:val="none"/>
              </w:rPr>
              <w:t>4.</w:t>
            </w:r>
            <w:r>
              <w:rPr>
                <w:rFonts w:hint="eastAsia" w:ascii="宋体" w:hAnsi="宋体"/>
                <w:b/>
                <w:color w:val="000000"/>
                <w:szCs w:val="21"/>
                <w:highlight w:val="none"/>
                <w:lang w:val="en-US" w:eastAsia="zh-CN"/>
              </w:rPr>
              <w:t>8</w:t>
            </w:r>
          </w:p>
        </w:tc>
        <w:tc>
          <w:tcPr>
            <w:tcW w:w="7889" w:type="dxa"/>
            <w:tcBorders>
              <w:tl2br w:val="nil"/>
              <w:tr2bl w:val="nil"/>
            </w:tcBorders>
          </w:tcPr>
          <w:p w14:paraId="26932DA0">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 xml:space="preserve">[2028年 </w:t>
            </w:r>
            <w:r>
              <w:rPr>
                <w:rFonts w:hint="eastAsia" w:ascii="宋体" w:hAnsi="宋体"/>
                <w:b/>
                <w:color w:val="000000"/>
                <w:szCs w:val="21"/>
                <w:highlight w:val="none"/>
                <w:lang w:val="en-US" w:eastAsia="zh-CN"/>
              </w:rPr>
              <w:t>2</w:t>
            </w:r>
            <w:r>
              <w:rPr>
                <w:rFonts w:hint="eastAsia" w:ascii="宋体" w:hAnsi="宋体"/>
                <w:b/>
                <w:color w:val="000000"/>
                <w:szCs w:val="21"/>
                <w:highlight w:val="none"/>
              </w:rPr>
              <w:t>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w:t>
            </w:r>
            <w:r>
              <w:rPr>
                <w:rFonts w:hint="eastAsia" w:ascii="宋体" w:hAnsi="宋体"/>
                <w:b/>
                <w:color w:val="000000"/>
                <w:szCs w:val="21"/>
                <w:highlight w:val="none"/>
                <w:lang w:val="en-US" w:eastAsia="zh-CN"/>
              </w:rPr>
              <w:t>2</w:t>
            </w:r>
            <w:r>
              <w:rPr>
                <w:rFonts w:hint="eastAsia" w:ascii="宋体" w:hAnsi="宋体"/>
                <w:b/>
                <w:color w:val="000000"/>
                <w:szCs w:val="21"/>
                <w:highlight w:val="none"/>
              </w:rPr>
              <w:t>月</w:t>
            </w:r>
            <w:r>
              <w:rPr>
                <w:rFonts w:hint="eastAsia" w:ascii="宋体" w:hAnsi="宋体"/>
                <w:b/>
                <w:color w:val="000000"/>
                <w:szCs w:val="21"/>
                <w:highlight w:val="none"/>
                <w:lang w:val="en-US" w:eastAsia="zh-CN"/>
              </w:rPr>
              <w:t>28日</w:t>
            </w:r>
            <w:r>
              <w:rPr>
                <w:rFonts w:hint="eastAsia" w:ascii="宋体" w:hAnsi="宋体"/>
                <w:b/>
                <w:color w:val="000000"/>
                <w:szCs w:val="21"/>
                <w:highlight w:val="none"/>
              </w:rPr>
              <w:t xml:space="preserve">]  </w:t>
            </w:r>
          </w:p>
          <w:p w14:paraId="0BD52A01">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7DB69BAE">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(1)研究机器人运动控制方法与障碍物规避、跨越控制策略，开发远程遥控控制模块，实现自主控制与人工遥控协同控制。</w:t>
            </w:r>
          </w:p>
          <w:p w14:paraId="581B7920">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2014E810">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(1)移动控制系统软件模块</w:t>
            </w:r>
            <w:r>
              <w:rPr>
                <w:rFonts w:hint="eastAsia" w:ascii="宋体" w:hAnsi="宋体"/>
                <w:b w:val="0"/>
                <w:bCs/>
                <w:color w:val="000000"/>
                <w:szCs w:val="21"/>
                <w:highlight w:val="none"/>
                <w:lang w:eastAsia="zh-CN"/>
              </w:rPr>
              <w:t>。</w:t>
            </w:r>
          </w:p>
          <w:p w14:paraId="35D4BB64">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(2)遥操作控制模块</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br w:type="textWrapping"/>
            </w:r>
            <w:r>
              <w:rPr>
                <w:rFonts w:hint="eastAsia" w:ascii="宋体" w:hAnsi="宋体"/>
                <w:b w:val="0"/>
                <w:bCs/>
                <w:color w:val="000000"/>
                <w:szCs w:val="21"/>
                <w:highlight w:val="none"/>
              </w:rPr>
              <w:t>(3)乙方根据甲方需求，协助提供</w:t>
            </w:r>
            <w:r>
              <w:rPr>
                <w:rFonts w:hint="eastAsia" w:ascii="宋体" w:hAnsi="宋体"/>
                <w:b w:val="0"/>
                <w:bCs/>
                <w:color w:val="000000"/>
                <w:szCs w:val="21"/>
                <w:highlight w:val="none"/>
                <w:lang w:val="en-US" w:eastAsia="zh-CN"/>
              </w:rPr>
              <w:t>1</w:t>
            </w:r>
            <w:r>
              <w:rPr>
                <w:rFonts w:hint="eastAsia" w:ascii="宋体" w:hAnsi="宋体"/>
                <w:b w:val="0"/>
                <w:bCs/>
                <w:color w:val="000000"/>
                <w:szCs w:val="21"/>
                <w:highlight w:val="none"/>
              </w:rPr>
              <w:t>件项目相关发明专利选题、文献检索、论证方法、数据分析、文本修改的指导服务，直至发明专利受理</w:t>
            </w:r>
            <w:r>
              <w:rPr>
                <w:rFonts w:hint="eastAsia" w:ascii="宋体" w:hAnsi="宋体"/>
                <w:b w:val="0"/>
                <w:bCs/>
                <w:color w:val="000000"/>
                <w:szCs w:val="21"/>
                <w:highlight w:val="none"/>
                <w:lang w:eastAsia="zh-CN"/>
              </w:rPr>
              <w:t>。</w:t>
            </w:r>
          </w:p>
        </w:tc>
      </w:tr>
      <w:tr w14:paraId="588D8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25F43848">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hint="eastAsia" w:ascii="宋体" w:hAnsi="宋体"/>
                <w:b/>
                <w:color w:val="000000"/>
                <w:szCs w:val="21"/>
                <w:highlight w:val="none"/>
                <w:lang w:val="en-US" w:eastAsia="zh-CN"/>
              </w:rPr>
              <w:t>9</w:t>
            </w:r>
          </w:p>
        </w:tc>
        <w:tc>
          <w:tcPr>
            <w:tcW w:w="7889" w:type="dxa"/>
            <w:tcBorders>
              <w:tl2br w:val="nil"/>
              <w:tr2bl w:val="nil"/>
            </w:tcBorders>
          </w:tcPr>
          <w:p w14:paraId="4E9C43C1">
            <w:pPr>
              <w:adjustRightInd w:val="0"/>
              <w:snapToGrid w:val="0"/>
              <w:textAlignment w:val="center"/>
              <w:rPr>
                <w:rFonts w:hint="default" w:ascii="宋体" w:hAnsi="宋体" w:eastAsia="宋体"/>
                <w:b/>
                <w:color w:val="000000"/>
                <w:szCs w:val="21"/>
                <w:highlight w:val="none"/>
                <w:lang w:val="en-US" w:eastAsia="zh-CN"/>
              </w:rPr>
            </w:pPr>
            <w:r>
              <w:rPr>
                <w:rFonts w:hint="eastAsia" w:ascii="宋体" w:hAnsi="宋体"/>
                <w:b/>
                <w:color w:val="000000"/>
                <w:szCs w:val="21"/>
                <w:highlight w:val="none"/>
              </w:rPr>
              <w:t>[2028年</w:t>
            </w:r>
            <w:r>
              <w:rPr>
                <w:rFonts w:hint="eastAsia" w:ascii="宋体" w:hAnsi="宋体"/>
                <w:b/>
                <w:color w:val="000000"/>
                <w:szCs w:val="21"/>
                <w:highlight w:val="none"/>
                <w:lang w:val="en-US" w:eastAsia="zh-CN"/>
              </w:rPr>
              <w:t>3</w:t>
            </w:r>
            <w:r>
              <w:rPr>
                <w:rFonts w:hint="eastAsia" w:ascii="宋体" w:hAnsi="宋体"/>
                <w:b/>
                <w:color w:val="000000"/>
                <w:szCs w:val="21"/>
                <w:highlight w:val="none"/>
              </w:rPr>
              <w:t>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w:t>
            </w:r>
            <w:r>
              <w:rPr>
                <w:rFonts w:hint="eastAsia" w:ascii="宋体" w:hAnsi="宋体"/>
                <w:b/>
                <w:color w:val="000000"/>
                <w:szCs w:val="21"/>
                <w:highlight w:val="none"/>
                <w:lang w:val="en-US" w:eastAsia="zh-CN"/>
              </w:rPr>
              <w:t>3</w:t>
            </w:r>
            <w:r>
              <w:rPr>
                <w:rFonts w:hint="eastAsia" w:ascii="宋体" w:hAnsi="宋体"/>
                <w:b/>
                <w:color w:val="000000"/>
                <w:szCs w:val="21"/>
                <w:highlight w:val="none"/>
              </w:rPr>
              <w:t>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w:t>
            </w:r>
          </w:p>
          <w:p w14:paraId="73BE41D1">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47033F13">
            <w:pPr>
              <w:numPr>
                <w:ilvl w:val="0"/>
                <w:numId w:val="3"/>
              </w:num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完成移动控制系统集成与实验验证，开展角钢塔攀爬实验与障碍跨越实验</w:t>
            </w:r>
            <w:r>
              <w:rPr>
                <w:rFonts w:hint="eastAsia" w:ascii="宋体" w:hAnsi="宋体"/>
                <w:b w:val="0"/>
                <w:bCs/>
                <w:color w:val="000000"/>
                <w:szCs w:val="21"/>
                <w:highlight w:val="none"/>
                <w:lang w:eastAsia="zh-CN"/>
              </w:rPr>
              <w:t>。</w:t>
            </w:r>
          </w:p>
          <w:p w14:paraId="022555F0">
            <w:pPr>
              <w:numPr>
                <w:ilvl w:val="0"/>
                <w:numId w:val="0"/>
              </w:num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2E9522BD">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(1)移动控制系统集成软件、实验验证报告</w:t>
            </w:r>
            <w:r>
              <w:rPr>
                <w:rFonts w:hint="eastAsia" w:ascii="宋体" w:hAnsi="宋体"/>
                <w:b w:val="0"/>
                <w:bCs/>
                <w:color w:val="000000"/>
                <w:szCs w:val="21"/>
                <w:highlight w:val="none"/>
                <w:lang w:eastAsia="zh-CN"/>
              </w:rPr>
              <w:t>。</w:t>
            </w:r>
          </w:p>
        </w:tc>
      </w:tr>
      <w:tr w14:paraId="5DE613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6336AD0F">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4.1</w:t>
            </w:r>
            <w:r>
              <w:rPr>
                <w:rFonts w:hint="eastAsia" w:ascii="宋体" w:hAnsi="宋体"/>
                <w:b/>
                <w:color w:val="000000"/>
                <w:szCs w:val="21"/>
                <w:highlight w:val="none"/>
                <w:lang w:val="en-US" w:eastAsia="zh-CN"/>
              </w:rPr>
              <w:t>0</w:t>
            </w:r>
          </w:p>
        </w:tc>
        <w:tc>
          <w:tcPr>
            <w:tcW w:w="7889" w:type="dxa"/>
            <w:tcBorders>
              <w:tl2br w:val="nil"/>
              <w:tr2bl w:val="nil"/>
            </w:tcBorders>
          </w:tcPr>
          <w:p w14:paraId="6F986A8D">
            <w:pPr>
              <w:adjustRightInd w:val="0"/>
              <w:snapToGrid w:val="0"/>
              <w:textAlignment w:val="center"/>
              <w:rPr>
                <w:rFonts w:hint="default" w:ascii="宋体" w:hAnsi="宋体" w:eastAsia="宋体"/>
                <w:b/>
                <w:color w:val="000000"/>
                <w:szCs w:val="21"/>
                <w:highlight w:val="none"/>
                <w:lang w:val="en-US" w:eastAsia="zh-CN"/>
              </w:rPr>
            </w:pPr>
            <w:r>
              <w:rPr>
                <w:rFonts w:hint="eastAsia" w:ascii="宋体" w:hAnsi="宋体"/>
                <w:b/>
                <w:color w:val="000000"/>
                <w:szCs w:val="21"/>
                <w:highlight w:val="none"/>
              </w:rPr>
              <w:t xml:space="preserve">[2028年 </w:t>
            </w:r>
            <w:r>
              <w:rPr>
                <w:rFonts w:hint="eastAsia" w:ascii="宋体" w:hAnsi="宋体"/>
                <w:b/>
                <w:color w:val="000000"/>
                <w:szCs w:val="21"/>
                <w:highlight w:val="none"/>
                <w:lang w:val="en-US" w:eastAsia="zh-CN"/>
              </w:rPr>
              <w:t>4</w:t>
            </w:r>
            <w:r>
              <w:rPr>
                <w:rFonts w:hint="eastAsia" w:ascii="宋体" w:hAnsi="宋体"/>
                <w:b/>
                <w:color w:val="000000"/>
                <w:szCs w:val="21"/>
                <w:highlight w:val="none"/>
              </w:rPr>
              <w:t>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w:t>
            </w:r>
            <w:r>
              <w:rPr>
                <w:rFonts w:hint="eastAsia" w:ascii="宋体" w:hAnsi="宋体"/>
                <w:b/>
                <w:color w:val="000000"/>
                <w:szCs w:val="21"/>
                <w:highlight w:val="none"/>
                <w:lang w:val="en-US" w:eastAsia="zh-CN"/>
              </w:rPr>
              <w:t>4</w:t>
            </w:r>
            <w:r>
              <w:rPr>
                <w:rFonts w:hint="eastAsia" w:ascii="宋体" w:hAnsi="宋体"/>
                <w:b/>
                <w:color w:val="000000"/>
                <w:szCs w:val="21"/>
                <w:highlight w:val="none"/>
              </w:rPr>
              <w:t>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w:t>
            </w:r>
          </w:p>
          <w:p w14:paraId="689DCAA2">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03294160">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(1)整理项目材料，撰写项目技术报告。</w:t>
            </w:r>
          </w:p>
          <w:p w14:paraId="2B26D20A">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(2)准备项目技术验收材料，完成项目技术验收。</w:t>
            </w:r>
          </w:p>
          <w:p w14:paraId="19D647AF">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3A6B6801">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(1)项目技术验收材料1份</w:t>
            </w:r>
            <w:r>
              <w:rPr>
                <w:rFonts w:hint="eastAsia" w:ascii="宋体" w:hAnsi="宋体"/>
                <w:b w:val="0"/>
                <w:bCs/>
                <w:color w:val="000000"/>
                <w:szCs w:val="21"/>
                <w:highlight w:val="none"/>
                <w:lang w:eastAsia="zh-CN"/>
              </w:rPr>
              <w:t>；</w:t>
            </w:r>
          </w:p>
          <w:p w14:paraId="0017888D">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(2)机器人技术鉴定报告1份</w:t>
            </w:r>
            <w:r>
              <w:rPr>
                <w:rFonts w:hint="eastAsia" w:ascii="宋体" w:hAnsi="宋体"/>
                <w:b w:val="0"/>
                <w:bCs/>
                <w:color w:val="000000"/>
                <w:szCs w:val="21"/>
                <w:highlight w:val="none"/>
                <w:lang w:eastAsia="zh-CN"/>
              </w:rPr>
              <w:t>；</w:t>
            </w:r>
          </w:p>
          <w:p w14:paraId="75C928CD">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(3)拟转化成果挂网试运行方案</w:t>
            </w:r>
            <w:r>
              <w:rPr>
                <w:rFonts w:hint="eastAsia" w:ascii="宋体" w:hAnsi="宋体"/>
                <w:b w:val="0"/>
                <w:bCs/>
                <w:color w:val="000000"/>
                <w:szCs w:val="21"/>
                <w:highlight w:val="none"/>
                <w:lang w:eastAsia="zh-CN"/>
              </w:rPr>
              <w:t>；</w:t>
            </w:r>
          </w:p>
          <w:p w14:paraId="139EF298">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(4)成果技术说明书1份</w:t>
            </w:r>
            <w:r>
              <w:rPr>
                <w:rFonts w:hint="eastAsia" w:ascii="宋体" w:hAnsi="宋体"/>
                <w:b w:val="0"/>
                <w:bCs/>
                <w:color w:val="000000"/>
                <w:szCs w:val="21"/>
                <w:highlight w:val="none"/>
                <w:lang w:eastAsia="zh-CN"/>
              </w:rPr>
              <w:t>；</w:t>
            </w:r>
          </w:p>
          <w:p w14:paraId="0F80900A">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(5)电气原理图、产品结构图1份</w:t>
            </w:r>
            <w:r>
              <w:rPr>
                <w:rFonts w:hint="eastAsia" w:ascii="宋体" w:hAnsi="宋体"/>
                <w:b w:val="0"/>
                <w:bCs/>
                <w:color w:val="000000"/>
                <w:szCs w:val="21"/>
                <w:highlight w:val="none"/>
                <w:lang w:eastAsia="zh-CN"/>
              </w:rPr>
              <w:t>。</w:t>
            </w:r>
          </w:p>
        </w:tc>
      </w:tr>
      <w:tr w14:paraId="3ED5F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08E56F9B">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4.1</w:t>
            </w:r>
            <w:r>
              <w:rPr>
                <w:rFonts w:hint="eastAsia" w:ascii="宋体" w:hAnsi="宋体"/>
                <w:b/>
                <w:color w:val="000000"/>
                <w:szCs w:val="21"/>
                <w:highlight w:val="none"/>
                <w:lang w:val="en-US" w:eastAsia="zh-CN"/>
              </w:rPr>
              <w:t>1</w:t>
            </w:r>
          </w:p>
        </w:tc>
        <w:tc>
          <w:tcPr>
            <w:tcW w:w="7889" w:type="dxa"/>
            <w:tcBorders>
              <w:tl2br w:val="nil"/>
              <w:tr2bl w:val="nil"/>
            </w:tcBorders>
          </w:tcPr>
          <w:p w14:paraId="1CD88985">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[2028年</w:t>
            </w:r>
            <w:r>
              <w:rPr>
                <w:rFonts w:hint="eastAsia" w:ascii="宋体" w:hAnsi="宋体"/>
                <w:b/>
                <w:color w:val="000000"/>
                <w:szCs w:val="21"/>
                <w:highlight w:val="none"/>
                <w:lang w:val="en-US" w:eastAsia="zh-CN"/>
              </w:rPr>
              <w:t>5</w:t>
            </w:r>
            <w:r>
              <w:rPr>
                <w:rFonts w:hint="eastAsia" w:ascii="宋体" w:hAnsi="宋体"/>
                <w:b/>
                <w:color w:val="000000"/>
                <w:szCs w:val="21"/>
                <w:highlight w:val="none"/>
              </w:rPr>
              <w:t>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w:t>
            </w:r>
            <w:r>
              <w:rPr>
                <w:rFonts w:hint="eastAsia" w:ascii="宋体" w:hAnsi="宋体"/>
                <w:b/>
                <w:color w:val="000000"/>
                <w:szCs w:val="21"/>
                <w:highlight w:val="none"/>
                <w:lang w:val="en-US" w:eastAsia="zh-CN"/>
              </w:rPr>
              <w:t>5</w:t>
            </w:r>
            <w:r>
              <w:rPr>
                <w:rFonts w:hint="eastAsia" w:ascii="宋体" w:hAnsi="宋体"/>
                <w:b/>
                <w:color w:val="000000"/>
                <w:szCs w:val="21"/>
                <w:highlight w:val="none"/>
              </w:rPr>
              <w:t>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03E49AD3">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1D54A00E">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(1)完成实验指标第三方审查。</w:t>
            </w:r>
          </w:p>
          <w:p w14:paraId="5AA2416D">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2D717EFE">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(1)第三方审查报告1份</w:t>
            </w:r>
            <w:r>
              <w:rPr>
                <w:rFonts w:hint="eastAsia" w:ascii="宋体" w:hAnsi="宋体"/>
                <w:b w:val="0"/>
                <w:bCs/>
                <w:color w:val="000000"/>
                <w:szCs w:val="21"/>
                <w:highlight w:val="none"/>
                <w:lang w:eastAsia="zh-CN"/>
              </w:rPr>
              <w:t>。</w:t>
            </w:r>
          </w:p>
        </w:tc>
      </w:tr>
      <w:tr w14:paraId="2C9BD0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9" w:hRule="atLeast"/>
        </w:trPr>
        <w:tc>
          <w:tcPr>
            <w:tcW w:w="762" w:type="dxa"/>
            <w:tcBorders>
              <w:tl2br w:val="nil"/>
              <w:tr2bl w:val="nil"/>
            </w:tcBorders>
            <w:vAlign w:val="center"/>
          </w:tcPr>
          <w:p w14:paraId="57D909AE">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4.1</w:t>
            </w:r>
            <w:r>
              <w:rPr>
                <w:rFonts w:hint="eastAsia" w:ascii="宋体" w:hAnsi="宋体"/>
                <w:b/>
                <w:color w:val="000000"/>
                <w:szCs w:val="21"/>
                <w:highlight w:val="none"/>
                <w:lang w:val="en-US" w:eastAsia="zh-CN"/>
              </w:rPr>
              <w:t>2</w:t>
            </w:r>
          </w:p>
        </w:tc>
        <w:tc>
          <w:tcPr>
            <w:tcW w:w="7889" w:type="dxa"/>
            <w:tcBorders>
              <w:tl2br w:val="nil"/>
              <w:tr2bl w:val="nil"/>
            </w:tcBorders>
          </w:tcPr>
          <w:p w14:paraId="4E6E14C8">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[2028年</w:t>
            </w:r>
            <w:r>
              <w:rPr>
                <w:rFonts w:hint="eastAsia" w:ascii="宋体" w:hAnsi="宋体"/>
                <w:b/>
                <w:color w:val="000000"/>
                <w:szCs w:val="21"/>
                <w:highlight w:val="none"/>
                <w:lang w:val="en-US" w:eastAsia="zh-CN"/>
              </w:rPr>
              <w:t>6</w:t>
            </w:r>
            <w:r>
              <w:rPr>
                <w:rFonts w:hint="eastAsia" w:ascii="宋体" w:hAnsi="宋体"/>
                <w:b/>
                <w:color w:val="000000"/>
                <w:szCs w:val="21"/>
                <w:highlight w:val="none"/>
              </w:rPr>
              <w:t>月</w:t>
            </w:r>
            <w:r>
              <w:rPr>
                <w:rFonts w:hint="eastAsia" w:ascii="宋体" w:hAnsi="宋体"/>
                <w:b/>
                <w:color w:val="000000"/>
                <w:szCs w:val="21"/>
                <w:highlight w:val="none"/>
                <w:lang w:val="en-US" w:eastAsia="zh-CN"/>
              </w:rPr>
              <w:t>1日</w:t>
            </w:r>
            <w:r>
              <w:rPr>
                <w:rFonts w:hint="eastAsia" w:ascii="宋体" w:hAnsi="宋体"/>
                <w:b/>
                <w:color w:val="000000"/>
                <w:szCs w:val="21"/>
                <w:highlight w:val="none"/>
              </w:rPr>
              <w:t>— 2028年</w:t>
            </w:r>
            <w:r>
              <w:rPr>
                <w:rFonts w:hint="eastAsia" w:ascii="宋体" w:hAnsi="宋体"/>
                <w:b/>
                <w:color w:val="000000"/>
                <w:szCs w:val="21"/>
                <w:highlight w:val="none"/>
                <w:lang w:val="en-US" w:eastAsia="zh-CN"/>
              </w:rPr>
              <w:t>8</w:t>
            </w:r>
            <w:bookmarkStart w:id="33" w:name="_GoBack"/>
            <w:bookmarkEnd w:id="33"/>
            <w:r>
              <w:rPr>
                <w:rFonts w:hint="eastAsia" w:ascii="宋体" w:hAnsi="宋体"/>
                <w:b/>
                <w:color w:val="000000"/>
                <w:szCs w:val="21"/>
                <w:highlight w:val="none"/>
              </w:rPr>
              <w:t>月</w:t>
            </w:r>
            <w:r>
              <w:rPr>
                <w:rFonts w:hint="eastAsia" w:ascii="宋体" w:hAnsi="宋体"/>
                <w:b/>
                <w:color w:val="000000"/>
                <w:szCs w:val="21"/>
                <w:highlight w:val="none"/>
                <w:lang w:val="en-US" w:eastAsia="zh-CN"/>
              </w:rPr>
              <w:t>30日</w:t>
            </w:r>
            <w:r>
              <w:rPr>
                <w:rFonts w:hint="eastAsia" w:ascii="宋体" w:hAnsi="宋体"/>
                <w:b/>
                <w:color w:val="000000"/>
                <w:szCs w:val="21"/>
                <w:highlight w:val="none"/>
              </w:rPr>
              <w:t xml:space="preserve">] </w:t>
            </w:r>
          </w:p>
          <w:p w14:paraId="4346A305">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rPr>
              <w:t>主要内容：</w:t>
            </w:r>
          </w:p>
          <w:p w14:paraId="109DEB61">
            <w:pPr>
              <w:adjustRightInd w:val="0"/>
              <w:snapToGrid w:val="0"/>
              <w:textAlignment w:val="center"/>
              <w:rPr>
                <w:rFonts w:hint="eastAsia" w:ascii="宋体" w:hAnsi="宋体"/>
                <w:b w:val="0"/>
                <w:bCs/>
                <w:color w:val="000000"/>
                <w:szCs w:val="21"/>
                <w:highlight w:val="none"/>
              </w:rPr>
            </w:pPr>
            <w:r>
              <w:rPr>
                <w:rFonts w:hint="eastAsia" w:ascii="宋体" w:hAnsi="宋体"/>
                <w:b w:val="0"/>
                <w:bCs/>
                <w:color w:val="000000"/>
                <w:szCs w:val="21"/>
                <w:highlight w:val="none"/>
              </w:rPr>
              <w:t>(1)</w:t>
            </w:r>
            <w:r>
              <w:rPr>
                <w:rFonts w:hint="eastAsia" w:ascii="宋体" w:hAnsi="宋体"/>
                <w:b w:val="0"/>
                <w:bCs/>
                <w:color w:val="000000"/>
                <w:szCs w:val="21"/>
                <w:highlight w:val="none"/>
                <w:lang w:val="en-US" w:eastAsia="zh-CN"/>
              </w:rPr>
              <w:t>配合甲方</w:t>
            </w:r>
            <w:r>
              <w:rPr>
                <w:rFonts w:hint="eastAsia" w:ascii="宋体" w:hAnsi="宋体"/>
                <w:b w:val="0"/>
                <w:bCs/>
                <w:color w:val="000000"/>
                <w:szCs w:val="21"/>
                <w:highlight w:val="none"/>
              </w:rPr>
              <w:t>完成项目整体验收。</w:t>
            </w:r>
          </w:p>
          <w:p w14:paraId="2F8DECDA">
            <w:pPr>
              <w:adjustRightInd w:val="0"/>
              <w:snapToGrid w:val="0"/>
              <w:textAlignment w:val="center"/>
              <w:rPr>
                <w:rFonts w:hint="eastAsia" w:ascii="宋体" w:hAnsi="宋体"/>
                <w:b/>
                <w:color w:val="000000"/>
                <w:szCs w:val="21"/>
                <w:highlight w:val="none"/>
              </w:rPr>
            </w:pPr>
            <w:r>
              <w:rPr>
                <w:rFonts w:hint="eastAsia" w:ascii="宋体" w:hAnsi="宋体"/>
                <w:b/>
                <w:color w:val="000000"/>
                <w:szCs w:val="21"/>
                <w:highlight w:val="none"/>
                <w:lang w:val="en-US" w:eastAsia="zh-CN"/>
              </w:rPr>
              <w:t>交付物</w:t>
            </w:r>
            <w:r>
              <w:rPr>
                <w:rFonts w:hint="eastAsia" w:ascii="宋体" w:hAnsi="宋体"/>
                <w:b/>
                <w:color w:val="000000"/>
                <w:szCs w:val="21"/>
                <w:highlight w:val="none"/>
              </w:rPr>
              <w:t>：</w:t>
            </w:r>
          </w:p>
          <w:p w14:paraId="768B0AD2">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(1)项目整体验收材料1份</w:t>
            </w:r>
            <w:r>
              <w:rPr>
                <w:rFonts w:hint="eastAsia" w:ascii="宋体" w:hAnsi="宋体"/>
                <w:b w:val="0"/>
                <w:bCs/>
                <w:color w:val="000000"/>
                <w:szCs w:val="21"/>
                <w:highlight w:val="none"/>
                <w:lang w:eastAsia="zh-CN"/>
              </w:rPr>
              <w:t>；</w:t>
            </w:r>
          </w:p>
          <w:p w14:paraId="2F3255AA">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(2)机器人技术鉴定报告1份</w:t>
            </w:r>
            <w:r>
              <w:rPr>
                <w:rFonts w:hint="eastAsia" w:ascii="宋体" w:hAnsi="宋体"/>
                <w:b w:val="0"/>
                <w:bCs/>
                <w:color w:val="000000"/>
                <w:szCs w:val="21"/>
                <w:highlight w:val="none"/>
                <w:lang w:eastAsia="zh-CN"/>
              </w:rPr>
              <w:t>；</w:t>
            </w:r>
          </w:p>
          <w:p w14:paraId="323A8641">
            <w:pPr>
              <w:adjustRightInd w:val="0"/>
              <w:snapToGrid w:val="0"/>
              <w:textAlignment w:val="center"/>
              <w:rPr>
                <w:rFonts w:hint="eastAsia" w:ascii="宋体" w:hAnsi="宋体" w:eastAsia="宋体"/>
                <w:b w:val="0"/>
                <w:bCs/>
                <w:color w:val="000000"/>
                <w:szCs w:val="21"/>
                <w:highlight w:val="none"/>
                <w:lang w:eastAsia="zh-CN"/>
              </w:rPr>
            </w:pPr>
            <w:r>
              <w:rPr>
                <w:rFonts w:hint="eastAsia" w:ascii="宋体" w:hAnsi="宋体"/>
                <w:b w:val="0"/>
                <w:bCs/>
                <w:color w:val="000000"/>
                <w:szCs w:val="21"/>
                <w:highlight w:val="none"/>
              </w:rPr>
              <w:t>(3)拟转化成果挂网试运行方案、成果技术说明书1份</w:t>
            </w:r>
            <w:r>
              <w:rPr>
                <w:rFonts w:hint="eastAsia" w:ascii="宋体" w:hAnsi="宋体"/>
                <w:b w:val="0"/>
                <w:bCs/>
                <w:color w:val="000000"/>
                <w:szCs w:val="21"/>
                <w:highlight w:val="none"/>
                <w:lang w:eastAsia="zh-CN"/>
              </w:rPr>
              <w:t>；</w:t>
            </w:r>
          </w:p>
          <w:p w14:paraId="06999ACE">
            <w:pPr>
              <w:adjustRightInd w:val="0"/>
              <w:snapToGrid w:val="0"/>
              <w:textAlignment w:val="center"/>
              <w:rPr>
                <w:rFonts w:hint="eastAsia" w:ascii="宋体" w:hAnsi="宋体" w:eastAsia="宋体"/>
                <w:b/>
                <w:color w:val="000000"/>
                <w:szCs w:val="21"/>
                <w:highlight w:val="none"/>
                <w:lang w:eastAsia="zh-CN"/>
              </w:rPr>
            </w:pPr>
            <w:r>
              <w:rPr>
                <w:rFonts w:hint="eastAsia" w:ascii="宋体" w:hAnsi="宋体"/>
                <w:b w:val="0"/>
                <w:bCs/>
                <w:color w:val="000000"/>
                <w:szCs w:val="21"/>
                <w:highlight w:val="none"/>
              </w:rPr>
              <w:t>(4)电气原理图、产品结构图1份</w:t>
            </w:r>
            <w:r>
              <w:rPr>
                <w:rFonts w:hint="eastAsia" w:ascii="宋体" w:hAnsi="宋体"/>
                <w:b w:val="0"/>
                <w:bCs/>
                <w:color w:val="000000"/>
                <w:szCs w:val="21"/>
                <w:highlight w:val="none"/>
                <w:lang w:eastAsia="zh-CN"/>
              </w:rPr>
              <w:t>。</w:t>
            </w:r>
          </w:p>
        </w:tc>
      </w:tr>
    </w:tbl>
    <w:p w14:paraId="76E2702A">
      <w:pPr>
        <w:pStyle w:val="21"/>
        <w:spacing w:before="312"/>
        <w:outlineLvl w:val="0"/>
        <w:rPr>
          <w:rFonts w:ascii="黑体" w:hAnsi="黑体" w:eastAsia="黑体" w:cs="黑体"/>
          <w:sz w:val="28"/>
          <w:szCs w:val="28"/>
        </w:rPr>
      </w:pPr>
      <w:bookmarkStart w:id="18" w:name="_Toc21501"/>
      <w:r>
        <w:rPr>
          <w:rFonts w:hint="eastAsia" w:ascii="黑体" w:hAnsi="黑体" w:eastAsia="黑体" w:cs="黑体"/>
          <w:sz w:val="28"/>
          <w:szCs w:val="28"/>
        </w:rPr>
        <w:t>5  成果交付与验收</w:t>
      </w:r>
      <w:bookmarkEnd w:id="18"/>
    </w:p>
    <w:p w14:paraId="1624899E">
      <w:pPr>
        <w:spacing w:line="360" w:lineRule="auto"/>
        <w:outlineLvl w:val="1"/>
        <w:rPr>
          <w:rFonts w:hint="eastAsia" w:asciiTheme="minorEastAsia" w:hAnsiTheme="minorEastAsia" w:eastAsiaTheme="minorEastAsia" w:cstheme="minorEastAsia"/>
          <w:bCs/>
          <w:color w:val="C00000"/>
          <w:sz w:val="24"/>
        </w:rPr>
      </w:pPr>
      <w:bookmarkStart w:id="19" w:name="_Toc5704"/>
      <w:r>
        <w:rPr>
          <w:rFonts w:hint="eastAsia" w:ascii="黑体" w:hAnsi="黑体" w:eastAsia="黑体" w:cs="黑体"/>
          <w:bCs/>
          <w:sz w:val="24"/>
        </w:rPr>
        <w:t>5.1 成果形式及数量要求</w:t>
      </w:r>
      <w:bookmarkEnd w:id="19"/>
    </w:p>
    <w:p w14:paraId="7F74C596">
      <w:pPr>
        <w:pStyle w:val="24"/>
        <w:numPr>
          <w:ilvl w:val="0"/>
          <w:numId w:val="4"/>
        </w:numPr>
        <w:spacing w:line="360" w:lineRule="auto"/>
        <w:ind w:left="442" w:hanging="442" w:firstLineChars="0"/>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《角钢塔自主攀爬机器人技术研究报告》，1份。</w:t>
      </w:r>
    </w:p>
    <w:p w14:paraId="4D2EDB47">
      <w:pPr>
        <w:pStyle w:val="24"/>
        <w:numPr>
          <w:ilvl w:val="0"/>
          <w:numId w:val="4"/>
        </w:numPr>
        <w:spacing w:line="360" w:lineRule="auto"/>
        <w:ind w:left="442" w:hanging="442" w:firstLineChars="0"/>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第三方型式试验报告（含关键检测项），1份。</w:t>
      </w:r>
    </w:p>
    <w:p w14:paraId="73D4EFAB">
      <w:pPr>
        <w:pStyle w:val="24"/>
        <w:numPr>
          <w:ilvl w:val="0"/>
          <w:numId w:val="4"/>
        </w:numPr>
        <w:spacing w:line="360" w:lineRule="auto"/>
        <w:ind w:left="442" w:hanging="442" w:firstLineChars="0"/>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乙方根据甲方需求，协助提供7件项目相关发明专利选题、文献检索、论证方法、数据分析、文本修改的指导服务，直至发明专利受理。</w:t>
      </w:r>
    </w:p>
    <w:p w14:paraId="4C538339">
      <w:pPr>
        <w:spacing w:line="360" w:lineRule="auto"/>
        <w:outlineLvl w:val="1"/>
        <w:rPr>
          <w:rFonts w:hint="eastAsia" w:ascii="黑体" w:hAnsi="黑体" w:eastAsia="黑体" w:cs="黑体"/>
          <w:bCs/>
          <w:sz w:val="24"/>
        </w:rPr>
      </w:pPr>
    </w:p>
    <w:p w14:paraId="137C7F2D">
      <w:pPr>
        <w:spacing w:line="360" w:lineRule="auto"/>
        <w:outlineLvl w:val="1"/>
        <w:rPr>
          <w:rFonts w:ascii="黑体" w:hAnsi="黑体" w:eastAsia="黑体" w:cs="黑体"/>
          <w:bCs/>
          <w:sz w:val="24"/>
        </w:rPr>
      </w:pPr>
      <w:bookmarkStart w:id="20" w:name="_Toc25508"/>
      <w:r>
        <w:rPr>
          <w:rFonts w:hint="eastAsia" w:ascii="黑体" w:hAnsi="黑体" w:eastAsia="黑体" w:cs="黑体"/>
          <w:bCs/>
          <w:sz w:val="24"/>
        </w:rPr>
        <w:t>★5.2 成果的权属要求</w:t>
      </w:r>
      <w:bookmarkEnd w:id="20"/>
    </w:p>
    <w:bookmarkEnd w:id="17"/>
    <w:p w14:paraId="604C5475">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本项目形成的论文、专利等知识产权划分方法如下：</w:t>
      </w:r>
    </w:p>
    <w:p w14:paraId="716A64FF">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280A289F">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（1）本合同项下的研究成果申请专利的权利归甲方享有，未经甲方许可，乙方不得单独申请专利或向第三方转让专利申请权。乙方取得专利权的，未经甲方许可，不得转让专利权或许可第三方实施该专利。</w:t>
      </w:r>
    </w:p>
    <w:p w14:paraId="242AB142">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（2）甲乙双方均享有本合同项下研究成果的使用权，但乙方仅能在甲方许可的范围内使用该研究成果。因使用该研究成果所产生的效益，由甲乙双方共同协商确定分配方式。</w:t>
      </w:r>
    </w:p>
    <w:p w14:paraId="17D01758">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（3）本合同项下的研究成果的转让权属于甲方，乙方不得向第三方转让，亦不得许可第三方实施使用，乙方擅自转让所产生的利益归甲方所有。</w:t>
      </w:r>
    </w:p>
    <w:p w14:paraId="108CE939">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（4）本合同项下的研究成果申请奖励的权利归甲方享有。未经甲方许可，乙方不得单方申请奖励。</w:t>
      </w:r>
    </w:p>
    <w:p w14:paraId="090A8EA9">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（5）本合同项下的研究成果的发表权由甲乙双方共同享有。未经一方许可，另一方不得单方发表。根据项目研究成果</w:t>
      </w:r>
      <w:r>
        <w:rPr>
          <w:rFonts w:hint="eastAsia" w:asciiTheme="minorEastAsia" w:hAnsiTheme="minorEastAsia" w:eastAsiaTheme="minorEastAsia" w:cstheme="minorEastAsia"/>
          <w:color w:val="000000"/>
          <w:sz w:val="24"/>
          <w:highlight w:val="none"/>
        </w:rPr>
        <w:t>发表论文须注明“南方电网公司科技项目资助(项目编号：030100KC26040065)”；项目参</w:t>
      </w:r>
      <w:r>
        <w:rPr>
          <w:rFonts w:hint="eastAsia" w:asciiTheme="minorEastAsia" w:hAnsiTheme="minorEastAsia" w:eastAsiaTheme="minorEastAsia" w:cstheme="minorEastAsia"/>
          <w:color w:val="000000"/>
          <w:sz w:val="24"/>
        </w:rPr>
        <w:t>加人员个人发表有关项目研究内容的论文须征得甲乙双方的同意。</w:t>
      </w:r>
    </w:p>
    <w:p w14:paraId="1A352410">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（6）使用履行本合同产生的研究成果参与国际标准、国家标准或行业标准等的制定或修订工作的权利属于甲方所有，未经甲方许可，乙方不得单独参与此类工作。</w:t>
      </w:r>
    </w:p>
    <w:p w14:paraId="76BEA0D0">
      <w:pPr>
        <w:spacing w:line="360" w:lineRule="auto"/>
        <w:outlineLvl w:val="1"/>
        <w:rPr>
          <w:rFonts w:hint="eastAsia" w:ascii="黑体" w:hAnsi="黑体" w:eastAsia="黑体" w:cs="黑体"/>
          <w:bCs/>
          <w:sz w:val="24"/>
          <w:lang w:val="en-US" w:eastAsia="zh-CN"/>
        </w:rPr>
      </w:pPr>
      <w:bookmarkStart w:id="21" w:name="_Toc28744"/>
      <w:r>
        <w:rPr>
          <w:rFonts w:hint="eastAsia" w:ascii="黑体" w:hAnsi="黑体" w:eastAsia="黑体" w:cs="黑体"/>
          <w:bCs/>
          <w:sz w:val="24"/>
          <w:lang w:val="en-US" w:eastAsia="zh-CN"/>
        </w:rPr>
        <w:t>5.3技术架构要求</w:t>
      </w:r>
      <w:bookmarkEnd w:id="21"/>
    </w:p>
    <w:p w14:paraId="7D7933A8">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val="en-US" w:eastAsia="zh-CN"/>
        </w:rPr>
        <w:t>本项目若</w:t>
      </w:r>
      <w:r>
        <w:rPr>
          <w:rFonts w:hint="eastAsia" w:asciiTheme="minorEastAsia" w:hAnsiTheme="minorEastAsia" w:eastAsiaTheme="minorEastAsia" w:cstheme="minorEastAsia"/>
          <w:color w:val="000000"/>
          <w:sz w:val="24"/>
          <w:lang w:eastAsia="zh-CN"/>
        </w:rPr>
        <w:t>涉及软硬件</w:t>
      </w:r>
      <w:r>
        <w:rPr>
          <w:rFonts w:hint="eastAsia" w:asciiTheme="minorEastAsia" w:hAnsiTheme="minorEastAsia" w:eastAsiaTheme="minorEastAsia" w:cstheme="minorEastAsia"/>
          <w:color w:val="000000"/>
          <w:sz w:val="24"/>
          <w:lang w:val="en-US" w:eastAsia="zh-CN"/>
        </w:rPr>
        <w:t>开发/试制应</w:t>
      </w:r>
      <w:r>
        <w:rPr>
          <w:rFonts w:hint="eastAsia" w:asciiTheme="minorEastAsia" w:hAnsiTheme="minorEastAsia" w:eastAsiaTheme="minorEastAsia" w:cstheme="minorEastAsia"/>
          <w:color w:val="000000"/>
          <w:sz w:val="24"/>
          <w:lang w:eastAsia="zh-CN"/>
        </w:rPr>
        <w:t>符合自主可控要求：</w:t>
      </w:r>
    </w:p>
    <w:p w14:paraId="5CFDAB18">
      <w:pPr>
        <w:spacing w:line="360" w:lineRule="auto"/>
        <w:ind w:firstLine="480"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CPU：兼容自主可控CPU（ARM、X86、MIPS）架构。</w:t>
      </w:r>
    </w:p>
    <w:p w14:paraId="1F56E72B">
      <w:pPr>
        <w:spacing w:line="360" w:lineRule="auto"/>
        <w:ind w:firstLine="480"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lang w:eastAsia="zh-CN"/>
        </w:rPr>
        <w:t>）浏览器：兼容Chrome和Firefox内核浏览器。</w:t>
      </w:r>
    </w:p>
    <w:p w14:paraId="7FDC97E7">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3</w:t>
      </w:r>
      <w:r>
        <w:rPr>
          <w:rFonts w:hint="eastAsia" w:asciiTheme="minorEastAsia" w:hAnsiTheme="minorEastAsia" w:eastAsiaTheme="minorEastAsia" w:cstheme="minorEastAsia"/>
          <w:color w:val="000000"/>
          <w:sz w:val="24"/>
          <w:lang w:eastAsia="zh-CN"/>
        </w:rPr>
        <w:t>）操作系统：兼容</w:t>
      </w:r>
      <w:r>
        <w:rPr>
          <w:rFonts w:hint="eastAsia" w:asciiTheme="minorEastAsia" w:hAnsiTheme="minorEastAsia" w:eastAsiaTheme="minorEastAsia" w:cstheme="minorEastAsia"/>
          <w:color w:val="000000"/>
          <w:sz w:val="24"/>
          <w:lang w:val="en-US" w:eastAsia="zh-CN"/>
        </w:rPr>
        <w:t>UOS、麒麟等</w:t>
      </w:r>
      <w:r>
        <w:rPr>
          <w:rFonts w:hint="eastAsia" w:asciiTheme="minorEastAsia" w:hAnsiTheme="minorEastAsia" w:eastAsiaTheme="minorEastAsia" w:cstheme="minorEastAsia"/>
          <w:color w:val="000000"/>
          <w:sz w:val="24"/>
          <w:lang w:eastAsia="zh-CN"/>
        </w:rPr>
        <w:t>linux类型桌面操作系统和服务器自主可控操作系统。</w:t>
      </w:r>
    </w:p>
    <w:p w14:paraId="5271F915">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4</w:t>
      </w:r>
      <w:r>
        <w:rPr>
          <w:rFonts w:hint="eastAsia" w:asciiTheme="minorEastAsia" w:hAnsiTheme="minorEastAsia" w:eastAsiaTheme="minorEastAsia" w:cstheme="minorEastAsia"/>
          <w:color w:val="000000"/>
          <w:sz w:val="24"/>
          <w:lang w:eastAsia="zh-CN"/>
        </w:rPr>
        <w:t>）数据库中间件：可以兼容国内主流自主可控数据库、中间件。</w:t>
      </w:r>
    </w:p>
    <w:p w14:paraId="6C681CD7">
      <w:pPr>
        <w:spacing w:line="360" w:lineRule="auto"/>
        <w:ind w:firstLine="480" w:firstLineChars="2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w:t>
      </w:r>
      <w:r>
        <w:rPr>
          <w:rFonts w:hint="eastAsia" w:asciiTheme="minorEastAsia" w:hAnsiTheme="minorEastAsia" w:eastAsiaTheme="minorEastAsia" w:cstheme="minorEastAsia"/>
          <w:color w:val="000000"/>
          <w:sz w:val="24"/>
          <w:lang w:val="en-US" w:eastAsia="zh-CN"/>
        </w:rPr>
        <w:t>5</w:t>
      </w:r>
      <w:r>
        <w:rPr>
          <w:rFonts w:hint="eastAsia" w:asciiTheme="minorEastAsia" w:hAnsiTheme="minorEastAsia" w:eastAsiaTheme="minorEastAsia" w:cstheme="minorEastAsia"/>
          <w:color w:val="000000"/>
          <w:sz w:val="24"/>
          <w:lang w:eastAsia="zh-CN"/>
        </w:rPr>
        <w:t>）应用架构设计：应用架构具备在多种基础环境下运行的设计；（硬件层：需要除x86架构外如ARM架构或MISP架构运行；操作系统层：需要能在Windows系列、</w:t>
      </w:r>
      <w:r>
        <w:rPr>
          <w:rFonts w:hint="eastAsia" w:asciiTheme="minorEastAsia" w:hAnsiTheme="minorEastAsia" w:eastAsiaTheme="minorEastAsia" w:cstheme="minorEastAsia"/>
          <w:color w:val="000000"/>
          <w:sz w:val="24"/>
          <w:lang w:val="en-US" w:eastAsia="zh-CN"/>
        </w:rPr>
        <w:t>Linux</w:t>
      </w:r>
      <w:r>
        <w:rPr>
          <w:rFonts w:hint="eastAsia" w:asciiTheme="minorEastAsia" w:hAnsiTheme="minorEastAsia" w:eastAsiaTheme="minorEastAsia" w:cstheme="minorEastAsia"/>
          <w:color w:val="000000"/>
          <w:sz w:val="24"/>
          <w:lang w:eastAsia="zh-CN"/>
        </w:rPr>
        <w:t>系列运行）</w:t>
      </w:r>
    </w:p>
    <w:p w14:paraId="41E0A637">
      <w:pPr>
        <w:spacing w:line="360" w:lineRule="auto"/>
        <w:outlineLvl w:val="1"/>
        <w:rPr>
          <w:rFonts w:hint="default" w:ascii="黑体" w:hAnsi="黑体" w:eastAsia="黑体" w:cs="黑体"/>
          <w:bCs/>
          <w:sz w:val="24"/>
          <w:lang w:val="en-US" w:eastAsia="zh-CN"/>
        </w:rPr>
      </w:pPr>
    </w:p>
    <w:p w14:paraId="7716133B">
      <w:pPr>
        <w:spacing w:line="360" w:lineRule="auto"/>
        <w:outlineLvl w:val="1"/>
        <w:rPr>
          <w:rFonts w:ascii="黑体" w:hAnsi="黑体" w:eastAsia="黑体" w:cs="黑体"/>
          <w:bCs/>
          <w:sz w:val="24"/>
        </w:rPr>
      </w:pPr>
      <w:bookmarkStart w:id="22" w:name="_Toc6117"/>
      <w:r>
        <w:rPr>
          <w:rFonts w:hint="eastAsia" w:ascii="黑体" w:hAnsi="黑体" w:eastAsia="黑体" w:cs="黑体"/>
          <w:bCs/>
          <w:sz w:val="24"/>
        </w:rPr>
        <w:t>5.</w:t>
      </w:r>
      <w:r>
        <w:rPr>
          <w:rFonts w:hint="eastAsia" w:ascii="黑体" w:hAnsi="黑体" w:eastAsia="黑体" w:cs="黑体"/>
          <w:bCs/>
          <w:sz w:val="24"/>
          <w:lang w:val="en-US" w:eastAsia="zh-CN"/>
        </w:rPr>
        <w:t>4</w:t>
      </w:r>
      <w:r>
        <w:rPr>
          <w:rFonts w:hint="eastAsia" w:ascii="黑体" w:hAnsi="黑体" w:eastAsia="黑体" w:cs="黑体"/>
          <w:bCs/>
          <w:sz w:val="24"/>
        </w:rPr>
        <w:t>成果验收</w:t>
      </w:r>
      <w:bookmarkEnd w:id="22"/>
    </w:p>
    <w:p w14:paraId="5C8AA726">
      <w:pPr>
        <w:spacing w:line="360" w:lineRule="auto"/>
        <w:ind w:firstLine="480" w:firstLineChars="20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项目完成后，由甲方组织专家组对项目的主要技术指标、成果等进行验收。</w:t>
      </w:r>
    </w:p>
    <w:p w14:paraId="0817E7CF">
      <w:pPr>
        <w:spacing w:line="360" w:lineRule="auto"/>
        <w:rPr>
          <w:rFonts w:hint="default" w:eastAsia="宋体" w:asciiTheme="minorEastAsia" w:hAnsiTheme="minorEastAsia" w:cstheme="minorEastAsia"/>
          <w:color w:val="000000"/>
          <w:sz w:val="24"/>
          <w:highlight w:val="yellow"/>
          <w:lang w:val="en-US" w:eastAsia="zh-CN"/>
        </w:rPr>
      </w:pPr>
      <w:r>
        <w:rPr>
          <w:rFonts w:hint="eastAsia" w:asciiTheme="minorEastAsia" w:hAnsiTheme="minorEastAsia" w:eastAsiaTheme="minorEastAsia" w:cstheme="minorEastAsia"/>
          <w:color w:val="000000"/>
          <w:sz w:val="24"/>
          <w:highlight w:val="none"/>
          <w:lang w:val="en-US" w:eastAsia="zh-CN"/>
        </w:rPr>
        <w:t>成果1：</w:t>
      </w:r>
      <w:r>
        <w:rPr>
          <w:rFonts w:hint="eastAsia"/>
          <w:sz w:val="24"/>
          <w:szCs w:val="24"/>
        </w:rPr>
        <w:t>角钢塔自主攀爬作业机器人</w:t>
      </w:r>
      <w:r>
        <w:rPr>
          <w:rFonts w:hint="eastAsia"/>
          <w:sz w:val="24"/>
          <w:szCs w:val="24"/>
          <w:lang w:val="en-US" w:eastAsia="zh-CN"/>
        </w:rPr>
        <w:t>技术研究</w:t>
      </w:r>
    </w:p>
    <w:tbl>
      <w:tblPr>
        <w:tblStyle w:val="12"/>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418"/>
        <w:gridCol w:w="2410"/>
        <w:gridCol w:w="2268"/>
        <w:gridCol w:w="1842"/>
      </w:tblGrid>
      <w:tr w14:paraId="1741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2" w:type="dxa"/>
            <w:vAlign w:val="center"/>
          </w:tcPr>
          <w:p w14:paraId="7CB2041A">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序号</w:t>
            </w:r>
          </w:p>
        </w:tc>
        <w:tc>
          <w:tcPr>
            <w:tcW w:w="1418" w:type="dxa"/>
            <w:vAlign w:val="center"/>
          </w:tcPr>
          <w:p w14:paraId="07DFCF83">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考核指标</w:t>
            </w:r>
          </w:p>
          <w:p w14:paraId="02CF43C8">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名称</w:t>
            </w:r>
          </w:p>
        </w:tc>
        <w:tc>
          <w:tcPr>
            <w:tcW w:w="2410" w:type="dxa"/>
            <w:vAlign w:val="center"/>
          </w:tcPr>
          <w:p w14:paraId="71707C43">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考核指标定义</w:t>
            </w:r>
          </w:p>
        </w:tc>
        <w:tc>
          <w:tcPr>
            <w:tcW w:w="2268" w:type="dxa"/>
            <w:vAlign w:val="center"/>
          </w:tcPr>
          <w:p w14:paraId="1029D4EF">
            <w:pPr>
              <w:adjustRightInd w:val="0"/>
              <w:snapToGrid w:val="0"/>
              <w:jc w:val="center"/>
              <w:rPr>
                <w:rFonts w:hint="eastAsia" w:ascii="宋体" w:hAnsi="宋体" w:eastAsia="宋体" w:cs="宋体"/>
                <w:color w:val="000000"/>
                <w:spacing w:val="-4"/>
                <w:sz w:val="21"/>
                <w:szCs w:val="21"/>
              </w:rPr>
            </w:pPr>
            <w:r>
              <w:rPr>
                <w:rFonts w:hint="eastAsia" w:ascii="宋体" w:hAnsi="宋体" w:eastAsia="宋体" w:cs="宋体"/>
                <w:color w:val="000000"/>
                <w:spacing w:val="-4"/>
                <w:sz w:val="21"/>
                <w:szCs w:val="21"/>
              </w:rPr>
              <w:t>验收时指标值/状态</w:t>
            </w:r>
          </w:p>
        </w:tc>
        <w:tc>
          <w:tcPr>
            <w:tcW w:w="1842" w:type="dxa"/>
            <w:vAlign w:val="center"/>
          </w:tcPr>
          <w:p w14:paraId="1C1939E4">
            <w:pPr>
              <w:adjustRightInd w:val="0"/>
              <w:snapToGrid w:val="0"/>
              <w:jc w:val="center"/>
              <w:rPr>
                <w:rFonts w:hint="eastAsia" w:ascii="宋体" w:hAnsi="宋体" w:eastAsia="宋体" w:cs="宋体"/>
                <w:color w:val="000000"/>
                <w:spacing w:val="-4"/>
                <w:sz w:val="21"/>
                <w:szCs w:val="21"/>
              </w:rPr>
            </w:pPr>
            <w:r>
              <w:rPr>
                <w:rFonts w:hint="eastAsia" w:ascii="宋体" w:hAnsi="宋体" w:eastAsia="宋体" w:cs="宋体"/>
                <w:color w:val="000000"/>
                <w:spacing w:val="-4"/>
                <w:sz w:val="21"/>
                <w:szCs w:val="21"/>
              </w:rPr>
              <w:t>考核方式（方法）及评价手段</w:t>
            </w:r>
          </w:p>
        </w:tc>
      </w:tr>
      <w:tr w14:paraId="5A06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2" w:type="dxa"/>
            <w:vAlign w:val="center"/>
          </w:tcPr>
          <w:p w14:paraId="09B97906">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1</w:t>
            </w:r>
          </w:p>
        </w:tc>
        <w:tc>
          <w:tcPr>
            <w:tcW w:w="1418" w:type="dxa"/>
            <w:vAlign w:val="center"/>
          </w:tcPr>
          <w:p w14:paraId="02A071AE">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攀爬速度</w:t>
            </w:r>
          </w:p>
        </w:tc>
        <w:tc>
          <w:tcPr>
            <w:tcW w:w="2410" w:type="dxa"/>
            <w:vAlign w:val="center"/>
          </w:tcPr>
          <w:p w14:paraId="4CC111B4">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正常作业条件下，机器人在塔上每分钟运动的距离</w:t>
            </w:r>
          </w:p>
        </w:tc>
        <w:tc>
          <w:tcPr>
            <w:tcW w:w="2268" w:type="dxa"/>
            <w:vAlign w:val="center"/>
          </w:tcPr>
          <w:p w14:paraId="6B5EA3AB">
            <w:pPr>
              <w:rPr>
                <w:rFonts w:hint="eastAsia" w:ascii="宋体" w:hAnsi="宋体" w:eastAsia="宋体" w:cs="宋体"/>
                <w:sz w:val="21"/>
                <w:szCs w:val="21"/>
              </w:rPr>
            </w:pPr>
            <w:r>
              <w:rPr>
                <w:rFonts w:hint="eastAsia" w:ascii="宋体" w:hAnsi="宋体" w:eastAsia="宋体" w:cs="宋体"/>
                <w:sz w:val="21"/>
                <w:szCs w:val="21"/>
              </w:rPr>
              <w:t>攀爬速度≥1.5米/分钟</w:t>
            </w:r>
          </w:p>
        </w:tc>
        <w:tc>
          <w:tcPr>
            <w:tcW w:w="1842" w:type="dxa"/>
            <w:vAlign w:val="center"/>
          </w:tcPr>
          <w:p w14:paraId="63B398DE">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第三方测试</w:t>
            </w:r>
          </w:p>
        </w:tc>
      </w:tr>
      <w:tr w14:paraId="0EB1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2" w:type="dxa"/>
            <w:vAlign w:val="center"/>
          </w:tcPr>
          <w:p w14:paraId="47B41619">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2</w:t>
            </w:r>
          </w:p>
        </w:tc>
        <w:tc>
          <w:tcPr>
            <w:tcW w:w="1418" w:type="dxa"/>
            <w:vAlign w:val="center"/>
          </w:tcPr>
          <w:p w14:paraId="74ED06DC">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机器人负载能力</w:t>
            </w:r>
          </w:p>
        </w:tc>
        <w:tc>
          <w:tcPr>
            <w:tcW w:w="2410" w:type="dxa"/>
            <w:vAlign w:val="center"/>
          </w:tcPr>
          <w:p w14:paraId="5E6BBCFD">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除却自重外，机器人能够携带额外物体的质量</w:t>
            </w:r>
          </w:p>
        </w:tc>
        <w:tc>
          <w:tcPr>
            <w:tcW w:w="2268" w:type="dxa"/>
            <w:vAlign w:val="center"/>
          </w:tcPr>
          <w:p w14:paraId="716862F1">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机器人负载≥20KG</w:t>
            </w:r>
          </w:p>
        </w:tc>
        <w:tc>
          <w:tcPr>
            <w:tcW w:w="1842" w:type="dxa"/>
            <w:vAlign w:val="center"/>
          </w:tcPr>
          <w:p w14:paraId="06137CF4">
            <w:pPr>
              <w:jc w:val="center"/>
              <w:rPr>
                <w:rFonts w:hint="eastAsia" w:ascii="宋体" w:hAnsi="宋体" w:eastAsia="宋体" w:cs="宋体"/>
                <w:sz w:val="21"/>
                <w:szCs w:val="21"/>
              </w:rPr>
            </w:pPr>
            <w:r>
              <w:rPr>
                <w:rFonts w:hint="eastAsia" w:ascii="宋体" w:hAnsi="宋体" w:eastAsia="宋体" w:cs="宋体"/>
                <w:sz w:val="21"/>
                <w:szCs w:val="21"/>
              </w:rPr>
              <w:t>第三方测试</w:t>
            </w:r>
          </w:p>
        </w:tc>
      </w:tr>
      <w:tr w14:paraId="5CA0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2" w:type="dxa"/>
            <w:vAlign w:val="center"/>
          </w:tcPr>
          <w:p w14:paraId="4DF4DD55">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3</w:t>
            </w:r>
          </w:p>
        </w:tc>
        <w:tc>
          <w:tcPr>
            <w:tcW w:w="1418" w:type="dxa"/>
            <w:vAlign w:val="center"/>
          </w:tcPr>
          <w:p w14:paraId="3F2BBA3F">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复合控制系统规划响应时间</w:t>
            </w:r>
          </w:p>
        </w:tc>
        <w:tc>
          <w:tcPr>
            <w:tcW w:w="2410" w:type="dxa"/>
            <w:vAlign w:val="center"/>
          </w:tcPr>
          <w:p w14:paraId="35D8921B">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系统从接收到任务/控制输入到生成可执行规划结果的时间</w:t>
            </w:r>
          </w:p>
        </w:tc>
        <w:tc>
          <w:tcPr>
            <w:tcW w:w="2268" w:type="dxa"/>
            <w:vAlign w:val="center"/>
          </w:tcPr>
          <w:p w14:paraId="7A761F76">
            <w:pPr>
              <w:rPr>
                <w:rFonts w:hint="eastAsia" w:ascii="宋体" w:hAnsi="宋体" w:eastAsia="宋体" w:cs="宋体"/>
                <w:sz w:val="21"/>
                <w:szCs w:val="21"/>
              </w:rPr>
            </w:pPr>
            <w:r>
              <w:rPr>
                <w:rFonts w:hint="eastAsia" w:ascii="宋体" w:hAnsi="宋体" w:eastAsia="宋体" w:cs="宋体"/>
                <w:sz w:val="21"/>
                <w:szCs w:val="21"/>
              </w:rPr>
              <w:t>复合控制系统规划响应时间＜300ms</w:t>
            </w:r>
          </w:p>
        </w:tc>
        <w:tc>
          <w:tcPr>
            <w:tcW w:w="1842" w:type="dxa"/>
            <w:vAlign w:val="center"/>
          </w:tcPr>
          <w:p w14:paraId="06D2795A">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第三方测试</w:t>
            </w:r>
          </w:p>
        </w:tc>
      </w:tr>
      <w:tr w14:paraId="1439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2" w:type="dxa"/>
            <w:vAlign w:val="center"/>
          </w:tcPr>
          <w:p w14:paraId="1CCF095F">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4</w:t>
            </w:r>
          </w:p>
        </w:tc>
        <w:tc>
          <w:tcPr>
            <w:tcW w:w="1418" w:type="dxa"/>
            <w:vAlign w:val="center"/>
          </w:tcPr>
          <w:p w14:paraId="747DFB57">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遥操作能力及控制延迟</w:t>
            </w:r>
          </w:p>
        </w:tc>
        <w:tc>
          <w:tcPr>
            <w:tcW w:w="2410" w:type="dxa"/>
            <w:vAlign w:val="center"/>
          </w:tcPr>
          <w:p w14:paraId="0B395F31">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机器人具备远程遥操作能力，且在远程遥操作模式下的从接收信号到动作响应所需时间</w:t>
            </w:r>
          </w:p>
        </w:tc>
        <w:tc>
          <w:tcPr>
            <w:tcW w:w="2268" w:type="dxa"/>
            <w:vAlign w:val="center"/>
          </w:tcPr>
          <w:p w14:paraId="4773E692">
            <w:pPr>
              <w:rPr>
                <w:rFonts w:hint="eastAsia" w:ascii="宋体" w:hAnsi="宋体" w:eastAsia="宋体" w:cs="宋体"/>
                <w:sz w:val="21"/>
                <w:szCs w:val="21"/>
              </w:rPr>
            </w:pPr>
            <w:r>
              <w:rPr>
                <w:rFonts w:hint="eastAsia" w:ascii="宋体" w:hAnsi="宋体" w:eastAsia="宋体" w:cs="宋体"/>
                <w:sz w:val="21"/>
                <w:szCs w:val="21"/>
              </w:rPr>
              <w:t>遥操作控制延迟＜100ms</w:t>
            </w:r>
          </w:p>
        </w:tc>
        <w:tc>
          <w:tcPr>
            <w:tcW w:w="1842" w:type="dxa"/>
            <w:vAlign w:val="center"/>
          </w:tcPr>
          <w:p w14:paraId="794A42DC">
            <w:pPr>
              <w:adjustRightInd w:val="0"/>
              <w:snapToGrid w:val="0"/>
              <w:jc w:val="center"/>
              <w:textAlignment w:val="baseline"/>
              <w:rPr>
                <w:rFonts w:hint="eastAsia" w:ascii="宋体" w:hAnsi="宋体" w:eastAsia="宋体" w:cs="宋体"/>
                <w:sz w:val="21"/>
                <w:szCs w:val="21"/>
              </w:rPr>
            </w:pPr>
            <w:r>
              <w:rPr>
                <w:rFonts w:hint="eastAsia" w:ascii="宋体" w:hAnsi="宋体" w:eastAsia="宋体" w:cs="宋体"/>
                <w:sz w:val="21"/>
                <w:szCs w:val="21"/>
              </w:rPr>
              <w:t>第三方测试</w:t>
            </w:r>
          </w:p>
        </w:tc>
      </w:tr>
    </w:tbl>
    <w:p w14:paraId="389D52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成果2：《角钢塔自主攀爬机器人技术研究报告》1份；</w:t>
      </w:r>
    </w:p>
    <w:p w14:paraId="33812E9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评测方式：专家评审。</w:t>
      </w:r>
    </w:p>
    <w:p w14:paraId="51DFFCA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s="黑体" w:asciiTheme="minorEastAsia" w:hAnsiTheme="minorEastAsia" w:eastAsiaTheme="minorEastAsia"/>
          <w:bCs/>
          <w:kern w:val="2"/>
          <w:sz w:val="24"/>
          <w:szCs w:val="24"/>
          <w:lang w:val="en-US" w:eastAsia="zh-CN" w:bidi="ar-SA"/>
        </w:rPr>
      </w:pPr>
    </w:p>
    <w:p w14:paraId="3AC5DE7B">
      <w:pPr>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成果3：第三方型式试验报告（含关键检测项）；</w:t>
      </w:r>
    </w:p>
    <w:p w14:paraId="4B7CC256">
      <w:pPr>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评测方式：专家评审。</w:t>
      </w:r>
    </w:p>
    <w:p w14:paraId="3818A248">
      <w:pPr>
        <w:pStyle w:val="24"/>
        <w:numPr>
          <w:ilvl w:val="0"/>
          <w:numId w:val="0"/>
        </w:numPr>
        <w:ind w:leftChars="0"/>
        <w:rPr>
          <w:rFonts w:hint="eastAsia" w:cs="黑体" w:asciiTheme="minorEastAsia" w:hAnsiTheme="minorEastAsia" w:eastAsiaTheme="minorEastAsia"/>
          <w:bCs/>
          <w:kern w:val="2"/>
          <w:sz w:val="24"/>
          <w:szCs w:val="24"/>
          <w:lang w:val="en-US" w:eastAsia="zh-CN" w:bidi="ar-SA"/>
        </w:rPr>
      </w:pPr>
    </w:p>
    <w:p w14:paraId="0E8C1A48">
      <w:pPr>
        <w:pStyle w:val="24"/>
        <w:numPr>
          <w:ilvl w:val="0"/>
          <w:numId w:val="0"/>
        </w:numPr>
        <w:ind w:leftChars="0"/>
        <w:rPr>
          <w:rFonts w:hint="eastAsia" w:cs="黑体" w:asciiTheme="minorEastAsia" w:hAnsiTheme="minorEastAsia" w:eastAsiaTheme="minorEastAsia"/>
          <w:bCs/>
          <w:kern w:val="2"/>
          <w:sz w:val="24"/>
          <w:szCs w:val="24"/>
          <w:lang w:val="en-US" w:eastAsia="zh-CN" w:bidi="ar-SA"/>
        </w:rPr>
      </w:pPr>
      <w:r>
        <w:rPr>
          <w:rFonts w:hint="eastAsia" w:cs="黑体" w:asciiTheme="minorEastAsia" w:hAnsiTheme="minorEastAsia" w:eastAsiaTheme="minorEastAsia"/>
          <w:bCs/>
          <w:kern w:val="2"/>
          <w:sz w:val="24"/>
          <w:szCs w:val="24"/>
          <w:lang w:val="en-US" w:eastAsia="zh-CN" w:bidi="ar-SA"/>
        </w:rPr>
        <w:t>成果4：乙方根据甲方需求，协助提供7件项目相关发明专利选题、文献检索、论证方法、数据分析、文本修改的指导服务，直至发明专利受理。</w:t>
      </w:r>
    </w:p>
    <w:p w14:paraId="116A8B4C">
      <w:pPr>
        <w:pStyle w:val="24"/>
        <w:numPr>
          <w:ilvl w:val="0"/>
          <w:numId w:val="0"/>
        </w:numPr>
        <w:ind w:leftChars="0"/>
        <w:rPr>
          <w:rFonts w:hint="eastAsia" w:ascii="黑体" w:hAnsi="黑体" w:eastAsia="黑体" w:cs="黑体"/>
          <w:bCs/>
          <w:sz w:val="24"/>
        </w:rPr>
      </w:pPr>
      <w:r>
        <w:rPr>
          <w:rFonts w:hint="eastAsia" w:asciiTheme="minorEastAsia" w:hAnsiTheme="minorEastAsia" w:eastAsiaTheme="minorEastAsia" w:cstheme="minorEastAsia"/>
          <w:color w:val="000000"/>
          <w:sz w:val="24"/>
        </w:rPr>
        <w:t>评测方式：发明专利受理通知书。</w:t>
      </w:r>
    </w:p>
    <w:p w14:paraId="0556EFE6">
      <w:pPr>
        <w:pStyle w:val="21"/>
        <w:spacing w:before="312"/>
        <w:outlineLvl w:val="0"/>
        <w:rPr>
          <w:rFonts w:ascii="黑体" w:hAnsi="黑体" w:eastAsia="黑体" w:cs="黑体"/>
          <w:sz w:val="28"/>
          <w:szCs w:val="28"/>
        </w:rPr>
      </w:pPr>
      <w:bookmarkStart w:id="23" w:name="_Toc30047"/>
      <w:r>
        <w:rPr>
          <w:rFonts w:hint="eastAsia" w:ascii="黑体" w:hAnsi="黑体" w:eastAsia="黑体" w:cs="黑体"/>
          <w:sz w:val="28"/>
          <w:szCs w:val="28"/>
        </w:rPr>
        <w:t>6  投标技术文件要求</w:t>
      </w:r>
      <w:bookmarkEnd w:id="23"/>
    </w:p>
    <w:p w14:paraId="0BCAF44D">
      <w:pPr>
        <w:spacing w:line="360" w:lineRule="auto"/>
        <w:outlineLvl w:val="1"/>
        <w:rPr>
          <w:rFonts w:ascii="黑体" w:hAnsi="黑体" w:eastAsia="黑体" w:cs="黑体"/>
          <w:bCs/>
          <w:sz w:val="24"/>
        </w:rPr>
      </w:pPr>
      <w:bookmarkStart w:id="24" w:name="_Toc26928"/>
      <w:r>
        <w:rPr>
          <w:rFonts w:hint="eastAsia" w:ascii="黑体" w:hAnsi="黑体" w:eastAsia="黑体" w:cs="黑体"/>
          <w:bCs/>
          <w:sz w:val="24"/>
        </w:rPr>
        <w:t>6.1 研究方案</w:t>
      </w:r>
      <w:bookmarkEnd w:id="24"/>
    </w:p>
    <w:p w14:paraId="522BEE9E">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（1）项目技术路线</w:t>
      </w:r>
    </w:p>
    <w:p w14:paraId="43E368FF">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项目实施的总体研究思路和总体框架。</w:t>
      </w:r>
    </w:p>
    <w:p w14:paraId="4127CECB">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（2）技术方案</w:t>
      </w:r>
    </w:p>
    <w:p w14:paraId="160358E8">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投标方应针对每项研究内容提供详尽的技术解决方案。</w:t>
      </w:r>
    </w:p>
    <w:p w14:paraId="06F17401">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（3）重点解决的技术难题</w:t>
      </w:r>
    </w:p>
    <w:p w14:paraId="68C80628">
      <w:pPr>
        <w:pStyle w:val="24"/>
        <w:numPr>
          <w:ilvl w:val="0"/>
          <w:numId w:val="5"/>
        </w:numPr>
        <w:spacing w:line="360" w:lineRule="auto"/>
        <w:ind w:firstLineChars="0"/>
        <w:outlineLvl w:val="2"/>
        <w:rPr>
          <w:rFonts w:hint="eastAsia" w:asciiTheme="minorEastAsia" w:hAnsiTheme="minorEastAsia" w:eastAsiaTheme="minorEastAsia" w:cstheme="minorEastAsia"/>
          <w:sz w:val="24"/>
          <w:highlight w:val="none"/>
        </w:rPr>
      </w:pPr>
      <w:r>
        <w:rPr>
          <w:rFonts w:asciiTheme="minorEastAsia" w:hAnsiTheme="minorEastAsia" w:eastAsiaTheme="minorEastAsia" w:cstheme="minorEastAsia"/>
          <w:sz w:val="24"/>
          <w:highlight w:val="none"/>
        </w:rPr>
        <w:t>针对角钢塔杆件交错、节点复杂等特点，研究</w:t>
      </w:r>
      <w:r>
        <w:rPr>
          <w:rFonts w:hint="eastAsia" w:asciiTheme="minorEastAsia" w:hAnsiTheme="minorEastAsia" w:eastAsiaTheme="minorEastAsia" w:cstheme="minorEastAsia"/>
          <w:sz w:val="24"/>
          <w:highlight w:val="none"/>
        </w:rPr>
        <w:t>合适</w:t>
      </w:r>
      <w:r>
        <w:rPr>
          <w:rFonts w:asciiTheme="minorEastAsia" w:hAnsiTheme="minorEastAsia" w:eastAsiaTheme="minorEastAsia" w:cstheme="minorEastAsia"/>
          <w:sz w:val="24"/>
          <w:highlight w:val="none"/>
        </w:rPr>
        <w:t>的攀爬移动方式，设计具备稳定夹持、可靠附着、灵活移动和一定越障能力的机器人移动底座，提高机器人在复杂塔体结构中的运动稳定性与环境适应能力。</w:t>
      </w:r>
    </w:p>
    <w:p w14:paraId="4699AFA0">
      <w:pPr>
        <w:pStyle w:val="24"/>
        <w:numPr>
          <w:ilvl w:val="0"/>
          <w:numId w:val="5"/>
        </w:numPr>
        <w:spacing w:line="360" w:lineRule="auto"/>
        <w:ind w:firstLineChars="0"/>
        <w:outlineLvl w:val="2"/>
        <w:rPr>
          <w:rFonts w:hint="eastAsia" w:asciiTheme="minorEastAsia" w:hAnsiTheme="minorEastAsia" w:eastAsiaTheme="minorEastAsia" w:cstheme="minorEastAsia"/>
          <w:sz w:val="24"/>
          <w:highlight w:val="none"/>
        </w:rPr>
      </w:pPr>
      <w:r>
        <w:rPr>
          <w:rFonts w:asciiTheme="minorEastAsia" w:hAnsiTheme="minorEastAsia" w:eastAsiaTheme="minorEastAsia" w:cstheme="minorEastAsia"/>
          <w:sz w:val="24"/>
          <w:highlight w:val="none"/>
        </w:rPr>
        <w:t>针对高空作业环境中目标尺度小、背景复杂、平台算力受限及运动安全要求高等问题，开发轻量化多源感知模型与自主移动控制算法，实现作业目标的准确检测定位，并构建安全、稳定、高效的路径规划与运动控制框架，提升机器人自主作业的可靠性与效率。</w:t>
      </w:r>
    </w:p>
    <w:p w14:paraId="69F63D0F">
      <w:pPr>
        <w:spacing w:line="360" w:lineRule="auto"/>
        <w:outlineLvl w:val="2"/>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（4）主要技术指标实现的可行性</w:t>
      </w:r>
    </w:p>
    <w:p w14:paraId="21AD7BAC">
      <w:pPr>
        <w:spacing w:line="360" w:lineRule="auto"/>
        <w:outlineLvl w:val="1"/>
        <w:rPr>
          <w:rFonts w:ascii="黑体" w:hAnsi="黑体" w:eastAsia="黑体" w:cs="黑体"/>
          <w:bCs/>
          <w:sz w:val="24"/>
        </w:rPr>
      </w:pPr>
      <w:bookmarkStart w:id="25" w:name="_Toc3443"/>
      <w:bookmarkStart w:id="26" w:name="_Toc12714"/>
      <w:r>
        <w:rPr>
          <w:rFonts w:hint="eastAsia" w:ascii="黑体" w:hAnsi="黑体" w:eastAsia="黑体" w:cs="黑体"/>
          <w:bCs/>
          <w:sz w:val="24"/>
        </w:rPr>
        <w:t>6.2 项目管理实施</w:t>
      </w:r>
      <w:bookmarkEnd w:id="25"/>
      <w:bookmarkEnd w:id="26"/>
    </w:p>
    <w:p w14:paraId="2DAF4AB1">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（1）项目人员组织</w:t>
      </w:r>
    </w:p>
    <w:p w14:paraId="23F4CF5D">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介绍项目人员组织情况、职责分工。</w:t>
      </w:r>
    </w:p>
    <w:p w14:paraId="66AA4533">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（2）项目进度</w:t>
      </w:r>
    </w:p>
    <w:p w14:paraId="0986869A">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提交详细的项目实施计划，明确里程碑。</w:t>
      </w:r>
    </w:p>
    <w:p w14:paraId="39044985">
      <w:pPr>
        <w:spacing w:line="360" w:lineRule="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（3）项目交付项</w:t>
      </w:r>
    </w:p>
    <w:p w14:paraId="1E50B118">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说明项目阶段任务完成后，投标方根据成果交付与验收要求应提交给招标方的产品、服务以及交接文件等，并附上相应的交付时间计划表。</w:t>
      </w:r>
    </w:p>
    <w:p w14:paraId="0A9D1506">
      <w:pPr>
        <w:spacing w:line="360" w:lineRule="auto"/>
        <w:outlineLvl w:val="1"/>
        <w:rPr>
          <w:rFonts w:ascii="黑体" w:hAnsi="黑体" w:eastAsia="黑体" w:cs="黑体"/>
          <w:bCs/>
          <w:sz w:val="24"/>
        </w:rPr>
      </w:pPr>
      <w:bookmarkStart w:id="27" w:name="_Toc29755"/>
      <w:r>
        <w:rPr>
          <w:rFonts w:hint="eastAsia" w:ascii="黑体" w:hAnsi="黑体" w:eastAsia="黑体" w:cs="黑体"/>
          <w:bCs/>
          <w:sz w:val="24"/>
        </w:rPr>
        <w:t>6.3 项目技术支撑能力</w:t>
      </w:r>
      <w:bookmarkEnd w:id="27"/>
    </w:p>
    <w:p w14:paraId="79BBE13E">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（1）项目经验</w:t>
      </w:r>
    </w:p>
    <w:p w14:paraId="5A3B8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该部分填写与标的物相关的项目研究经验、合同情况、论文专利和获奖情况。</w:t>
      </w:r>
    </w:p>
    <w:p w14:paraId="2250DD02">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（2）人员支撑能力</w:t>
      </w:r>
    </w:p>
    <w:p w14:paraId="51755E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该部分填写与标的物相关的本项目研究成员详细资料（包括学历、资质、研究方向/工作经验等），提供</w:t>
      </w:r>
      <w:r>
        <w:rPr>
          <w:rFonts w:hint="eastAsia" w:asciiTheme="minorEastAsia" w:hAnsiTheme="minorEastAsia" w:eastAsiaTheme="minorEastAsia" w:cstheme="minorEastAsia"/>
          <w:color w:val="000000"/>
          <w:sz w:val="24"/>
          <w:lang w:val="en-US" w:eastAsia="zh-CN"/>
        </w:rPr>
        <w:t>相关支撑材料</w:t>
      </w:r>
      <w:r>
        <w:rPr>
          <w:rFonts w:hint="eastAsia" w:asciiTheme="minorEastAsia" w:hAnsiTheme="minorEastAsia" w:eastAsiaTheme="minorEastAsia" w:cstheme="minorEastAsia"/>
          <w:color w:val="000000"/>
          <w:sz w:val="24"/>
        </w:rPr>
        <w:t>。</w:t>
      </w:r>
    </w:p>
    <w:p w14:paraId="19BBD09E">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（3）设备支撑能力</w:t>
      </w:r>
    </w:p>
    <w:p w14:paraId="48CFE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该部分填写与标的物相关的、支撑该项目研究的设备、平台、实验室等。</w:t>
      </w:r>
    </w:p>
    <w:p w14:paraId="35514C45">
      <w:pPr>
        <w:spacing w:line="360" w:lineRule="auto"/>
        <w:outlineLvl w:val="1"/>
        <w:rPr>
          <w:rFonts w:ascii="黑体" w:hAnsi="黑体" w:eastAsia="黑体" w:cs="黑体"/>
          <w:bCs/>
          <w:sz w:val="24"/>
        </w:rPr>
      </w:pPr>
      <w:bookmarkStart w:id="28" w:name="_Toc25058"/>
      <w:bookmarkStart w:id="29" w:name="_Toc3357"/>
      <w:r>
        <w:rPr>
          <w:rFonts w:hint="eastAsia" w:ascii="黑体" w:hAnsi="黑体" w:eastAsia="黑体" w:cs="黑体"/>
          <w:bCs/>
          <w:sz w:val="24"/>
        </w:rPr>
        <w:t>6.4 技术支持与售后服务</w:t>
      </w:r>
      <w:bookmarkEnd w:id="28"/>
      <w:bookmarkEnd w:id="29"/>
    </w:p>
    <w:p w14:paraId="07C08F65">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投标方要明确所能提供的服务内容，服务方式，服务承诺和售后服务等情况。</w:t>
      </w:r>
    </w:p>
    <w:p w14:paraId="6F24D483">
      <w:pPr>
        <w:spacing w:line="360" w:lineRule="auto"/>
        <w:outlineLvl w:val="1"/>
        <w:rPr>
          <w:rFonts w:ascii="黑体" w:hAnsi="黑体" w:eastAsia="黑体" w:cs="黑体"/>
          <w:bCs/>
          <w:sz w:val="24"/>
        </w:rPr>
      </w:pPr>
      <w:bookmarkStart w:id="30" w:name="_Toc17138"/>
      <w:r>
        <w:rPr>
          <w:rFonts w:hint="eastAsia" w:ascii="黑体" w:hAnsi="黑体" w:eastAsia="黑体" w:cs="黑体"/>
          <w:bCs/>
          <w:sz w:val="24"/>
        </w:rPr>
        <w:t>6.5 技术差异表</w:t>
      </w:r>
      <w:bookmarkEnd w:id="30"/>
    </w:p>
    <w:p w14:paraId="41A29A95">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投标方应针对主要技术指标要求、成果交付数量要求等填写响应的差异情况。</w:t>
      </w:r>
    </w:p>
    <w:p w14:paraId="4CFED534">
      <w:pPr>
        <w:spacing w:line="360" w:lineRule="auto"/>
        <w:jc w:val="center"/>
        <w:rPr>
          <w:rFonts w:ascii="黑体" w:hAnsi="黑体" w:eastAsia="黑体" w:cs="黑体"/>
          <w:bCs/>
          <w:color w:val="000000"/>
          <w:szCs w:val="21"/>
        </w:rPr>
      </w:pPr>
      <w:r>
        <w:rPr>
          <w:rFonts w:hint="eastAsia" w:ascii="黑体" w:hAnsi="黑体" w:eastAsia="黑体" w:cs="黑体"/>
          <w:bCs/>
          <w:color w:val="000000"/>
          <w:szCs w:val="21"/>
        </w:rPr>
        <w:t>表6.1 技术指标差异表（投标方填写）</w:t>
      </w:r>
    </w:p>
    <w:tbl>
      <w:tblPr>
        <w:tblStyle w:val="13"/>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466270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7CED6CF4">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序号</w:t>
            </w:r>
          </w:p>
        </w:tc>
        <w:tc>
          <w:tcPr>
            <w:tcW w:w="1782" w:type="dxa"/>
            <w:tcBorders>
              <w:tl2br w:val="nil"/>
              <w:tr2bl w:val="nil"/>
            </w:tcBorders>
            <w:vAlign w:val="center"/>
          </w:tcPr>
          <w:p w14:paraId="0F2EF65E">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名称</w:t>
            </w:r>
          </w:p>
          <w:p w14:paraId="55329840">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（技术指标/成果要求）</w:t>
            </w:r>
          </w:p>
        </w:tc>
        <w:tc>
          <w:tcPr>
            <w:tcW w:w="1574" w:type="dxa"/>
            <w:tcBorders>
              <w:tl2br w:val="nil"/>
              <w:tr2bl w:val="nil"/>
            </w:tcBorders>
            <w:vAlign w:val="center"/>
          </w:tcPr>
          <w:p w14:paraId="72C3390C">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招标方要求值</w:t>
            </w:r>
          </w:p>
        </w:tc>
        <w:tc>
          <w:tcPr>
            <w:tcW w:w="1485" w:type="dxa"/>
            <w:tcBorders>
              <w:tl2br w:val="nil"/>
              <w:tr2bl w:val="nil"/>
            </w:tcBorders>
            <w:vAlign w:val="center"/>
          </w:tcPr>
          <w:p w14:paraId="4BE0F193">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投标方保证值</w:t>
            </w:r>
          </w:p>
        </w:tc>
        <w:tc>
          <w:tcPr>
            <w:tcW w:w="1713" w:type="dxa"/>
            <w:tcBorders>
              <w:tl2br w:val="nil"/>
              <w:tr2bl w:val="nil"/>
            </w:tcBorders>
            <w:vAlign w:val="center"/>
          </w:tcPr>
          <w:p w14:paraId="02B6B694">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关键指标允许响应情况（正偏差/负偏差/无偏差）</w:t>
            </w:r>
          </w:p>
        </w:tc>
        <w:tc>
          <w:tcPr>
            <w:tcW w:w="1351" w:type="dxa"/>
            <w:tcBorders>
              <w:tl2br w:val="nil"/>
              <w:tr2bl w:val="nil"/>
            </w:tcBorders>
            <w:vAlign w:val="center"/>
          </w:tcPr>
          <w:p w14:paraId="4718B9E3">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lang w:bidi="ar"/>
              </w:rPr>
              <w:t>技术方案或保障措施所在的页码</w:t>
            </w:r>
          </w:p>
        </w:tc>
      </w:tr>
      <w:tr w14:paraId="3A19B6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721D7D27">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782" w:type="dxa"/>
            <w:tcBorders>
              <w:tl2br w:val="nil"/>
              <w:tr2bl w:val="nil"/>
            </w:tcBorders>
            <w:vAlign w:val="center"/>
          </w:tcPr>
          <w:p w14:paraId="6EB7CFC1">
            <w:pPr>
              <w:jc w:val="center"/>
              <w:rPr>
                <w:rFonts w:asciiTheme="minorEastAsia" w:hAnsiTheme="minorEastAsia" w:eastAsiaTheme="minorEastAsia" w:cstheme="minorEastAsia"/>
                <w:szCs w:val="21"/>
                <w:highlight w:val="yellow"/>
              </w:rPr>
            </w:pPr>
          </w:p>
        </w:tc>
        <w:tc>
          <w:tcPr>
            <w:tcW w:w="1574" w:type="dxa"/>
            <w:tcBorders>
              <w:tl2br w:val="nil"/>
              <w:tr2bl w:val="nil"/>
            </w:tcBorders>
            <w:vAlign w:val="center"/>
          </w:tcPr>
          <w:p w14:paraId="5A23B179">
            <w:pPr>
              <w:jc w:val="center"/>
              <w:rPr>
                <w:rFonts w:asciiTheme="minorEastAsia" w:hAnsiTheme="minorEastAsia" w:eastAsiaTheme="minorEastAsia" w:cstheme="minorEastAsia"/>
                <w:szCs w:val="21"/>
                <w:highlight w:val="yellow"/>
              </w:rPr>
            </w:pPr>
          </w:p>
        </w:tc>
        <w:tc>
          <w:tcPr>
            <w:tcW w:w="1485" w:type="dxa"/>
            <w:tcBorders>
              <w:tl2br w:val="nil"/>
              <w:tr2bl w:val="nil"/>
            </w:tcBorders>
            <w:vAlign w:val="center"/>
          </w:tcPr>
          <w:p w14:paraId="2D118E25">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7D222612">
            <w:pPr>
              <w:widowControl/>
              <w:jc w:val="center"/>
              <w:textAlignment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1567F493">
            <w:pPr>
              <w:jc w:val="center"/>
              <w:rPr>
                <w:rFonts w:asciiTheme="minorEastAsia" w:hAnsiTheme="minorEastAsia" w:eastAsiaTheme="minorEastAsia" w:cstheme="minorEastAsia"/>
                <w:color w:val="000000"/>
                <w:szCs w:val="21"/>
                <w:highlight w:val="yellow"/>
              </w:rPr>
            </w:pPr>
          </w:p>
        </w:tc>
      </w:tr>
      <w:tr w14:paraId="2446F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1418B804">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782" w:type="dxa"/>
            <w:tcBorders>
              <w:tl2br w:val="nil"/>
              <w:tr2bl w:val="nil"/>
            </w:tcBorders>
            <w:vAlign w:val="center"/>
          </w:tcPr>
          <w:p w14:paraId="51785F18">
            <w:pPr>
              <w:jc w:val="center"/>
              <w:rPr>
                <w:rFonts w:asciiTheme="minorEastAsia" w:hAnsiTheme="minorEastAsia" w:eastAsiaTheme="minorEastAsia" w:cstheme="minorEastAsia"/>
                <w:szCs w:val="21"/>
                <w:highlight w:val="yellow"/>
              </w:rPr>
            </w:pPr>
          </w:p>
        </w:tc>
        <w:tc>
          <w:tcPr>
            <w:tcW w:w="1574" w:type="dxa"/>
            <w:tcBorders>
              <w:tl2br w:val="nil"/>
              <w:tr2bl w:val="nil"/>
            </w:tcBorders>
            <w:vAlign w:val="center"/>
          </w:tcPr>
          <w:p w14:paraId="3BEBDB5B">
            <w:pPr>
              <w:jc w:val="center"/>
              <w:rPr>
                <w:rFonts w:asciiTheme="minorEastAsia" w:hAnsiTheme="minorEastAsia" w:eastAsiaTheme="minorEastAsia" w:cstheme="minorEastAsia"/>
                <w:szCs w:val="21"/>
                <w:highlight w:val="yellow"/>
              </w:rPr>
            </w:pPr>
          </w:p>
        </w:tc>
        <w:tc>
          <w:tcPr>
            <w:tcW w:w="1485" w:type="dxa"/>
            <w:tcBorders>
              <w:tl2br w:val="nil"/>
              <w:tr2bl w:val="nil"/>
            </w:tcBorders>
            <w:vAlign w:val="center"/>
          </w:tcPr>
          <w:p w14:paraId="0E0A2D95">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325EAEFB">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1BEBFCE4">
            <w:pPr>
              <w:jc w:val="center"/>
              <w:rPr>
                <w:rFonts w:asciiTheme="minorEastAsia" w:hAnsiTheme="minorEastAsia" w:eastAsiaTheme="minorEastAsia" w:cstheme="minorEastAsia"/>
                <w:color w:val="000000"/>
                <w:szCs w:val="21"/>
                <w:highlight w:val="yellow"/>
              </w:rPr>
            </w:pPr>
          </w:p>
        </w:tc>
      </w:tr>
      <w:tr w14:paraId="175F5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472F91BA">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782" w:type="dxa"/>
            <w:tcBorders>
              <w:tl2br w:val="nil"/>
              <w:tr2bl w:val="nil"/>
            </w:tcBorders>
            <w:vAlign w:val="center"/>
          </w:tcPr>
          <w:p w14:paraId="345118FC">
            <w:pPr>
              <w:jc w:val="center"/>
              <w:rPr>
                <w:rFonts w:asciiTheme="minorEastAsia" w:hAnsiTheme="minorEastAsia" w:eastAsiaTheme="minorEastAsia" w:cstheme="minorEastAsia"/>
                <w:szCs w:val="21"/>
                <w:highlight w:val="yellow"/>
              </w:rPr>
            </w:pPr>
          </w:p>
        </w:tc>
        <w:tc>
          <w:tcPr>
            <w:tcW w:w="1574" w:type="dxa"/>
            <w:tcBorders>
              <w:tl2br w:val="nil"/>
              <w:tr2bl w:val="nil"/>
            </w:tcBorders>
            <w:vAlign w:val="center"/>
          </w:tcPr>
          <w:p w14:paraId="06A241D6">
            <w:pPr>
              <w:jc w:val="center"/>
              <w:rPr>
                <w:rFonts w:asciiTheme="minorEastAsia" w:hAnsiTheme="minorEastAsia" w:eastAsiaTheme="minorEastAsia" w:cstheme="minorEastAsia"/>
                <w:szCs w:val="21"/>
                <w:highlight w:val="yellow"/>
              </w:rPr>
            </w:pPr>
          </w:p>
        </w:tc>
        <w:tc>
          <w:tcPr>
            <w:tcW w:w="1485" w:type="dxa"/>
            <w:tcBorders>
              <w:tl2br w:val="nil"/>
              <w:tr2bl w:val="nil"/>
            </w:tcBorders>
            <w:vAlign w:val="center"/>
          </w:tcPr>
          <w:p w14:paraId="42497EBA">
            <w:pPr>
              <w:jc w:val="center"/>
              <w:rPr>
                <w:rFonts w:asciiTheme="minorEastAsia" w:hAnsiTheme="minorEastAsia" w:eastAsiaTheme="minorEastAsia" w:cstheme="minorEastAsia"/>
                <w:color w:val="000000"/>
                <w:szCs w:val="21"/>
                <w:highlight w:val="yellow"/>
              </w:rPr>
            </w:pPr>
          </w:p>
        </w:tc>
        <w:tc>
          <w:tcPr>
            <w:tcW w:w="1713" w:type="dxa"/>
            <w:tcBorders>
              <w:tl2br w:val="nil"/>
              <w:tr2bl w:val="nil"/>
            </w:tcBorders>
            <w:vAlign w:val="center"/>
          </w:tcPr>
          <w:p w14:paraId="5AA73FDE">
            <w:pPr>
              <w:jc w:val="center"/>
              <w:rPr>
                <w:rFonts w:asciiTheme="minorEastAsia" w:hAnsiTheme="minorEastAsia" w:eastAsiaTheme="minorEastAsia" w:cstheme="minorEastAsia"/>
                <w:color w:val="000000"/>
                <w:szCs w:val="21"/>
                <w:highlight w:val="yellow"/>
              </w:rPr>
            </w:pPr>
          </w:p>
        </w:tc>
        <w:tc>
          <w:tcPr>
            <w:tcW w:w="1351" w:type="dxa"/>
            <w:tcBorders>
              <w:tl2br w:val="nil"/>
              <w:tr2bl w:val="nil"/>
            </w:tcBorders>
            <w:vAlign w:val="center"/>
          </w:tcPr>
          <w:p w14:paraId="7FF8503A">
            <w:pPr>
              <w:jc w:val="center"/>
              <w:rPr>
                <w:rFonts w:asciiTheme="minorEastAsia" w:hAnsiTheme="minorEastAsia" w:eastAsiaTheme="minorEastAsia" w:cstheme="minorEastAsia"/>
                <w:color w:val="000000"/>
                <w:szCs w:val="21"/>
                <w:highlight w:val="yellow"/>
              </w:rPr>
            </w:pPr>
          </w:p>
        </w:tc>
      </w:tr>
    </w:tbl>
    <w:p w14:paraId="4ECDF632">
      <w:pPr>
        <w:spacing w:line="360" w:lineRule="auto"/>
        <w:ind w:firstLine="480" w:firstLineChars="200"/>
        <w:rPr>
          <w:rFonts w:asciiTheme="minorEastAsia" w:hAnsiTheme="minorEastAsia" w:eastAsiaTheme="minorEastAsia" w:cstheme="minorEastAsia"/>
          <w:color w:val="000000"/>
          <w:sz w:val="24"/>
        </w:rPr>
      </w:pPr>
      <w:bookmarkStart w:id="31" w:name="_Toc226362579"/>
      <w:r>
        <w:rPr>
          <w:rFonts w:hint="eastAsia" w:asciiTheme="minorEastAsia" w:hAnsiTheme="minorEastAsia" w:eastAsiaTheme="minorEastAsia" w:cstheme="minorEastAsia"/>
          <w:color w:val="000000"/>
          <w:sz w:val="24"/>
        </w:rPr>
        <w:t>投标方应将所提供服务与本技术规范书有差异之处，无论优于或劣于本技术规范书要求，均汇集成下表。</w:t>
      </w:r>
    </w:p>
    <w:p w14:paraId="5385B909">
      <w:pPr>
        <w:spacing w:line="360" w:lineRule="auto"/>
        <w:jc w:val="center"/>
        <w:rPr>
          <w:rFonts w:ascii="黑体" w:hAnsi="黑体" w:eastAsia="黑体" w:cs="黑体"/>
          <w:bCs/>
          <w:color w:val="000000"/>
          <w:szCs w:val="21"/>
        </w:rPr>
      </w:pPr>
      <w:r>
        <w:rPr>
          <w:rFonts w:hint="eastAsia" w:ascii="黑体" w:hAnsi="黑体" w:eastAsia="黑体" w:cs="黑体"/>
          <w:bCs/>
          <w:color w:val="000000"/>
          <w:szCs w:val="21"/>
        </w:rPr>
        <w:t>表6.2 技术差异汇总表</w:t>
      </w:r>
      <w:bookmarkEnd w:id="31"/>
      <w:r>
        <w:rPr>
          <w:rFonts w:hint="eastAsia" w:ascii="黑体" w:hAnsi="黑体" w:eastAsia="黑体" w:cs="黑体"/>
          <w:bCs/>
          <w:color w:val="000000"/>
          <w:szCs w:val="21"/>
        </w:rPr>
        <w:t>（投标方填写）</w:t>
      </w:r>
    </w:p>
    <w:tbl>
      <w:tblPr>
        <w:tblStyle w:val="12"/>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102AB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28FB198E">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w:t>
            </w:r>
          </w:p>
          <w:p w14:paraId="52D58A2C">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号</w:t>
            </w:r>
          </w:p>
        </w:tc>
        <w:tc>
          <w:tcPr>
            <w:tcW w:w="3876" w:type="dxa"/>
            <w:gridSpan w:val="2"/>
            <w:tcBorders>
              <w:tl2br w:val="nil"/>
              <w:tr2bl w:val="nil"/>
            </w:tcBorders>
            <w:vAlign w:val="center"/>
          </w:tcPr>
          <w:p w14:paraId="5DDFA9E1">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招 标 文 件</w:t>
            </w:r>
          </w:p>
        </w:tc>
        <w:tc>
          <w:tcPr>
            <w:tcW w:w="3833" w:type="dxa"/>
            <w:gridSpan w:val="2"/>
            <w:tcBorders>
              <w:tl2br w:val="nil"/>
              <w:tr2bl w:val="nil"/>
            </w:tcBorders>
            <w:vAlign w:val="center"/>
          </w:tcPr>
          <w:p w14:paraId="6F85D003">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投  标  文  件</w:t>
            </w:r>
          </w:p>
        </w:tc>
      </w:tr>
      <w:tr w14:paraId="0AF02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53237844">
            <w:pPr>
              <w:widowControl/>
              <w:jc w:val="center"/>
              <w:textAlignment w:val="center"/>
              <w:rPr>
                <w:rFonts w:asciiTheme="minorEastAsia" w:hAnsiTheme="minorEastAsia" w:eastAsiaTheme="minorEastAsia" w:cstheme="minorEastAsia"/>
                <w:color w:val="000000"/>
                <w:kern w:val="0"/>
                <w:szCs w:val="21"/>
                <w:lang w:bidi="ar"/>
              </w:rPr>
            </w:pPr>
          </w:p>
        </w:tc>
        <w:tc>
          <w:tcPr>
            <w:tcW w:w="1163" w:type="dxa"/>
            <w:tcBorders>
              <w:tl2br w:val="nil"/>
              <w:tr2bl w:val="nil"/>
            </w:tcBorders>
            <w:vAlign w:val="center"/>
          </w:tcPr>
          <w:p w14:paraId="1A021667">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713" w:type="dxa"/>
            <w:tcBorders>
              <w:tl2br w:val="nil"/>
              <w:tr2bl w:val="nil"/>
            </w:tcBorders>
            <w:vAlign w:val="center"/>
          </w:tcPr>
          <w:p w14:paraId="2B8FF352">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c>
          <w:tcPr>
            <w:tcW w:w="1258" w:type="dxa"/>
            <w:tcBorders>
              <w:tl2br w:val="nil"/>
              <w:tr2bl w:val="nil"/>
            </w:tcBorders>
            <w:vAlign w:val="center"/>
          </w:tcPr>
          <w:p w14:paraId="30B88D13">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575" w:type="dxa"/>
            <w:tcBorders>
              <w:tl2br w:val="nil"/>
              <w:tr2bl w:val="nil"/>
            </w:tcBorders>
            <w:vAlign w:val="center"/>
          </w:tcPr>
          <w:p w14:paraId="288F1762">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r>
      <w:tr w14:paraId="3A358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C28340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1</w:t>
            </w:r>
          </w:p>
        </w:tc>
        <w:tc>
          <w:tcPr>
            <w:tcW w:w="1163" w:type="dxa"/>
            <w:tcBorders>
              <w:tl2br w:val="nil"/>
              <w:tr2bl w:val="nil"/>
            </w:tcBorders>
            <w:vAlign w:val="center"/>
          </w:tcPr>
          <w:p w14:paraId="1E2C4A17">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4713222A">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0BE903EA">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F008673">
            <w:pPr>
              <w:widowControl/>
              <w:jc w:val="center"/>
              <w:textAlignment w:val="center"/>
              <w:rPr>
                <w:rFonts w:asciiTheme="minorEastAsia" w:hAnsiTheme="minorEastAsia" w:eastAsiaTheme="minorEastAsia" w:cstheme="minorEastAsia"/>
                <w:color w:val="000000"/>
                <w:kern w:val="0"/>
                <w:szCs w:val="21"/>
                <w:lang w:bidi="ar"/>
              </w:rPr>
            </w:pPr>
          </w:p>
        </w:tc>
      </w:tr>
      <w:tr w14:paraId="03350F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68D9A900">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2</w:t>
            </w:r>
          </w:p>
        </w:tc>
        <w:tc>
          <w:tcPr>
            <w:tcW w:w="1163" w:type="dxa"/>
            <w:tcBorders>
              <w:tl2br w:val="nil"/>
              <w:tr2bl w:val="nil"/>
            </w:tcBorders>
            <w:vAlign w:val="center"/>
          </w:tcPr>
          <w:p w14:paraId="552CAFF0">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2BACA5A1">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3168E0BC">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69DACD0A">
            <w:pPr>
              <w:widowControl/>
              <w:jc w:val="center"/>
              <w:textAlignment w:val="center"/>
              <w:rPr>
                <w:rFonts w:asciiTheme="minorEastAsia" w:hAnsiTheme="minorEastAsia" w:eastAsiaTheme="minorEastAsia" w:cstheme="minorEastAsia"/>
                <w:color w:val="000000"/>
                <w:kern w:val="0"/>
                <w:szCs w:val="21"/>
                <w:lang w:bidi="ar"/>
              </w:rPr>
            </w:pPr>
          </w:p>
        </w:tc>
      </w:tr>
      <w:tr w14:paraId="144CD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6B466F5A">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3</w:t>
            </w:r>
          </w:p>
        </w:tc>
        <w:tc>
          <w:tcPr>
            <w:tcW w:w="1163" w:type="dxa"/>
            <w:tcBorders>
              <w:tl2br w:val="nil"/>
              <w:tr2bl w:val="nil"/>
            </w:tcBorders>
            <w:vAlign w:val="center"/>
          </w:tcPr>
          <w:p w14:paraId="43A60F8A">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0EDA3372">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369B3B04">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74BDB565">
            <w:pPr>
              <w:widowControl/>
              <w:jc w:val="center"/>
              <w:textAlignment w:val="center"/>
              <w:rPr>
                <w:rFonts w:asciiTheme="minorEastAsia" w:hAnsiTheme="minorEastAsia" w:eastAsiaTheme="minorEastAsia" w:cstheme="minorEastAsia"/>
                <w:color w:val="000000"/>
                <w:kern w:val="0"/>
                <w:szCs w:val="21"/>
                <w:lang w:bidi="ar"/>
              </w:rPr>
            </w:pPr>
          </w:p>
        </w:tc>
      </w:tr>
      <w:tr w14:paraId="2DCEB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7DD9A96">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4</w:t>
            </w:r>
          </w:p>
        </w:tc>
        <w:tc>
          <w:tcPr>
            <w:tcW w:w="1163" w:type="dxa"/>
            <w:tcBorders>
              <w:tl2br w:val="nil"/>
              <w:tr2bl w:val="nil"/>
            </w:tcBorders>
            <w:vAlign w:val="center"/>
          </w:tcPr>
          <w:p w14:paraId="55EF2E49">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63A0469E">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49D89F2F">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203F9427">
            <w:pPr>
              <w:widowControl/>
              <w:jc w:val="center"/>
              <w:textAlignment w:val="center"/>
              <w:rPr>
                <w:rFonts w:asciiTheme="minorEastAsia" w:hAnsiTheme="minorEastAsia" w:eastAsiaTheme="minorEastAsia" w:cstheme="minorEastAsia"/>
                <w:color w:val="000000"/>
                <w:kern w:val="0"/>
                <w:szCs w:val="21"/>
                <w:lang w:bidi="ar"/>
              </w:rPr>
            </w:pPr>
          </w:p>
        </w:tc>
      </w:tr>
    </w:tbl>
    <w:p w14:paraId="07ACAB51">
      <w:pPr>
        <w:spacing w:before="156" w:beforeLines="50" w:line="360" w:lineRule="auto"/>
        <w:outlineLvl w:val="1"/>
        <w:rPr>
          <w:rFonts w:ascii="黑体" w:hAnsi="黑体" w:eastAsia="黑体" w:cs="黑体"/>
          <w:sz w:val="24"/>
        </w:rPr>
      </w:pPr>
      <w:bookmarkStart w:id="32" w:name="_Toc10100"/>
      <w:r>
        <w:rPr>
          <w:rFonts w:hint="eastAsia" w:ascii="黑体" w:hAnsi="黑体" w:eastAsia="黑体" w:cs="黑体"/>
          <w:sz w:val="24"/>
        </w:rPr>
        <w:t>6.6 其它补充说明</w:t>
      </w:r>
      <w:bookmarkEnd w:id="32"/>
    </w:p>
    <w:p w14:paraId="7BAB83FD">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840C2"/>
    <w:multiLevelType w:val="singleLevel"/>
    <w:tmpl w:val="97B840C2"/>
    <w:lvl w:ilvl="0" w:tentative="0">
      <w:start w:val="1"/>
      <w:numFmt w:val="decimal"/>
      <w:lvlText w:val="(%1)"/>
      <w:lvlJc w:val="left"/>
      <w:pPr>
        <w:tabs>
          <w:tab w:val="left" w:pos="312"/>
        </w:tabs>
      </w:pPr>
    </w:lvl>
  </w:abstractNum>
  <w:abstractNum w:abstractNumId="1">
    <w:nsid w:val="D12C290B"/>
    <w:multiLevelType w:val="singleLevel"/>
    <w:tmpl w:val="D12C290B"/>
    <w:lvl w:ilvl="0" w:tentative="0">
      <w:start w:val="1"/>
      <w:numFmt w:val="decimal"/>
      <w:pStyle w:val="16"/>
      <w:lvlText w:val="%1."/>
      <w:lvlJc w:val="left"/>
      <w:pPr>
        <w:ind w:left="425" w:hanging="425"/>
      </w:pPr>
      <w:rPr>
        <w:rFonts w:hint="default"/>
      </w:rPr>
    </w:lvl>
  </w:abstractNum>
  <w:abstractNum w:abstractNumId="2">
    <w:nsid w:val="3F875552"/>
    <w:multiLevelType w:val="multilevel"/>
    <w:tmpl w:val="3F875552"/>
    <w:lvl w:ilvl="0" w:tentative="0">
      <w:start w:val="1"/>
      <w:numFmt w:val="decimal"/>
      <w:lvlText w:val="%1)"/>
      <w:lvlJc w:val="left"/>
      <w:pPr>
        <w:ind w:left="1007" w:hanging="440"/>
      </w:pPr>
    </w:lvl>
    <w:lvl w:ilvl="1" w:tentative="0">
      <w:start w:val="1"/>
      <w:numFmt w:val="lowerLetter"/>
      <w:lvlText w:val="%2)"/>
      <w:lvlJc w:val="left"/>
      <w:pPr>
        <w:ind w:left="1447" w:hanging="440"/>
      </w:pPr>
    </w:lvl>
    <w:lvl w:ilvl="2" w:tentative="0">
      <w:start w:val="1"/>
      <w:numFmt w:val="lowerRoman"/>
      <w:lvlText w:val="%3."/>
      <w:lvlJc w:val="right"/>
      <w:pPr>
        <w:ind w:left="1887" w:hanging="440"/>
      </w:pPr>
    </w:lvl>
    <w:lvl w:ilvl="3" w:tentative="0">
      <w:start w:val="1"/>
      <w:numFmt w:val="decimal"/>
      <w:lvlText w:val="%4."/>
      <w:lvlJc w:val="left"/>
      <w:pPr>
        <w:ind w:left="2327" w:hanging="440"/>
      </w:pPr>
    </w:lvl>
    <w:lvl w:ilvl="4" w:tentative="0">
      <w:start w:val="1"/>
      <w:numFmt w:val="lowerLetter"/>
      <w:lvlText w:val="%5)"/>
      <w:lvlJc w:val="left"/>
      <w:pPr>
        <w:ind w:left="2767" w:hanging="440"/>
      </w:pPr>
    </w:lvl>
    <w:lvl w:ilvl="5" w:tentative="0">
      <w:start w:val="1"/>
      <w:numFmt w:val="lowerRoman"/>
      <w:lvlText w:val="%6."/>
      <w:lvlJc w:val="right"/>
      <w:pPr>
        <w:ind w:left="3207" w:hanging="440"/>
      </w:pPr>
    </w:lvl>
    <w:lvl w:ilvl="6" w:tentative="0">
      <w:start w:val="1"/>
      <w:numFmt w:val="decimal"/>
      <w:lvlText w:val="%7."/>
      <w:lvlJc w:val="left"/>
      <w:pPr>
        <w:ind w:left="3647" w:hanging="440"/>
      </w:pPr>
    </w:lvl>
    <w:lvl w:ilvl="7" w:tentative="0">
      <w:start w:val="1"/>
      <w:numFmt w:val="lowerLetter"/>
      <w:lvlText w:val="%8)"/>
      <w:lvlJc w:val="left"/>
      <w:pPr>
        <w:ind w:left="4087" w:hanging="440"/>
      </w:pPr>
    </w:lvl>
    <w:lvl w:ilvl="8" w:tentative="0">
      <w:start w:val="1"/>
      <w:numFmt w:val="lowerRoman"/>
      <w:lvlText w:val="%9."/>
      <w:lvlJc w:val="right"/>
      <w:pPr>
        <w:ind w:left="4527" w:hanging="440"/>
      </w:pPr>
    </w:lvl>
  </w:abstractNum>
  <w:abstractNum w:abstractNumId="3">
    <w:nsid w:val="46420501"/>
    <w:multiLevelType w:val="multilevel"/>
    <w:tmpl w:val="4642050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E537055"/>
    <w:multiLevelType w:val="singleLevel"/>
    <w:tmpl w:val="5E537055"/>
    <w:lvl w:ilvl="0" w:tentative="0">
      <w:start w:val="1"/>
      <w:numFmt w:val="decimal"/>
      <w:lvlText w:val="%1."/>
      <w:lvlJc w:val="left"/>
      <w:pPr>
        <w:ind w:left="425" w:hanging="425"/>
      </w:pPr>
      <w:rPr>
        <w:rFont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12EA9"/>
    <w:rsid w:val="0000270B"/>
    <w:rsid w:val="00113C97"/>
    <w:rsid w:val="00920102"/>
    <w:rsid w:val="00A20B78"/>
    <w:rsid w:val="022E26FA"/>
    <w:rsid w:val="027C11FC"/>
    <w:rsid w:val="0295401A"/>
    <w:rsid w:val="0303051E"/>
    <w:rsid w:val="03036481"/>
    <w:rsid w:val="034E11A4"/>
    <w:rsid w:val="047B7BC4"/>
    <w:rsid w:val="04BF0B83"/>
    <w:rsid w:val="04FE4EAD"/>
    <w:rsid w:val="05312146"/>
    <w:rsid w:val="05330E8B"/>
    <w:rsid w:val="056D4E14"/>
    <w:rsid w:val="05FD7391"/>
    <w:rsid w:val="07CD605A"/>
    <w:rsid w:val="07D53466"/>
    <w:rsid w:val="07DC3C63"/>
    <w:rsid w:val="08115868"/>
    <w:rsid w:val="0836147E"/>
    <w:rsid w:val="0900633E"/>
    <w:rsid w:val="09F078C2"/>
    <w:rsid w:val="0A9773AF"/>
    <w:rsid w:val="0AB948C0"/>
    <w:rsid w:val="0B715FA9"/>
    <w:rsid w:val="0BD1033B"/>
    <w:rsid w:val="0BFD7548"/>
    <w:rsid w:val="0C8C1EEF"/>
    <w:rsid w:val="0D0C14ED"/>
    <w:rsid w:val="0D6039E5"/>
    <w:rsid w:val="0DDE0C6E"/>
    <w:rsid w:val="0F573D98"/>
    <w:rsid w:val="0FBF064C"/>
    <w:rsid w:val="10011F66"/>
    <w:rsid w:val="10972384"/>
    <w:rsid w:val="110F2EEB"/>
    <w:rsid w:val="11402C86"/>
    <w:rsid w:val="13566E57"/>
    <w:rsid w:val="14421D4B"/>
    <w:rsid w:val="147F0C66"/>
    <w:rsid w:val="1558413F"/>
    <w:rsid w:val="155E4129"/>
    <w:rsid w:val="15B259A5"/>
    <w:rsid w:val="160351CB"/>
    <w:rsid w:val="16F77748"/>
    <w:rsid w:val="17610576"/>
    <w:rsid w:val="17AA6EC0"/>
    <w:rsid w:val="18004569"/>
    <w:rsid w:val="18C63235"/>
    <w:rsid w:val="1A316175"/>
    <w:rsid w:val="1A830B36"/>
    <w:rsid w:val="1ADD4B0E"/>
    <w:rsid w:val="1BF021DF"/>
    <w:rsid w:val="1BFA3C82"/>
    <w:rsid w:val="1C1B552A"/>
    <w:rsid w:val="1C672B50"/>
    <w:rsid w:val="1CCE54EB"/>
    <w:rsid w:val="1CEF7861"/>
    <w:rsid w:val="1D7B5A38"/>
    <w:rsid w:val="1DA01B05"/>
    <w:rsid w:val="1DFC3E5E"/>
    <w:rsid w:val="1EA43205"/>
    <w:rsid w:val="1FBD1E67"/>
    <w:rsid w:val="20D855DF"/>
    <w:rsid w:val="21274C73"/>
    <w:rsid w:val="22015C0D"/>
    <w:rsid w:val="22854BAF"/>
    <w:rsid w:val="234277A0"/>
    <w:rsid w:val="234B187D"/>
    <w:rsid w:val="23817433"/>
    <w:rsid w:val="23FC7BFC"/>
    <w:rsid w:val="24EA7C79"/>
    <w:rsid w:val="250F564D"/>
    <w:rsid w:val="252B1EB7"/>
    <w:rsid w:val="256870E0"/>
    <w:rsid w:val="25E42BF8"/>
    <w:rsid w:val="262F66EE"/>
    <w:rsid w:val="264B24E8"/>
    <w:rsid w:val="265249D6"/>
    <w:rsid w:val="271E783C"/>
    <w:rsid w:val="275D5D26"/>
    <w:rsid w:val="275F7D29"/>
    <w:rsid w:val="277365B6"/>
    <w:rsid w:val="28403FE5"/>
    <w:rsid w:val="28BE48E2"/>
    <w:rsid w:val="293C5FA4"/>
    <w:rsid w:val="29564BF8"/>
    <w:rsid w:val="29695A4F"/>
    <w:rsid w:val="29CA4E9C"/>
    <w:rsid w:val="2A441357"/>
    <w:rsid w:val="2AF711EA"/>
    <w:rsid w:val="2AFA0631"/>
    <w:rsid w:val="2B6721B0"/>
    <w:rsid w:val="2C191EA0"/>
    <w:rsid w:val="2C6E0BE4"/>
    <w:rsid w:val="2CA3124A"/>
    <w:rsid w:val="2CD07AC6"/>
    <w:rsid w:val="2CE51BB8"/>
    <w:rsid w:val="2D8B5047"/>
    <w:rsid w:val="2D8F39A1"/>
    <w:rsid w:val="2DAC4578"/>
    <w:rsid w:val="2DB36870"/>
    <w:rsid w:val="2DEA6350"/>
    <w:rsid w:val="2E260032"/>
    <w:rsid w:val="2E380045"/>
    <w:rsid w:val="2EFA1D2E"/>
    <w:rsid w:val="2F2E6BFF"/>
    <w:rsid w:val="2FC241F2"/>
    <w:rsid w:val="2FEF2882"/>
    <w:rsid w:val="30045C2F"/>
    <w:rsid w:val="30C608D3"/>
    <w:rsid w:val="30DF2B6C"/>
    <w:rsid w:val="313E1E7A"/>
    <w:rsid w:val="32DF0B62"/>
    <w:rsid w:val="330E4E8B"/>
    <w:rsid w:val="33161353"/>
    <w:rsid w:val="334E3954"/>
    <w:rsid w:val="335E270E"/>
    <w:rsid w:val="338857F9"/>
    <w:rsid w:val="34255CC8"/>
    <w:rsid w:val="35334C35"/>
    <w:rsid w:val="358A1AD4"/>
    <w:rsid w:val="358B06A1"/>
    <w:rsid w:val="35E41FA9"/>
    <w:rsid w:val="360B40D3"/>
    <w:rsid w:val="3661221B"/>
    <w:rsid w:val="36D77E83"/>
    <w:rsid w:val="37A433E0"/>
    <w:rsid w:val="37AE0477"/>
    <w:rsid w:val="38004B22"/>
    <w:rsid w:val="39140E3A"/>
    <w:rsid w:val="398C2739"/>
    <w:rsid w:val="39E974DB"/>
    <w:rsid w:val="3B9F62AA"/>
    <w:rsid w:val="3C4C5078"/>
    <w:rsid w:val="3D7420EB"/>
    <w:rsid w:val="3DC862F7"/>
    <w:rsid w:val="3DDE3626"/>
    <w:rsid w:val="401C5798"/>
    <w:rsid w:val="40794199"/>
    <w:rsid w:val="408A19B3"/>
    <w:rsid w:val="40CF0453"/>
    <w:rsid w:val="40F0643B"/>
    <w:rsid w:val="41414714"/>
    <w:rsid w:val="419C13AE"/>
    <w:rsid w:val="41A73FEA"/>
    <w:rsid w:val="41B40E40"/>
    <w:rsid w:val="42DF02D2"/>
    <w:rsid w:val="44C917FC"/>
    <w:rsid w:val="45AD67D6"/>
    <w:rsid w:val="45CF1EF0"/>
    <w:rsid w:val="45E20A8C"/>
    <w:rsid w:val="47097B32"/>
    <w:rsid w:val="47382C50"/>
    <w:rsid w:val="473A0E5B"/>
    <w:rsid w:val="476617B8"/>
    <w:rsid w:val="48205CF0"/>
    <w:rsid w:val="48AE5D4E"/>
    <w:rsid w:val="49162EBF"/>
    <w:rsid w:val="49CD3B90"/>
    <w:rsid w:val="4A4B4604"/>
    <w:rsid w:val="4A566A25"/>
    <w:rsid w:val="4A7A1254"/>
    <w:rsid w:val="4AE245EC"/>
    <w:rsid w:val="4B18258B"/>
    <w:rsid w:val="4B2A3103"/>
    <w:rsid w:val="4B3522B4"/>
    <w:rsid w:val="4B5E6BA8"/>
    <w:rsid w:val="4B8A54FE"/>
    <w:rsid w:val="4C3F54C3"/>
    <w:rsid w:val="4CE147A6"/>
    <w:rsid w:val="4CEE40EF"/>
    <w:rsid w:val="4DBF3FC8"/>
    <w:rsid w:val="4E287A4C"/>
    <w:rsid w:val="4E4C2783"/>
    <w:rsid w:val="50E83C80"/>
    <w:rsid w:val="50E84976"/>
    <w:rsid w:val="521A10DF"/>
    <w:rsid w:val="52400ADE"/>
    <w:rsid w:val="52AB3BAD"/>
    <w:rsid w:val="52D27864"/>
    <w:rsid w:val="53535343"/>
    <w:rsid w:val="536B3F5C"/>
    <w:rsid w:val="53CD308F"/>
    <w:rsid w:val="54280E0A"/>
    <w:rsid w:val="54537460"/>
    <w:rsid w:val="54C17E31"/>
    <w:rsid w:val="54E75E4E"/>
    <w:rsid w:val="54EC5F00"/>
    <w:rsid w:val="55B358E5"/>
    <w:rsid w:val="55BB08CE"/>
    <w:rsid w:val="56112EA9"/>
    <w:rsid w:val="56634F6B"/>
    <w:rsid w:val="56794219"/>
    <w:rsid w:val="56FE5647"/>
    <w:rsid w:val="572004CE"/>
    <w:rsid w:val="576E3E36"/>
    <w:rsid w:val="57BC5768"/>
    <w:rsid w:val="57D62605"/>
    <w:rsid w:val="59BD7DED"/>
    <w:rsid w:val="5A6B64E6"/>
    <w:rsid w:val="5AE252E1"/>
    <w:rsid w:val="5AF55CB8"/>
    <w:rsid w:val="5CBC1717"/>
    <w:rsid w:val="5D196F37"/>
    <w:rsid w:val="5D560B25"/>
    <w:rsid w:val="5DF634D1"/>
    <w:rsid w:val="5E0B23A4"/>
    <w:rsid w:val="5E311346"/>
    <w:rsid w:val="5E7F2B1D"/>
    <w:rsid w:val="5E9479C8"/>
    <w:rsid w:val="5EFF55AD"/>
    <w:rsid w:val="5FFA163D"/>
    <w:rsid w:val="60446F8A"/>
    <w:rsid w:val="60A8111F"/>
    <w:rsid w:val="60B802FB"/>
    <w:rsid w:val="61633BDA"/>
    <w:rsid w:val="61B23647"/>
    <w:rsid w:val="61E33B45"/>
    <w:rsid w:val="61F93300"/>
    <w:rsid w:val="63152D08"/>
    <w:rsid w:val="63FE5340"/>
    <w:rsid w:val="64132F2C"/>
    <w:rsid w:val="6449273F"/>
    <w:rsid w:val="64F92069"/>
    <w:rsid w:val="650664D0"/>
    <w:rsid w:val="652A6814"/>
    <w:rsid w:val="65355760"/>
    <w:rsid w:val="662A1850"/>
    <w:rsid w:val="673113AB"/>
    <w:rsid w:val="67593ED7"/>
    <w:rsid w:val="678C7059"/>
    <w:rsid w:val="68AC152E"/>
    <w:rsid w:val="695323C7"/>
    <w:rsid w:val="69EA7D86"/>
    <w:rsid w:val="6A1D4790"/>
    <w:rsid w:val="6A406AE2"/>
    <w:rsid w:val="6B023115"/>
    <w:rsid w:val="6D401C96"/>
    <w:rsid w:val="6E06100F"/>
    <w:rsid w:val="6E597374"/>
    <w:rsid w:val="6E5B1FD7"/>
    <w:rsid w:val="6E791C08"/>
    <w:rsid w:val="708F1B04"/>
    <w:rsid w:val="70E237AF"/>
    <w:rsid w:val="70F94A85"/>
    <w:rsid w:val="710C1A65"/>
    <w:rsid w:val="71FF19B7"/>
    <w:rsid w:val="731458B8"/>
    <w:rsid w:val="73FA6E86"/>
    <w:rsid w:val="74572EAA"/>
    <w:rsid w:val="74E106B7"/>
    <w:rsid w:val="75700D85"/>
    <w:rsid w:val="75715F41"/>
    <w:rsid w:val="76497732"/>
    <w:rsid w:val="76890F73"/>
    <w:rsid w:val="76B0301B"/>
    <w:rsid w:val="770F4753"/>
    <w:rsid w:val="77E24D56"/>
    <w:rsid w:val="78DA753F"/>
    <w:rsid w:val="795E2CE3"/>
    <w:rsid w:val="79EB43CD"/>
    <w:rsid w:val="7A126AE1"/>
    <w:rsid w:val="7ABE2378"/>
    <w:rsid w:val="7AFB3926"/>
    <w:rsid w:val="7BA41111"/>
    <w:rsid w:val="7BC03244"/>
    <w:rsid w:val="7BFC3589"/>
    <w:rsid w:val="7C185614"/>
    <w:rsid w:val="7CD02D3B"/>
    <w:rsid w:val="7D2B397D"/>
    <w:rsid w:val="7E352FE9"/>
    <w:rsid w:val="7EB61EE5"/>
    <w:rsid w:val="7FCE0606"/>
    <w:rsid w:val="7FF1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szCs w:val="22"/>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tabs>
        <w:tab w:val="right" w:leader="dot" w:pos="8302"/>
      </w:tabs>
      <w:snapToGrid w:val="0"/>
      <w:spacing w:line="360" w:lineRule="auto"/>
      <w:ind w:left="525" w:hanging="4"/>
    </w:pPr>
    <w:rPr>
      <w:sz w:val="24"/>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qFormat/>
    <w:uiPriority w:val="0"/>
  </w:style>
  <w:style w:type="paragraph" w:customStyle="1" w:styleId="16">
    <w:name w:val="标题1"/>
    <w:basedOn w:val="3"/>
    <w:next w:val="1"/>
    <w:qFormat/>
    <w:uiPriority w:val="0"/>
    <w:pPr>
      <w:numPr>
        <w:ilvl w:val="0"/>
        <w:numId w:val="1"/>
      </w:numPr>
    </w:pPr>
    <w:rPr>
      <w:rFonts w:hAnsi="黑体"/>
    </w:rPr>
  </w:style>
  <w:style w:type="paragraph" w:customStyle="1" w:styleId="17">
    <w:name w:val="首页项目名称"/>
    <w:link w:val="19"/>
    <w:qFormat/>
    <w:uiPriority w:val="0"/>
    <w:pPr>
      <w:jc w:val="center"/>
    </w:pPr>
    <w:rPr>
      <w:rFonts w:ascii="Times New Roman" w:hAnsi="Times New Roman" w:eastAsia="隶书" w:cs="Times New Roman"/>
      <w:sz w:val="52"/>
      <w:lang w:val="en-US" w:eastAsia="zh-CN" w:bidi="ar-SA"/>
    </w:rPr>
  </w:style>
  <w:style w:type="paragraph" w:customStyle="1" w:styleId="18">
    <w:name w:val="首页日期"/>
    <w:basedOn w:val="1"/>
    <w:link w:val="20"/>
    <w:qFormat/>
    <w:uiPriority w:val="0"/>
    <w:pPr>
      <w:jc w:val="center"/>
    </w:pPr>
    <w:rPr>
      <w:rFonts w:eastAsia="楷体"/>
      <w:sz w:val="32"/>
    </w:rPr>
  </w:style>
  <w:style w:type="character" w:customStyle="1" w:styleId="19">
    <w:name w:val="首页项目名称 Char"/>
    <w:link w:val="17"/>
    <w:qFormat/>
    <w:uiPriority w:val="0"/>
    <w:rPr>
      <w:rFonts w:ascii="Times New Roman" w:hAnsi="Times New Roman" w:eastAsia="隶书"/>
      <w:sz w:val="52"/>
    </w:rPr>
  </w:style>
  <w:style w:type="character" w:customStyle="1" w:styleId="20">
    <w:name w:val="首页日期 Char"/>
    <w:link w:val="18"/>
    <w:qFormat/>
    <w:uiPriority w:val="0"/>
    <w:rPr>
      <w:rFonts w:ascii="Times New Roman" w:hAnsi="Times New Roman" w:eastAsia="楷体"/>
      <w:sz w:val="32"/>
    </w:rPr>
  </w:style>
  <w:style w:type="paragraph" w:customStyle="1" w:styleId="21">
    <w:name w:val="一标题"/>
    <w:link w:val="22"/>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2">
    <w:name w:val="一标题 Char"/>
    <w:link w:val="21"/>
    <w:qFormat/>
    <w:uiPriority w:val="0"/>
    <w:rPr>
      <w:rFonts w:ascii="宋体" w:hAnsi="宋体" w:eastAsia="宋体" w:cs="Times New Roman"/>
      <w:b/>
      <w:sz w:val="24"/>
    </w:rPr>
  </w:style>
  <w:style w:type="paragraph" w:customStyle="1" w:styleId="23">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5632</Words>
  <Characters>6008</Characters>
  <Lines>11</Lines>
  <Paragraphs>8</Paragraphs>
  <TotalTime>0</TotalTime>
  <ScaleCrop>false</ScaleCrop>
  <LinksUpToDate>false</LinksUpToDate>
  <CharactersWithSpaces>6135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2020-01-03T01:39:00Z</dcterms:created>
  <dc:creator>shenpeiyi</dc:creator>
  <cp:lastModifiedBy>七月</cp:lastModifiedBy>
  <dcterms:modified xsi:type="dcterms:W3CDTF">2026-07-27T07:00:33Z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0C25622B9F834F0E94A94A8BE14F5733_13</vt:lpwstr>
  </property>
  <property fmtid="{D5CDD505-2E9C-101B-9397-08002B2CF9AE}" pid="4" name="KSOTemplateDocerSaveRecord">
    <vt:lpwstr>eyJoZGlkIjoiMWU2YWFjN2M4M2ZmYzk5NDhkMzM1OGExNzJiNjI5ZjAiLCJ1c2VySWQiOiIzMTQ3MTA1ODkifQ==</vt:lpwstr>
  </property>
</Properties>
</file>