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680B8">
      <w:pPr>
        <w:pStyle w:val="8"/>
        <w:jc w:val="center"/>
        <w:rPr>
          <w:rFonts w:ascii="隶书" w:eastAsia="隶书"/>
          <w:sz w:val="56"/>
          <w:szCs w:val="56"/>
        </w:rPr>
      </w:pPr>
      <w:bookmarkStart w:id="0" w:name="_Toc1572"/>
      <w:bookmarkStart w:id="1" w:name="_Toc6059"/>
    </w:p>
    <w:p w14:paraId="63DA3BDF">
      <w:pPr>
        <w:pStyle w:val="8"/>
        <w:jc w:val="center"/>
        <w:rPr>
          <w:rFonts w:ascii="隶书" w:eastAsia="隶书"/>
          <w:sz w:val="56"/>
          <w:szCs w:val="56"/>
        </w:rPr>
      </w:pPr>
    </w:p>
    <w:p w14:paraId="41265D96">
      <w:pPr>
        <w:pStyle w:val="18"/>
        <w:rPr>
          <w:rFonts w:ascii="黑体" w:hAnsi="黑体" w:eastAsia="黑体" w:cs="黑体"/>
          <w:sz w:val="48"/>
          <w:szCs w:val="48"/>
          <w:highlight w:val="none"/>
        </w:rPr>
      </w:pPr>
      <w:r>
        <w:rPr>
          <w:rFonts w:hint="eastAsia" w:ascii="黑体" w:hAnsi="黑体" w:eastAsia="黑体" w:cs="黑体"/>
          <w:sz w:val="48"/>
          <w:szCs w:val="48"/>
          <w:highlight w:val="none"/>
        </w:rPr>
        <w:t>标的</w:t>
      </w:r>
      <w:r>
        <w:rPr>
          <w:rFonts w:hint="eastAsia" w:ascii="黑体" w:hAnsi="黑体" w:eastAsia="黑体" w:cs="黑体"/>
          <w:sz w:val="48"/>
          <w:szCs w:val="48"/>
          <w:highlight w:val="none"/>
          <w:lang w:val="en-US" w:eastAsia="zh-CN"/>
        </w:rPr>
        <w:t>4</w:t>
      </w:r>
      <w:r>
        <w:rPr>
          <w:rFonts w:hint="eastAsia" w:ascii="黑体" w:hAnsi="黑体" w:eastAsia="黑体" w:cs="黑体"/>
          <w:sz w:val="48"/>
          <w:szCs w:val="48"/>
          <w:highlight w:val="none"/>
        </w:rPr>
        <w:t>：柔性直流用低漏磁空心电抗器关键技术研究（技术开发）</w:t>
      </w:r>
    </w:p>
    <w:p w14:paraId="5F0E3AE7">
      <w:pPr>
        <w:pStyle w:val="8"/>
        <w:jc w:val="center"/>
        <w:rPr>
          <w:rFonts w:ascii="隶书" w:eastAsia="隶书"/>
          <w:sz w:val="48"/>
          <w:szCs w:val="48"/>
          <w:highlight w:val="none"/>
        </w:rPr>
      </w:pPr>
    </w:p>
    <w:p w14:paraId="4F9520CC">
      <w:pPr>
        <w:pStyle w:val="8"/>
        <w:jc w:val="center"/>
        <w:rPr>
          <w:rFonts w:ascii="隶书" w:eastAsia="隶书"/>
          <w:sz w:val="48"/>
          <w:szCs w:val="48"/>
          <w:highlight w:val="none"/>
        </w:rPr>
      </w:pPr>
    </w:p>
    <w:p w14:paraId="58B19F95">
      <w:pPr>
        <w:pStyle w:val="8"/>
        <w:jc w:val="center"/>
        <w:rPr>
          <w:rFonts w:ascii="隶书" w:eastAsia="隶书"/>
          <w:sz w:val="48"/>
          <w:szCs w:val="48"/>
          <w:highlight w:val="none"/>
        </w:rPr>
      </w:pPr>
    </w:p>
    <w:p w14:paraId="5E0F3BD9">
      <w:pPr>
        <w:pStyle w:val="8"/>
        <w:jc w:val="center"/>
        <w:rPr>
          <w:rFonts w:ascii="黑体" w:hAnsi="黑体" w:eastAsia="黑体" w:cs="黑体"/>
          <w:sz w:val="52"/>
          <w:szCs w:val="52"/>
          <w:highlight w:val="none"/>
        </w:rPr>
      </w:pPr>
      <w:r>
        <w:rPr>
          <w:rFonts w:hint="eastAsia" w:ascii="黑体" w:hAnsi="黑体" w:eastAsia="黑体" w:cs="黑体"/>
          <w:sz w:val="52"/>
          <w:szCs w:val="52"/>
          <w:highlight w:val="none"/>
        </w:rPr>
        <w:t>技术规范书</w:t>
      </w:r>
    </w:p>
    <w:p w14:paraId="04950F85">
      <w:pPr>
        <w:spacing w:before="156" w:beforeLines="50"/>
        <w:rPr>
          <w:rFonts w:ascii="楷体_GB2312" w:hAnsi="宋体" w:eastAsia="楷体_GB2312"/>
          <w:sz w:val="32"/>
          <w:szCs w:val="32"/>
          <w:highlight w:val="none"/>
        </w:rPr>
      </w:pPr>
    </w:p>
    <w:p w14:paraId="44C4ECB6">
      <w:pPr>
        <w:spacing w:before="156" w:beforeLines="50"/>
        <w:jc w:val="center"/>
        <w:rPr>
          <w:rFonts w:ascii="楷体_GB2312" w:hAnsi="宋体" w:eastAsia="楷体_GB2312"/>
          <w:sz w:val="32"/>
          <w:szCs w:val="32"/>
          <w:highlight w:val="none"/>
        </w:rPr>
      </w:pPr>
    </w:p>
    <w:p w14:paraId="0DCA3BB9">
      <w:pPr>
        <w:spacing w:before="156" w:beforeLines="50"/>
        <w:rPr>
          <w:rFonts w:ascii="楷体_GB2312" w:hAnsi="宋体" w:eastAsia="楷体_GB2312"/>
          <w:sz w:val="32"/>
          <w:szCs w:val="32"/>
          <w:highlight w:val="none"/>
        </w:rPr>
      </w:pPr>
    </w:p>
    <w:p w14:paraId="6C518856">
      <w:pPr>
        <w:pStyle w:val="19"/>
        <w:rPr>
          <w:rStyle w:val="21"/>
          <w:rFonts w:ascii="黑体" w:hAnsi="黑体" w:eastAsia="黑体" w:cs="黑体"/>
          <w:highlight w:val="none"/>
        </w:rPr>
      </w:pPr>
    </w:p>
    <w:p w14:paraId="66A8A208">
      <w:pPr>
        <w:pStyle w:val="19"/>
        <w:rPr>
          <w:rStyle w:val="21"/>
          <w:rFonts w:ascii="黑体" w:hAnsi="黑体" w:eastAsia="黑体" w:cs="黑体"/>
          <w:highlight w:val="none"/>
        </w:rPr>
      </w:pPr>
    </w:p>
    <w:p w14:paraId="4AA7D6D8">
      <w:pPr>
        <w:pStyle w:val="19"/>
        <w:rPr>
          <w:rFonts w:ascii="黑体" w:hAnsi="黑体" w:eastAsia="黑体" w:cs="黑体"/>
          <w:highlight w:val="none"/>
        </w:rPr>
        <w:sectPr>
          <w:pgSz w:w="11906" w:h="16838"/>
          <w:pgMar w:top="1440" w:right="1800" w:bottom="1440" w:left="1800" w:header="851" w:footer="992" w:gutter="0"/>
          <w:cols w:space="425" w:num="1"/>
          <w:docGrid w:type="lines" w:linePitch="312" w:charSpace="0"/>
        </w:sectPr>
      </w:pPr>
      <w:bookmarkStart w:id="2" w:name="_Toc30850"/>
      <w:r>
        <w:rPr>
          <w:rStyle w:val="21"/>
          <w:rFonts w:hint="eastAsia" w:ascii="黑体" w:hAnsi="黑体" w:eastAsia="黑体" w:cs="黑体"/>
          <w:highlight w:val="none"/>
          <w:lang w:val="en-US" w:eastAsia="zh-CN"/>
        </w:rPr>
        <w:t>2026</w:t>
      </w:r>
      <w:r>
        <w:rPr>
          <w:rStyle w:val="21"/>
          <w:rFonts w:hint="eastAsia" w:ascii="黑体" w:hAnsi="黑体" w:eastAsia="黑体" w:cs="黑体"/>
          <w:highlight w:val="none"/>
        </w:rPr>
        <w:t>年</w:t>
      </w:r>
      <w:r>
        <w:rPr>
          <w:rStyle w:val="21"/>
          <w:rFonts w:hint="eastAsia" w:ascii="黑体" w:hAnsi="黑体" w:eastAsia="黑体" w:cs="黑体"/>
          <w:highlight w:val="none"/>
          <w:lang w:val="en-US" w:eastAsia="zh-CN"/>
        </w:rPr>
        <w:t>07</w:t>
      </w:r>
      <w:r>
        <w:rPr>
          <w:rStyle w:val="21"/>
          <w:rFonts w:hint="eastAsia" w:ascii="黑体" w:hAnsi="黑体" w:eastAsia="黑体" w:cs="黑体"/>
          <w:highlight w:val="none"/>
        </w:rPr>
        <w:t>月</w:t>
      </w:r>
    </w:p>
    <w:p w14:paraId="7110E80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黑体" w:hAnsi="黑体" w:eastAsia="黑体" w:cs="黑体"/>
          <w:bCs/>
          <w:sz w:val="44"/>
          <w:szCs w:val="36"/>
          <w:highlight w:val="none"/>
        </w:rPr>
      </w:pPr>
      <w:r>
        <w:rPr>
          <w:rFonts w:hint="eastAsia" w:ascii="黑体" w:hAnsi="黑体" w:eastAsia="黑体" w:cs="黑体"/>
          <w:bCs/>
          <w:sz w:val="44"/>
          <w:szCs w:val="36"/>
          <w:highlight w:val="none"/>
        </w:rPr>
        <w:t>目</w:t>
      </w:r>
      <w:r>
        <w:rPr>
          <w:rFonts w:hint="eastAsia" w:ascii="黑体" w:hAnsi="黑体" w:eastAsia="黑体" w:cs="黑体"/>
          <w:bCs/>
          <w:sz w:val="44"/>
          <w:szCs w:val="36"/>
          <w:highlight w:val="none"/>
          <w:lang w:val="en-US" w:eastAsia="zh-CN"/>
        </w:rPr>
        <w:t xml:space="preserve"> </w:t>
      </w:r>
      <w:r>
        <w:rPr>
          <w:rFonts w:hint="eastAsia" w:ascii="黑体" w:hAnsi="黑体" w:eastAsia="黑体" w:cs="黑体"/>
          <w:bCs/>
          <w:sz w:val="44"/>
          <w:szCs w:val="36"/>
          <w:highlight w:val="none"/>
        </w:rPr>
        <w:t>录</w:t>
      </w:r>
      <w:bookmarkEnd w:id="0"/>
      <w:bookmarkEnd w:id="1"/>
      <w:bookmarkEnd w:id="2"/>
    </w:p>
    <w:p w14:paraId="26A53B54">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TOC \o "1-2" \h \u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_Toc9347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总 则</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_Toc9347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5DAA546F">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_Toc3738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  标的概况</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_Toc3738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0C098129">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_Toc7667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  研究内容及目的</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_Toc7667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5725EBDF">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_Toc29882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2.1 研究内容</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_Toc29882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55ADD02F">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_Toc22754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2.2 研究目的</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_Toc22754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2F794FA0">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_Toc20003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  主要技术指标要求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_Toc20003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10FEDEBA">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_Toc14246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  时间进度要求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_Toc14246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12895029">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_Toc21501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  成果交付与验收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_Toc21501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4D713941">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_Toc5704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5.1 成果形式及数量要求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_Toc5704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55F0D792">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_Toc25508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★5.2 成果的权属要求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_Toc25508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49673B26">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_Toc28744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lang w:val="en-US" w:eastAsia="zh-CN"/>
        </w:rPr>
        <w:t>5.3技术架构要求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_Toc28744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0F939697">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_Toc6117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5.</w:t>
      </w: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成果验收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_Toc6117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7C43141C">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_Toc30047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  投标技术文件要求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_Toc30047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0566DA14">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_Toc26928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6.1 研究方案</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_Toc26928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042EF3F0">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_Toc3443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6.2 项目管理实施</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_Toc3443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39E7F671">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_Toc29755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6.3 项目技术支撑能力</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_Toc29755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34586FDE">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_Toc3357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6.4 技术支持与售后服务</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_Toc3357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7</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1EDF86F9">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_Toc17138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6.5 技术差异表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_Toc17138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7</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0A3B64ED">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_Toc10100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6.6 其它补充说明</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_Toc10100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7</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151B5366">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ascii="黑体" w:hAnsi="黑体" w:eastAsia="黑体" w:cs="黑体"/>
          <w:b/>
          <w:sz w:val="24"/>
          <w:highlight w:val="none"/>
        </w:rPr>
      </w:pPr>
      <w:r>
        <w:rPr>
          <w:rFonts w:hint="eastAsia" w:ascii="宋体" w:hAnsi="宋体" w:eastAsia="宋体" w:cs="宋体"/>
          <w:sz w:val="24"/>
          <w:szCs w:val="24"/>
          <w:highlight w:val="none"/>
        </w:rPr>
        <w:fldChar w:fldCharType="end"/>
      </w:r>
    </w:p>
    <w:p w14:paraId="392A3FC6">
      <w:pPr>
        <w:rPr>
          <w:rFonts w:ascii="宋体" w:hAnsi="宋体"/>
          <w:b/>
          <w:sz w:val="30"/>
          <w:highlight w:val="none"/>
        </w:rPr>
      </w:pPr>
      <w:r>
        <w:rPr>
          <w:rFonts w:ascii="宋体" w:hAnsi="宋体"/>
          <w:b/>
          <w:sz w:val="30"/>
          <w:highlight w:val="none"/>
        </w:rPr>
        <w:br w:type="page"/>
      </w:r>
    </w:p>
    <w:p w14:paraId="14AE6949">
      <w:pPr>
        <w:spacing w:line="480" w:lineRule="auto"/>
        <w:jc w:val="center"/>
        <w:outlineLvl w:val="0"/>
        <w:rPr>
          <w:rFonts w:ascii="宋体" w:hAnsi="宋体"/>
          <w:b/>
          <w:sz w:val="32"/>
          <w:highlight w:val="none"/>
        </w:rPr>
      </w:pPr>
      <w:bookmarkStart w:id="3" w:name="_Toc32374"/>
      <w:bookmarkStart w:id="4" w:name="_Toc266713645"/>
      <w:bookmarkStart w:id="5" w:name="_Toc17586"/>
      <w:bookmarkStart w:id="6" w:name="_Toc19589"/>
      <w:bookmarkStart w:id="7" w:name="_Toc9347"/>
      <w:r>
        <w:rPr>
          <w:rFonts w:hint="eastAsia" w:ascii="宋体" w:hAnsi="宋体"/>
          <w:b/>
          <w:sz w:val="32"/>
          <w:highlight w:val="none"/>
        </w:rPr>
        <w:t>总 则</w:t>
      </w:r>
      <w:bookmarkEnd w:id="3"/>
      <w:bookmarkEnd w:id="4"/>
      <w:bookmarkEnd w:id="5"/>
      <w:bookmarkEnd w:id="6"/>
      <w:bookmarkEnd w:id="7"/>
    </w:p>
    <w:p w14:paraId="1B4B42BA">
      <w:pPr>
        <w:numPr>
          <w:ilvl w:val="0"/>
          <w:numId w:val="2"/>
        </w:numPr>
        <w:spacing w:line="360" w:lineRule="auto"/>
        <w:rPr>
          <w:rFonts w:ascii="宋体" w:hAnsi="宋体"/>
          <w:bCs/>
          <w:sz w:val="24"/>
          <w:highlight w:val="none"/>
        </w:rPr>
      </w:pPr>
      <w:r>
        <w:rPr>
          <w:rFonts w:hint="eastAsia" w:ascii="宋体" w:hAnsi="宋体"/>
          <w:bCs/>
          <w:sz w:val="24"/>
          <w:highlight w:val="none"/>
        </w:rPr>
        <w:t>本文件为</w:t>
      </w:r>
      <w:r>
        <w:rPr>
          <w:rFonts w:hint="eastAsia" w:ascii="宋体" w:hAnsi="宋体"/>
          <w:bCs/>
          <w:sz w:val="24"/>
          <w:highlight w:val="none"/>
          <w:lang w:val="en-US" w:eastAsia="zh-CN"/>
        </w:rPr>
        <w:t>该采购项目的</w:t>
      </w:r>
      <w:r>
        <w:rPr>
          <w:rFonts w:hint="eastAsia" w:ascii="宋体" w:hAnsi="宋体"/>
          <w:bCs/>
          <w:sz w:val="24"/>
          <w:highlight w:val="none"/>
        </w:rPr>
        <w:t>技术招标文件。</w:t>
      </w:r>
    </w:p>
    <w:p w14:paraId="2454D14B">
      <w:pPr>
        <w:numPr>
          <w:ilvl w:val="0"/>
          <w:numId w:val="2"/>
        </w:numPr>
        <w:spacing w:line="360" w:lineRule="auto"/>
        <w:rPr>
          <w:rFonts w:ascii="宋体" w:hAnsi="宋体"/>
          <w:bCs/>
          <w:sz w:val="24"/>
          <w:highlight w:val="none"/>
        </w:rPr>
      </w:pPr>
      <w:r>
        <w:rPr>
          <w:rFonts w:hint="eastAsia" w:ascii="宋体" w:hAnsi="宋体"/>
          <w:bCs/>
          <w:sz w:val="24"/>
          <w:highlight w:val="none"/>
        </w:rPr>
        <w:t>本文件所描述的各</w:t>
      </w:r>
      <w:r>
        <w:rPr>
          <w:rFonts w:hint="eastAsia" w:hAnsi="宋体"/>
          <w:bCs/>
          <w:sz w:val="24"/>
          <w:highlight w:val="none"/>
        </w:rPr>
        <w:t>项技术要求</w:t>
      </w:r>
      <w:r>
        <w:rPr>
          <w:rFonts w:hint="eastAsia" w:ascii="宋体" w:hAnsi="宋体"/>
          <w:bCs/>
          <w:sz w:val="24"/>
          <w:highlight w:val="none"/>
        </w:rPr>
        <w:t>仅供投标方编制投标文件之用。</w:t>
      </w:r>
    </w:p>
    <w:p w14:paraId="23E8BD30">
      <w:pPr>
        <w:numPr>
          <w:ilvl w:val="0"/>
          <w:numId w:val="2"/>
        </w:numPr>
        <w:spacing w:line="360" w:lineRule="auto"/>
        <w:rPr>
          <w:rFonts w:ascii="宋体" w:hAnsi="宋体"/>
          <w:bCs/>
          <w:sz w:val="24"/>
          <w:highlight w:val="none"/>
        </w:rPr>
      </w:pPr>
      <w:r>
        <w:rPr>
          <w:rFonts w:hint="eastAsia" w:ascii="宋体" w:hAnsi="宋体"/>
          <w:bCs/>
          <w:sz w:val="24"/>
          <w:highlight w:val="none"/>
        </w:rPr>
        <w:t>本标书仅描述基本的技术需求，并未对一切技术细节做出规定，也未充分引述有关标准和技术条文，投标方应根据需求目标提供进一步具体的可满足要求的</w:t>
      </w:r>
      <w:r>
        <w:rPr>
          <w:rFonts w:hint="eastAsia" w:hAnsi="宋体"/>
          <w:bCs/>
          <w:sz w:val="24"/>
          <w:highlight w:val="none"/>
        </w:rPr>
        <w:t>技术</w:t>
      </w:r>
      <w:r>
        <w:rPr>
          <w:rFonts w:hint="eastAsia" w:ascii="宋体" w:hAnsi="宋体"/>
          <w:bCs/>
          <w:sz w:val="24"/>
          <w:highlight w:val="none"/>
        </w:rPr>
        <w:t>指标。</w:t>
      </w:r>
    </w:p>
    <w:p w14:paraId="35C18F38">
      <w:pPr>
        <w:numPr>
          <w:ilvl w:val="0"/>
          <w:numId w:val="2"/>
        </w:numPr>
        <w:spacing w:line="360" w:lineRule="auto"/>
        <w:rPr>
          <w:rFonts w:ascii="宋体" w:hAnsi="宋体"/>
          <w:bCs/>
          <w:sz w:val="24"/>
          <w:highlight w:val="none"/>
        </w:rPr>
      </w:pPr>
      <w:r>
        <w:rPr>
          <w:rFonts w:hint="eastAsia" w:ascii="宋体" w:hAnsi="宋体"/>
          <w:bCs/>
          <w:sz w:val="24"/>
          <w:highlight w:val="none"/>
        </w:rPr>
        <w:t>投标技术文件要求文字精练、数据准确、表述及图示清晰明确，具有针对性。</w:t>
      </w:r>
    </w:p>
    <w:p w14:paraId="00ACD75C">
      <w:pPr>
        <w:numPr>
          <w:ilvl w:val="0"/>
          <w:numId w:val="2"/>
        </w:numPr>
        <w:spacing w:line="360" w:lineRule="auto"/>
        <w:rPr>
          <w:rFonts w:ascii="宋体" w:hAnsi="宋体"/>
          <w:bCs/>
          <w:sz w:val="24"/>
          <w:highlight w:val="none"/>
        </w:rPr>
      </w:pPr>
      <w:r>
        <w:rPr>
          <w:rFonts w:hint="eastAsia" w:ascii="宋体" w:hAnsi="宋体"/>
          <w:bCs/>
          <w:sz w:val="24"/>
          <w:szCs w:val="22"/>
          <w:highlight w:val="none"/>
        </w:rPr>
        <w:t>投标方在投标技术文件中应对本标书逐项予以说明和答复,应如实反映投标</w:t>
      </w:r>
      <w:r>
        <w:rPr>
          <w:rFonts w:hint="eastAsia" w:hAnsi="宋体"/>
          <w:bCs/>
          <w:sz w:val="24"/>
          <w:szCs w:val="22"/>
          <w:highlight w:val="none"/>
        </w:rPr>
        <w:t>服务</w:t>
      </w:r>
      <w:r>
        <w:rPr>
          <w:rFonts w:hint="eastAsia" w:ascii="宋体" w:hAnsi="宋体"/>
          <w:bCs/>
          <w:sz w:val="24"/>
          <w:szCs w:val="22"/>
          <w:highlight w:val="none"/>
        </w:rPr>
        <w:t>与本技术规范书的技术差异。如果投标方没有提出技术差异，而在执行合同的过程中，招标方发现投标方提供的</w:t>
      </w:r>
      <w:r>
        <w:rPr>
          <w:rFonts w:hint="eastAsia" w:hAnsi="宋体"/>
          <w:bCs/>
          <w:sz w:val="24"/>
          <w:szCs w:val="22"/>
          <w:highlight w:val="none"/>
        </w:rPr>
        <w:t>服务</w:t>
      </w:r>
      <w:r>
        <w:rPr>
          <w:rFonts w:hint="eastAsia" w:ascii="宋体" w:hAnsi="宋体"/>
          <w:bCs/>
          <w:sz w:val="24"/>
          <w:szCs w:val="22"/>
          <w:highlight w:val="none"/>
        </w:rPr>
        <w:t>与其投标技术文件的条文存在差异，招标方</w:t>
      </w:r>
      <w:r>
        <w:rPr>
          <w:rFonts w:hint="eastAsia" w:hAnsi="宋体"/>
          <w:bCs/>
          <w:sz w:val="24"/>
          <w:szCs w:val="22"/>
          <w:highlight w:val="none"/>
        </w:rPr>
        <w:t>将</w:t>
      </w:r>
      <w:r>
        <w:rPr>
          <w:rFonts w:hint="eastAsia" w:ascii="宋体" w:hAnsi="宋体"/>
          <w:bCs/>
          <w:sz w:val="24"/>
          <w:szCs w:val="22"/>
          <w:highlight w:val="none"/>
        </w:rPr>
        <w:t>追究投标方违约责任</w:t>
      </w:r>
      <w:r>
        <w:rPr>
          <w:rFonts w:hint="eastAsia" w:ascii="宋体" w:hAnsi="宋体"/>
          <w:bCs/>
          <w:sz w:val="24"/>
          <w:highlight w:val="none"/>
        </w:rPr>
        <w:t>。</w:t>
      </w:r>
    </w:p>
    <w:p w14:paraId="7FAF441C">
      <w:pPr>
        <w:numPr>
          <w:ilvl w:val="0"/>
          <w:numId w:val="2"/>
        </w:numPr>
        <w:spacing w:line="360" w:lineRule="auto"/>
        <w:rPr>
          <w:rFonts w:ascii="宋体" w:hAnsi="宋体"/>
          <w:bCs/>
          <w:sz w:val="24"/>
          <w:highlight w:val="none"/>
        </w:rPr>
      </w:pPr>
      <w:r>
        <w:rPr>
          <w:rFonts w:hint="eastAsia" w:ascii="宋体" w:hAnsi="宋体"/>
          <w:bCs/>
          <w:sz w:val="24"/>
          <w:szCs w:val="22"/>
          <w:highlight w:val="none"/>
        </w:rPr>
        <w:t>投标方应在投标技术部分按本技术规范书的要求</w:t>
      </w:r>
      <w:r>
        <w:rPr>
          <w:rFonts w:hint="eastAsia" w:hAnsi="宋体"/>
          <w:bCs/>
          <w:sz w:val="24"/>
          <w:szCs w:val="22"/>
          <w:highlight w:val="none"/>
        </w:rPr>
        <w:t>内容</w:t>
      </w:r>
      <w:r>
        <w:rPr>
          <w:rFonts w:hint="eastAsia" w:ascii="宋体" w:hAnsi="宋体"/>
          <w:bCs/>
          <w:sz w:val="24"/>
          <w:szCs w:val="22"/>
          <w:highlight w:val="none"/>
        </w:rPr>
        <w:t>如实详细填写投标</w:t>
      </w:r>
      <w:r>
        <w:rPr>
          <w:rFonts w:hint="eastAsia" w:hAnsi="宋体"/>
          <w:bCs/>
          <w:sz w:val="24"/>
          <w:szCs w:val="22"/>
          <w:highlight w:val="none"/>
        </w:rPr>
        <w:t>服务</w:t>
      </w:r>
      <w:r>
        <w:rPr>
          <w:rFonts w:hint="eastAsia" w:ascii="宋体" w:hAnsi="宋体"/>
          <w:bCs/>
          <w:sz w:val="24"/>
          <w:szCs w:val="22"/>
          <w:highlight w:val="none"/>
        </w:rPr>
        <w:t>的</w:t>
      </w:r>
      <w:r>
        <w:rPr>
          <w:rFonts w:hint="eastAsia" w:hAnsi="宋体"/>
          <w:bCs/>
          <w:sz w:val="24"/>
          <w:szCs w:val="22"/>
          <w:highlight w:val="none"/>
        </w:rPr>
        <w:t>范围及明细</w:t>
      </w:r>
      <w:r>
        <w:rPr>
          <w:rFonts w:hint="eastAsia" w:ascii="宋体" w:hAnsi="宋体"/>
          <w:bCs/>
          <w:sz w:val="24"/>
          <w:szCs w:val="22"/>
          <w:highlight w:val="none"/>
        </w:rPr>
        <w:t>，并在投标商务部分</w:t>
      </w:r>
      <w:r>
        <w:rPr>
          <w:rFonts w:hint="eastAsia" w:hAnsi="宋体"/>
          <w:bCs/>
          <w:sz w:val="24"/>
          <w:szCs w:val="22"/>
          <w:highlight w:val="none"/>
        </w:rPr>
        <w:t>（或报价部分）</w:t>
      </w:r>
      <w:r>
        <w:rPr>
          <w:rFonts w:hint="eastAsia" w:ascii="宋体" w:hAnsi="宋体"/>
          <w:bCs/>
          <w:sz w:val="24"/>
          <w:szCs w:val="22"/>
          <w:highlight w:val="none"/>
        </w:rPr>
        <w:t>按</w:t>
      </w:r>
      <w:r>
        <w:rPr>
          <w:rFonts w:hint="eastAsia" w:hAnsi="宋体"/>
          <w:bCs/>
          <w:sz w:val="24"/>
          <w:szCs w:val="22"/>
          <w:highlight w:val="none"/>
        </w:rPr>
        <w:t>此范围及明细</w:t>
      </w:r>
      <w:r>
        <w:rPr>
          <w:rFonts w:hint="eastAsia" w:ascii="宋体" w:hAnsi="宋体"/>
          <w:bCs/>
          <w:sz w:val="24"/>
          <w:szCs w:val="22"/>
          <w:highlight w:val="none"/>
        </w:rPr>
        <w:t>进行</w:t>
      </w:r>
      <w:r>
        <w:rPr>
          <w:rFonts w:hint="eastAsia" w:hAnsi="宋体"/>
          <w:bCs/>
          <w:sz w:val="24"/>
          <w:szCs w:val="22"/>
          <w:highlight w:val="none"/>
        </w:rPr>
        <w:t>分项</w:t>
      </w:r>
      <w:r>
        <w:rPr>
          <w:rFonts w:hint="eastAsia" w:ascii="宋体" w:hAnsi="宋体"/>
          <w:bCs/>
          <w:sz w:val="24"/>
          <w:szCs w:val="22"/>
          <w:highlight w:val="none"/>
        </w:rPr>
        <w:t>报价，如发现</w:t>
      </w:r>
      <w:r>
        <w:rPr>
          <w:rFonts w:hint="eastAsia" w:hAnsi="宋体"/>
          <w:bCs/>
          <w:sz w:val="24"/>
          <w:szCs w:val="22"/>
          <w:highlight w:val="none"/>
        </w:rPr>
        <w:t>总报价与分项报价</w:t>
      </w:r>
      <w:r>
        <w:rPr>
          <w:rFonts w:hint="eastAsia" w:ascii="宋体" w:hAnsi="宋体"/>
          <w:bCs/>
          <w:sz w:val="24"/>
          <w:szCs w:val="22"/>
          <w:highlight w:val="none"/>
        </w:rPr>
        <w:t>有矛盾之处，将按有利于招标方的条款执行</w:t>
      </w:r>
      <w:r>
        <w:rPr>
          <w:rFonts w:hint="eastAsia" w:hAnsi="宋体"/>
          <w:bCs/>
          <w:sz w:val="24"/>
          <w:szCs w:val="22"/>
          <w:highlight w:val="none"/>
        </w:rPr>
        <w:t>。</w:t>
      </w:r>
      <w:r>
        <w:rPr>
          <w:rFonts w:hint="eastAsia" w:ascii="宋体" w:hAnsi="宋体"/>
          <w:bCs/>
          <w:sz w:val="24"/>
          <w:szCs w:val="22"/>
          <w:highlight w:val="none"/>
        </w:rPr>
        <w:t xml:space="preserve"> </w:t>
      </w:r>
    </w:p>
    <w:p w14:paraId="6E34104E">
      <w:pPr>
        <w:numPr>
          <w:ilvl w:val="0"/>
          <w:numId w:val="2"/>
        </w:numPr>
        <w:spacing w:line="360" w:lineRule="auto"/>
        <w:rPr>
          <w:rFonts w:ascii="宋体" w:hAnsi="宋体"/>
          <w:bCs/>
          <w:sz w:val="24"/>
          <w:szCs w:val="22"/>
          <w:highlight w:val="none"/>
        </w:rPr>
      </w:pPr>
      <w:r>
        <w:rPr>
          <w:rFonts w:hint="eastAsia" w:ascii="宋体" w:hAnsi="宋体"/>
          <w:bCs/>
          <w:sz w:val="24"/>
          <w:szCs w:val="22"/>
          <w:highlight w:val="none"/>
        </w:rPr>
        <w:t>投标方必须仔细阅读采购文件的全部条款，并作出明确响应。采购文件带“★”号的条款及要求，</w:t>
      </w:r>
      <w:r>
        <w:rPr>
          <w:rFonts w:hint="eastAsia" w:ascii="宋体" w:hAnsi="宋体"/>
          <w:bCs/>
          <w:sz w:val="24"/>
          <w:szCs w:val="22"/>
          <w:highlight w:val="none"/>
          <w:lang w:val="en-US" w:eastAsia="zh-CN"/>
        </w:rPr>
        <w:t>投标</w:t>
      </w:r>
      <w:r>
        <w:rPr>
          <w:rFonts w:hint="eastAsia" w:ascii="宋体" w:hAnsi="宋体"/>
          <w:bCs/>
          <w:sz w:val="24"/>
          <w:szCs w:val="22"/>
          <w:highlight w:val="none"/>
        </w:rPr>
        <w:t>方必须满足，若有一项不满足将否决投标。</w:t>
      </w:r>
    </w:p>
    <w:p w14:paraId="7F68FF64">
      <w:pPr>
        <w:numPr>
          <w:ilvl w:val="0"/>
          <w:numId w:val="2"/>
        </w:numPr>
        <w:spacing w:line="360" w:lineRule="auto"/>
        <w:rPr>
          <w:rFonts w:ascii="宋体" w:hAnsi="宋体"/>
          <w:bCs/>
          <w:sz w:val="24"/>
          <w:szCs w:val="22"/>
          <w:highlight w:val="none"/>
        </w:rPr>
      </w:pPr>
      <w:r>
        <w:rPr>
          <w:rFonts w:hint="eastAsia" w:ascii="宋体" w:hAnsi="宋体"/>
          <w:bCs/>
          <w:sz w:val="24"/>
          <w:szCs w:val="22"/>
          <w:highlight w:val="none"/>
        </w:rPr>
        <w:t>本技术规范书未尽事宜，由双方协商确定。</w:t>
      </w:r>
    </w:p>
    <w:p w14:paraId="54A88A7A">
      <w:pPr>
        <w:numPr>
          <w:ilvl w:val="0"/>
          <w:numId w:val="2"/>
        </w:numPr>
        <w:spacing w:line="360" w:lineRule="auto"/>
        <w:rPr>
          <w:rFonts w:ascii="宋体" w:hAnsi="宋体"/>
          <w:bCs/>
          <w:sz w:val="24"/>
          <w:highlight w:val="none"/>
        </w:rPr>
      </w:pPr>
      <w:r>
        <w:rPr>
          <w:rFonts w:hint="eastAsia" w:ascii="宋体" w:hAnsi="宋体"/>
          <w:bCs/>
          <w:sz w:val="24"/>
          <w:highlight w:val="none"/>
        </w:rPr>
        <w:t>本标书的最终解释权归招标方。</w:t>
      </w:r>
    </w:p>
    <w:p w14:paraId="7F32174E">
      <w:pPr>
        <w:pStyle w:val="22"/>
        <w:spacing w:before="312"/>
        <w:rPr>
          <w:szCs w:val="22"/>
          <w:highlight w:val="none"/>
        </w:rPr>
      </w:pPr>
      <w:r>
        <w:rPr>
          <w:rFonts w:hint="eastAsia"/>
          <w:szCs w:val="22"/>
          <w:highlight w:val="none"/>
        </w:rPr>
        <w:br w:type="page"/>
      </w:r>
    </w:p>
    <w:p w14:paraId="18C73468">
      <w:pPr>
        <w:pStyle w:val="22"/>
        <w:spacing w:before="312"/>
        <w:outlineLvl w:val="0"/>
        <w:rPr>
          <w:rFonts w:ascii="黑体" w:hAnsi="黑体" w:eastAsia="黑体" w:cs="黑体"/>
          <w:sz w:val="28"/>
          <w:szCs w:val="28"/>
          <w:highlight w:val="none"/>
        </w:rPr>
      </w:pPr>
      <w:bookmarkStart w:id="8" w:name="_Toc3738"/>
      <w:r>
        <w:rPr>
          <w:rFonts w:hint="eastAsia" w:ascii="黑体" w:hAnsi="黑体" w:eastAsia="黑体" w:cs="黑体"/>
          <w:sz w:val="28"/>
          <w:szCs w:val="28"/>
          <w:highlight w:val="none"/>
        </w:rPr>
        <w:t>1  标的概况</w:t>
      </w:r>
      <w:bookmarkEnd w:id="8"/>
    </w:p>
    <w:p w14:paraId="1B36C5D8">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标的名称：标的4：柔性直流用低漏磁空心电抗器关键技术研究（技术开发）</w:t>
      </w:r>
    </w:p>
    <w:p w14:paraId="0AC9076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asciiTheme="minorEastAsia" w:hAnsiTheme="minorEastAsia" w:eastAsiaTheme="minorEastAsia" w:cstheme="minorEastAsia"/>
          <w:color w:val="000000"/>
          <w:sz w:val="24"/>
          <w:highlight w:val="none"/>
        </w:rPr>
      </w:pPr>
      <w:bookmarkStart w:id="9" w:name="_Toc30787"/>
      <w:bookmarkStart w:id="10" w:name="_Toc22746"/>
      <w:r>
        <w:rPr>
          <w:rFonts w:hint="eastAsia" w:asciiTheme="minorEastAsia" w:hAnsiTheme="minorEastAsia" w:eastAsiaTheme="minorEastAsia" w:cstheme="minorEastAsia"/>
          <w:color w:val="000000"/>
          <w:sz w:val="24"/>
          <w:highlight w:val="none"/>
          <w:lang w:val="en-US" w:eastAsia="zh-CN"/>
        </w:rPr>
        <w:t>标包</w:t>
      </w:r>
      <w:r>
        <w:rPr>
          <w:rFonts w:hint="eastAsia" w:asciiTheme="minorEastAsia" w:hAnsiTheme="minorEastAsia" w:eastAsiaTheme="minorEastAsia" w:cstheme="minorEastAsia"/>
          <w:color w:val="000000"/>
          <w:sz w:val="24"/>
          <w:highlight w:val="none"/>
        </w:rPr>
        <w:t>名称：</w:t>
      </w:r>
      <w:bookmarkEnd w:id="9"/>
      <w:bookmarkEnd w:id="10"/>
      <w:r>
        <w:rPr>
          <w:rFonts w:hint="eastAsia" w:asciiTheme="minorEastAsia" w:hAnsiTheme="minorEastAsia" w:eastAsiaTheme="minorEastAsia" w:cstheme="minorEastAsia"/>
          <w:color w:val="000000"/>
          <w:sz w:val="24"/>
          <w:highlight w:val="none"/>
        </w:rPr>
        <w:t>标的4：柔性直流用低漏磁空心电抗器关键技术研究（技术开发）</w:t>
      </w:r>
    </w:p>
    <w:p w14:paraId="259B780A">
      <w:pPr>
        <w:keepNext w:val="0"/>
        <w:keepLines w:val="0"/>
        <w:pageBreakBefore w:val="0"/>
        <w:widowControl w:val="0"/>
        <w:kinsoku/>
        <w:wordWrap/>
        <w:overflowPunct/>
        <w:topLinePunct w:val="0"/>
        <w:autoSpaceDE/>
        <w:autoSpaceDN/>
        <w:bidi w:val="0"/>
        <w:spacing w:line="360" w:lineRule="auto"/>
        <w:textAlignment w:val="auto"/>
        <w:outlineLvl w:val="9"/>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lang w:val="en-US" w:eastAsia="zh-CN"/>
        </w:rPr>
        <w:t>概况</w:t>
      </w:r>
      <w:r>
        <w:rPr>
          <w:rFonts w:hint="eastAsia" w:asciiTheme="minorEastAsia" w:hAnsiTheme="minorEastAsia" w:eastAsiaTheme="minorEastAsia" w:cstheme="minorEastAsia"/>
          <w:color w:val="000000"/>
          <w:sz w:val="24"/>
          <w:highlight w:val="none"/>
        </w:rPr>
        <w:t>：该标的主要是开展柔性直流用低漏磁空心电抗器关键技术研究。包括提出新型低漏磁环形空心电抗器结构及优化设计方法，建立新型低漏磁空心电抗器多物理场仿真模型，为高可靠性柔性直流输电系统提供关键支撑。</w:t>
      </w:r>
    </w:p>
    <w:p w14:paraId="4BBAB6E4">
      <w:pPr>
        <w:pStyle w:val="22"/>
        <w:spacing w:before="312"/>
        <w:outlineLvl w:val="0"/>
        <w:rPr>
          <w:rFonts w:ascii="黑体" w:hAnsi="黑体" w:eastAsia="黑体" w:cs="黑体"/>
          <w:sz w:val="28"/>
          <w:szCs w:val="28"/>
          <w:highlight w:val="none"/>
        </w:rPr>
      </w:pPr>
      <w:bookmarkStart w:id="11" w:name="_Toc7667"/>
      <w:r>
        <w:rPr>
          <w:rFonts w:hint="eastAsia" w:ascii="黑体" w:hAnsi="黑体" w:eastAsia="黑体" w:cs="黑体"/>
          <w:sz w:val="28"/>
          <w:szCs w:val="28"/>
          <w:highlight w:val="none"/>
        </w:rPr>
        <w:t>2  研究内容及目的</w:t>
      </w:r>
      <w:bookmarkEnd w:id="11"/>
    </w:p>
    <w:p w14:paraId="32FED353">
      <w:pPr>
        <w:spacing w:line="360" w:lineRule="auto"/>
        <w:outlineLvl w:val="1"/>
        <w:rPr>
          <w:rFonts w:hint="eastAsia" w:ascii="黑体" w:hAnsi="黑体" w:eastAsia="黑体" w:cs="黑体"/>
          <w:bCs/>
          <w:sz w:val="24"/>
          <w:highlight w:val="none"/>
        </w:rPr>
      </w:pPr>
      <w:bookmarkStart w:id="12" w:name="_Toc29882"/>
      <w:r>
        <w:rPr>
          <w:rFonts w:hint="eastAsia" w:ascii="黑体" w:hAnsi="黑体" w:eastAsia="黑体" w:cs="黑体"/>
          <w:bCs/>
          <w:sz w:val="24"/>
          <w:highlight w:val="none"/>
        </w:rPr>
        <w:t>2.1 研究内容</w:t>
      </w:r>
      <w:bookmarkEnd w:id="12"/>
    </w:p>
    <w:p w14:paraId="787020C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val="en-US" w:eastAsia="zh-CN"/>
        </w:rPr>
        <w:t>研究内容主要包括以下方面：</w:t>
      </w:r>
    </w:p>
    <w:p w14:paraId="730193B3">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480" w:firstLineChars="200"/>
        <w:textAlignment w:val="auto"/>
        <w:outlineLvl w:val="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新型低漏磁空心电抗器设计方法研究，针对传统柱形电抗器因漏磁过高导致的建筑钢结构发热严重问题，提出新型低漏磁的环形空心电抗器结构，揭示漏磁扩散机理，提出低漏磁环形空心电抗器优化设计方法。</w:t>
      </w:r>
    </w:p>
    <w:p w14:paraId="3CB74F5B">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480" w:firstLineChars="200"/>
        <w:textAlignment w:val="auto"/>
        <w:outlineLvl w:val="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空心电抗器电-磁-热多物理场仿真模型建立及分布规律研究，针对空心电抗漏磁致热机理不明确的问题，推导漏磁-涡流损耗机理及其致热规律，建立新型环形空心电抗的电-磁- 热多物理场分析模型，研究漏磁分布特性以及电抗器室中楼板钢底模、楼板钢筋和钢梁的涡流感应和温升规律。</w:t>
      </w:r>
    </w:p>
    <w:p w14:paraId="1CEB757B">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480" w:firstLineChars="200"/>
        <w:textAlignment w:val="auto"/>
        <w:outlineLvl w:val="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新型低漏磁空心电抗器工程适用性研究，针对柔直工程中电抗器漏磁对楼板钢底模、楼板钢筋和钢梁的致热问题，建立新型环形空心电抗器仿真模型，分析新型环形电抗器在缓解发热、减小磁净距、降低占地面积和增加系统紧凑度中的工程优势。</w:t>
      </w:r>
    </w:p>
    <w:p w14:paraId="10C39605">
      <w:pPr>
        <w:spacing w:line="360" w:lineRule="auto"/>
        <w:outlineLvl w:val="1"/>
        <w:rPr>
          <w:rFonts w:hint="eastAsia" w:ascii="黑体" w:hAnsi="黑体" w:eastAsia="黑体" w:cs="黑体"/>
          <w:bCs/>
          <w:sz w:val="24"/>
          <w:highlight w:val="none"/>
        </w:rPr>
      </w:pPr>
      <w:bookmarkStart w:id="13" w:name="_Toc22754"/>
      <w:r>
        <w:rPr>
          <w:rFonts w:hint="eastAsia" w:ascii="黑体" w:hAnsi="黑体" w:eastAsia="黑体" w:cs="黑体"/>
          <w:bCs/>
          <w:sz w:val="24"/>
          <w:highlight w:val="none"/>
        </w:rPr>
        <w:t>2.2 研究目的</w:t>
      </w:r>
      <w:bookmarkEnd w:id="13"/>
    </w:p>
    <w:p w14:paraId="474BAAE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提出新型低漏磁环形空心电抗器结构及优化设计方法，建立新型低漏磁空心电抗器多物理场仿真模型，为高可靠性柔性直流输电系统提供关键支撑。</w:t>
      </w:r>
    </w:p>
    <w:p w14:paraId="000865AD">
      <w:pPr>
        <w:pStyle w:val="22"/>
        <w:spacing w:before="312"/>
        <w:outlineLvl w:val="0"/>
        <w:rPr>
          <w:rFonts w:ascii="黑体" w:hAnsi="黑体" w:eastAsia="黑体" w:cs="黑体"/>
          <w:sz w:val="28"/>
          <w:szCs w:val="28"/>
          <w:highlight w:val="none"/>
        </w:rPr>
      </w:pPr>
      <w:bookmarkStart w:id="14" w:name="_Toc20003"/>
      <w:r>
        <w:rPr>
          <w:rFonts w:hint="eastAsia" w:ascii="黑体" w:hAnsi="黑体" w:eastAsia="黑体" w:cs="黑体"/>
          <w:sz w:val="28"/>
          <w:szCs w:val="28"/>
          <w:highlight w:val="none"/>
        </w:rPr>
        <w:t>3  主要技术指标要求</w:t>
      </w:r>
      <w:bookmarkEnd w:id="14"/>
    </w:p>
    <w:p w14:paraId="311B489A">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480" w:firstLineChars="200"/>
        <w:textAlignment w:val="auto"/>
        <w:outlineLvl w:val="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提出新型低漏磁环形空心电抗器结构及优化设计方法，相比于柱形结构漏磁减少≥30%，磁净距降低≥30%；</w:t>
      </w:r>
    </w:p>
    <w:p w14:paraId="6D9E18F6">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480" w:firstLineChars="200"/>
        <w:textAlignment w:val="auto"/>
        <w:outlineLvl w:val="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建立电-磁-热多物理场仿真模型，与传统的柱形空心电抗器仿真模型相比，周围金属结构中的温升降低≥20%</w:t>
      </w:r>
      <w:r>
        <w:rPr>
          <w:rFonts w:hint="eastAsia" w:asciiTheme="minorEastAsia" w:hAnsiTheme="minorEastAsia" w:eastAsiaTheme="minorEastAsia" w:cstheme="minorEastAsia"/>
          <w:color w:val="000000"/>
          <w:sz w:val="24"/>
          <w:highlight w:val="none"/>
          <w:lang w:eastAsia="zh-CN"/>
        </w:rPr>
        <w:t>。</w:t>
      </w:r>
    </w:p>
    <w:p w14:paraId="1E222680">
      <w:pPr>
        <w:pStyle w:val="22"/>
        <w:spacing w:before="312"/>
        <w:outlineLvl w:val="0"/>
        <w:rPr>
          <w:rFonts w:hint="eastAsia" w:ascii="黑体" w:hAnsi="黑体" w:eastAsia="黑体" w:cs="黑体"/>
          <w:sz w:val="28"/>
          <w:szCs w:val="28"/>
          <w:highlight w:val="none"/>
        </w:rPr>
      </w:pPr>
      <w:bookmarkStart w:id="15" w:name="_Toc266713650"/>
      <w:bookmarkStart w:id="16" w:name="_Toc14246"/>
      <w:r>
        <w:rPr>
          <w:rFonts w:hint="eastAsia" w:ascii="黑体" w:hAnsi="黑体" w:eastAsia="黑体" w:cs="黑体"/>
          <w:sz w:val="28"/>
          <w:szCs w:val="28"/>
          <w:highlight w:val="none"/>
        </w:rPr>
        <w:t>4  时间进度要求</w:t>
      </w:r>
      <w:bookmarkEnd w:id="15"/>
      <w:bookmarkEnd w:id="16"/>
    </w:p>
    <w:p w14:paraId="2C149109">
      <w:pPr>
        <w:pStyle w:val="22"/>
        <w:keepNext w:val="0"/>
        <w:keepLines w:val="0"/>
        <w:pageBreakBefore w:val="0"/>
        <w:kinsoku/>
        <w:wordWrap/>
        <w:overflowPunct/>
        <w:topLinePunct w:val="0"/>
        <w:autoSpaceDE/>
        <w:autoSpaceDN/>
        <w:bidi w:val="0"/>
        <w:adjustRightInd/>
        <w:snapToGrid w:val="0"/>
        <w:spacing w:before="0" w:beforeLines="0" w:line="240" w:lineRule="auto"/>
        <w:textAlignment w:val="auto"/>
        <w:outlineLvl w:val="0"/>
        <w:rPr>
          <w:rFonts w:hint="eastAsia" w:asciiTheme="minorEastAsia" w:hAnsiTheme="minorEastAsia" w:eastAsiaTheme="minorEastAsia" w:cstheme="minorEastAsia"/>
          <w:b w:val="0"/>
          <w:bCs/>
          <w:color w:val="C00000"/>
          <w:sz w:val="24"/>
          <w:highlight w:val="none"/>
        </w:rPr>
      </w:pPr>
    </w:p>
    <w:tbl>
      <w:tblPr>
        <w:tblStyle w:val="13"/>
        <w:tblW w:w="839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2"/>
        <w:gridCol w:w="7629"/>
      </w:tblGrid>
      <w:tr w14:paraId="7AD65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91" w:type="dxa"/>
            <w:gridSpan w:val="2"/>
            <w:tcBorders>
              <w:tl2br w:val="nil"/>
              <w:tr2bl w:val="nil"/>
            </w:tcBorders>
            <w:vAlign w:val="center"/>
          </w:tcPr>
          <w:p w14:paraId="768AE4B2">
            <w:pPr>
              <w:adjustRightInd w:val="0"/>
              <w:snapToGrid w:val="0"/>
              <w:jc w:val="center"/>
              <w:textAlignment w:val="center"/>
              <w:rPr>
                <w:rFonts w:ascii="宋体" w:hAnsi="宋体"/>
                <w:b/>
                <w:color w:val="000000"/>
                <w:szCs w:val="21"/>
                <w:highlight w:val="none"/>
              </w:rPr>
            </w:pPr>
            <w:r>
              <w:rPr>
                <w:rFonts w:hint="eastAsia" w:ascii="宋体" w:hAnsi="宋体"/>
                <w:b/>
                <w:color w:val="000000"/>
                <w:szCs w:val="21"/>
                <w:highlight w:val="none"/>
              </w:rPr>
              <w:t>进度计划</w:t>
            </w:r>
          </w:p>
        </w:tc>
      </w:tr>
      <w:tr w14:paraId="135C45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7122F437">
            <w:pPr>
              <w:adjustRightInd w:val="0"/>
              <w:snapToGrid w:val="0"/>
              <w:jc w:val="center"/>
              <w:textAlignment w:val="center"/>
              <w:rPr>
                <w:rFonts w:ascii="宋体" w:hAnsi="宋体"/>
                <w:b/>
                <w:color w:val="000000"/>
                <w:szCs w:val="21"/>
                <w:highlight w:val="none"/>
              </w:rPr>
            </w:pPr>
            <w:r>
              <w:rPr>
                <w:rFonts w:hint="eastAsia" w:ascii="宋体" w:hAnsi="宋体"/>
                <w:b/>
                <w:color w:val="000000"/>
                <w:szCs w:val="21"/>
                <w:highlight w:val="none"/>
              </w:rPr>
              <w:t>4</w:t>
            </w:r>
            <w:r>
              <w:rPr>
                <w:rFonts w:ascii="宋体" w:hAnsi="宋体"/>
                <w:b/>
                <w:color w:val="000000"/>
                <w:szCs w:val="21"/>
                <w:highlight w:val="none"/>
              </w:rPr>
              <w:t>.1</w:t>
            </w:r>
          </w:p>
        </w:tc>
        <w:tc>
          <w:tcPr>
            <w:tcW w:w="7629" w:type="dxa"/>
            <w:tcBorders>
              <w:tl2br w:val="nil"/>
              <w:tr2bl w:val="nil"/>
            </w:tcBorders>
            <w:vAlign w:val="center"/>
          </w:tcPr>
          <w:p w14:paraId="3E062F62">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w:t>
            </w:r>
            <w:r>
              <w:rPr>
                <w:rFonts w:hint="eastAsia" w:ascii="宋体" w:hAnsi="宋体"/>
                <w:b/>
                <w:color w:val="000000"/>
                <w:szCs w:val="21"/>
                <w:highlight w:val="none"/>
                <w:lang w:val="en-US" w:eastAsia="zh-CN"/>
              </w:rPr>
              <w:t>自合同签订日起</w:t>
            </w:r>
            <w:r>
              <w:rPr>
                <w:rFonts w:hint="eastAsia" w:ascii="宋体" w:hAnsi="宋体"/>
                <w:b/>
                <w:color w:val="000000"/>
                <w:szCs w:val="21"/>
                <w:highlight w:val="none"/>
              </w:rPr>
              <w:t xml:space="preserve"> -</w:t>
            </w:r>
            <w:r>
              <w:rPr>
                <w:rFonts w:ascii="宋体" w:hAnsi="宋体"/>
                <w:b/>
                <w:color w:val="000000"/>
                <w:szCs w:val="21"/>
                <w:highlight w:val="none"/>
              </w:rPr>
              <w:t xml:space="preserve"> </w:t>
            </w:r>
            <w:r>
              <w:rPr>
                <w:rFonts w:hint="eastAsia" w:ascii="宋体" w:hAnsi="宋体"/>
                <w:b/>
                <w:color w:val="000000"/>
                <w:szCs w:val="21"/>
                <w:highlight w:val="none"/>
              </w:rPr>
              <w:t>202</w:t>
            </w:r>
            <w:r>
              <w:rPr>
                <w:rFonts w:hint="eastAsia" w:ascii="宋体" w:hAnsi="宋体"/>
                <w:b/>
                <w:color w:val="000000"/>
                <w:szCs w:val="21"/>
                <w:highlight w:val="none"/>
                <w:lang w:val="en-US" w:eastAsia="zh-CN"/>
              </w:rPr>
              <w:t>6</w:t>
            </w:r>
            <w:r>
              <w:rPr>
                <w:rFonts w:hint="eastAsia" w:ascii="宋体" w:hAnsi="宋体"/>
                <w:b/>
                <w:color w:val="000000"/>
                <w:szCs w:val="21"/>
                <w:highlight w:val="none"/>
              </w:rPr>
              <w:t>年</w:t>
            </w:r>
            <w:r>
              <w:rPr>
                <w:rFonts w:hint="eastAsia" w:ascii="宋体" w:hAnsi="宋体"/>
                <w:b/>
                <w:color w:val="000000"/>
                <w:szCs w:val="21"/>
                <w:highlight w:val="none"/>
                <w:lang w:val="en-US" w:eastAsia="zh-CN"/>
              </w:rPr>
              <w:t>1</w:t>
            </w:r>
            <w:r>
              <w:rPr>
                <w:rFonts w:hint="eastAsia" w:ascii="宋体" w:hAnsi="宋体"/>
                <w:b/>
                <w:color w:val="000000"/>
                <w:szCs w:val="21"/>
                <w:highlight w:val="none"/>
              </w:rPr>
              <w:t>2月</w:t>
            </w:r>
            <w:r>
              <w:rPr>
                <w:rFonts w:hint="eastAsia" w:ascii="宋体" w:hAnsi="宋体"/>
                <w:b/>
                <w:color w:val="000000"/>
                <w:szCs w:val="21"/>
                <w:highlight w:val="none"/>
                <w:lang w:val="en-US" w:eastAsia="zh-CN"/>
              </w:rPr>
              <w:t>31</w:t>
            </w:r>
            <w:r>
              <w:rPr>
                <w:rFonts w:hint="eastAsia" w:ascii="宋体" w:hAnsi="宋体"/>
                <w:b/>
                <w:color w:val="000000"/>
                <w:szCs w:val="21"/>
                <w:highlight w:val="none"/>
              </w:rPr>
              <w:t>日]</w:t>
            </w:r>
          </w:p>
          <w:p w14:paraId="5A86F38B">
            <w:pPr>
              <w:adjustRightInd w:val="0"/>
              <w:snapToGrid w:val="0"/>
              <w:jc w:val="left"/>
              <w:textAlignment w:val="center"/>
              <w:rPr>
                <w:rFonts w:ascii="宋体" w:hAnsi="宋体"/>
                <w:b/>
                <w:color w:val="000000"/>
                <w:szCs w:val="21"/>
                <w:highlight w:val="none"/>
              </w:rPr>
            </w:pPr>
            <w:r>
              <w:rPr>
                <w:rFonts w:hint="eastAsia" w:ascii="宋体" w:hAnsi="宋体"/>
                <w:b/>
                <w:color w:val="000000"/>
                <w:szCs w:val="21"/>
                <w:highlight w:val="none"/>
              </w:rPr>
              <w:t>主要内容：</w:t>
            </w:r>
          </w:p>
          <w:p w14:paraId="25727FA8">
            <w:pPr>
              <w:numPr>
                <w:ilvl w:val="0"/>
                <w:numId w:val="0"/>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rPr>
            </w:pPr>
            <w:r>
              <w:rPr>
                <w:rFonts w:hint="eastAsia" w:ascii="宋体" w:hAnsi="宋体" w:eastAsia="宋体" w:cs="Times New Roman"/>
                <w:color w:val="000000"/>
                <w:szCs w:val="21"/>
                <w:highlight w:val="none"/>
              </w:rPr>
              <w:t>研究环形结构磁场约束机理，揭示漏磁扩散规律，提出环形空心电抗器初步结构方案。</w:t>
            </w:r>
          </w:p>
          <w:p w14:paraId="3B0CD088">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77B2BE90">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eastAsia="宋体" w:cs="Times New Roman"/>
                <w:color w:val="000000"/>
                <w:szCs w:val="21"/>
                <w:highlight w:val="none"/>
              </w:rPr>
              <w:t>环形空心电抗器初步结构方案。</w:t>
            </w:r>
          </w:p>
        </w:tc>
      </w:tr>
      <w:tr w14:paraId="44F140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9" w:hRule="atLeast"/>
        </w:trPr>
        <w:tc>
          <w:tcPr>
            <w:tcW w:w="762" w:type="dxa"/>
            <w:tcBorders>
              <w:tl2br w:val="nil"/>
              <w:tr2bl w:val="nil"/>
            </w:tcBorders>
            <w:vAlign w:val="center"/>
          </w:tcPr>
          <w:p w14:paraId="3891E083">
            <w:pPr>
              <w:widowControl/>
              <w:jc w:val="center"/>
              <w:rPr>
                <w:rFonts w:ascii="宋体" w:hAnsi="宋体"/>
                <w:b/>
                <w:color w:val="000000"/>
                <w:szCs w:val="21"/>
                <w:highlight w:val="none"/>
              </w:rPr>
            </w:pPr>
            <w:r>
              <w:rPr>
                <w:rFonts w:hint="eastAsia" w:ascii="宋体" w:hAnsi="宋体"/>
                <w:b/>
                <w:color w:val="000000"/>
                <w:szCs w:val="21"/>
                <w:highlight w:val="none"/>
              </w:rPr>
              <w:t>4</w:t>
            </w:r>
            <w:r>
              <w:rPr>
                <w:rFonts w:ascii="宋体" w:hAnsi="宋体"/>
                <w:b/>
                <w:color w:val="000000"/>
                <w:szCs w:val="21"/>
                <w:highlight w:val="none"/>
              </w:rPr>
              <w:t>.2</w:t>
            </w:r>
          </w:p>
        </w:tc>
        <w:tc>
          <w:tcPr>
            <w:tcW w:w="7629" w:type="dxa"/>
            <w:tcBorders>
              <w:tl2br w:val="nil"/>
              <w:tr2bl w:val="nil"/>
            </w:tcBorders>
            <w:vAlign w:val="center"/>
          </w:tcPr>
          <w:p w14:paraId="7EEBEAC6">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[202</w:t>
            </w:r>
            <w:r>
              <w:rPr>
                <w:rFonts w:hint="eastAsia" w:ascii="宋体" w:hAnsi="宋体"/>
                <w:b/>
                <w:color w:val="000000"/>
                <w:szCs w:val="21"/>
                <w:highlight w:val="none"/>
                <w:lang w:val="en-US" w:eastAsia="zh-CN"/>
              </w:rPr>
              <w:t>7</w:t>
            </w:r>
            <w:r>
              <w:rPr>
                <w:rFonts w:hint="eastAsia" w:ascii="宋体" w:hAnsi="宋体"/>
                <w:b/>
                <w:color w:val="000000"/>
                <w:szCs w:val="21"/>
                <w:highlight w:val="none"/>
              </w:rPr>
              <w:t>年</w:t>
            </w:r>
            <w:r>
              <w:rPr>
                <w:rFonts w:hint="eastAsia" w:ascii="宋体" w:hAnsi="宋体"/>
                <w:b/>
                <w:color w:val="000000"/>
                <w:szCs w:val="21"/>
                <w:highlight w:val="none"/>
                <w:lang w:val="en-US" w:eastAsia="zh-CN"/>
              </w:rPr>
              <w:t>1</w:t>
            </w:r>
            <w:r>
              <w:rPr>
                <w:rFonts w:hint="eastAsia" w:ascii="宋体" w:hAnsi="宋体"/>
                <w:b/>
                <w:color w:val="000000"/>
                <w:szCs w:val="21"/>
                <w:highlight w:val="none"/>
              </w:rPr>
              <w:t>月1日 - 202</w:t>
            </w:r>
            <w:r>
              <w:rPr>
                <w:rFonts w:hint="eastAsia" w:ascii="宋体" w:hAnsi="宋体"/>
                <w:b/>
                <w:color w:val="000000"/>
                <w:szCs w:val="21"/>
                <w:highlight w:val="none"/>
                <w:lang w:val="en-US" w:eastAsia="zh-CN"/>
              </w:rPr>
              <w:t>7</w:t>
            </w:r>
            <w:r>
              <w:rPr>
                <w:rFonts w:hint="eastAsia" w:ascii="宋体" w:hAnsi="宋体"/>
                <w:b/>
                <w:color w:val="000000"/>
                <w:szCs w:val="21"/>
                <w:highlight w:val="none"/>
              </w:rPr>
              <w:t>年</w:t>
            </w:r>
            <w:r>
              <w:rPr>
                <w:rFonts w:hint="eastAsia" w:ascii="宋体" w:hAnsi="宋体"/>
                <w:b/>
                <w:color w:val="000000"/>
                <w:szCs w:val="21"/>
                <w:highlight w:val="none"/>
                <w:lang w:val="en-US" w:eastAsia="zh-CN"/>
              </w:rPr>
              <w:t>7</w:t>
            </w:r>
            <w:r>
              <w:rPr>
                <w:rFonts w:hint="eastAsia" w:ascii="宋体" w:hAnsi="宋体"/>
                <w:b/>
                <w:color w:val="000000"/>
                <w:szCs w:val="21"/>
                <w:highlight w:val="none"/>
              </w:rPr>
              <w:t>月31日]</w:t>
            </w:r>
          </w:p>
          <w:p w14:paraId="698D9473">
            <w:pPr>
              <w:adjustRightInd w:val="0"/>
              <w:snapToGrid w:val="0"/>
              <w:jc w:val="left"/>
              <w:textAlignment w:val="center"/>
              <w:rPr>
                <w:rFonts w:ascii="宋体" w:hAnsi="宋体"/>
                <w:b/>
                <w:color w:val="000000"/>
                <w:szCs w:val="21"/>
                <w:highlight w:val="none"/>
              </w:rPr>
            </w:pPr>
            <w:r>
              <w:rPr>
                <w:rFonts w:hint="eastAsia" w:ascii="宋体" w:hAnsi="宋体"/>
                <w:b/>
                <w:color w:val="000000"/>
                <w:szCs w:val="21"/>
                <w:highlight w:val="none"/>
              </w:rPr>
              <w:t>主要内容：</w:t>
            </w:r>
          </w:p>
          <w:p w14:paraId="24E7448F">
            <w:pPr>
              <w:numPr>
                <w:ilvl w:val="0"/>
                <w:numId w:val="5"/>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rPr>
            </w:pPr>
            <w:r>
              <w:rPr>
                <w:rFonts w:hint="eastAsia" w:ascii="宋体" w:hAnsi="宋体" w:eastAsia="宋体" w:cs="Times New Roman"/>
                <w:color w:val="000000"/>
                <w:szCs w:val="21"/>
                <w:highlight w:val="none"/>
              </w:rPr>
              <w:t>建立以漏磁抑制为目标的多目标优化设计方法</w:t>
            </w:r>
            <w:r>
              <w:rPr>
                <w:rFonts w:hint="eastAsia" w:ascii="宋体" w:hAnsi="宋体" w:eastAsia="宋体" w:cs="Times New Roman"/>
                <w:color w:val="000000"/>
                <w:szCs w:val="21"/>
                <w:highlight w:val="none"/>
                <w:lang w:eastAsia="zh-CN"/>
              </w:rPr>
              <w:t>；</w:t>
            </w:r>
          </w:p>
          <w:p w14:paraId="6044B1B5">
            <w:pPr>
              <w:numPr>
                <w:ilvl w:val="0"/>
                <w:numId w:val="5"/>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rPr>
            </w:pPr>
            <w:r>
              <w:rPr>
                <w:rFonts w:hint="eastAsia" w:ascii="宋体" w:hAnsi="宋体" w:eastAsia="宋体" w:cs="Times New Roman"/>
                <w:color w:val="000000"/>
                <w:szCs w:val="21"/>
                <w:highlight w:val="none"/>
              </w:rPr>
              <w:t>综合考虑电气性能、温升裕度和制造工艺，形成完整的环形电抗器优化设计流程</w:t>
            </w:r>
            <w:r>
              <w:rPr>
                <w:rFonts w:hint="eastAsia" w:ascii="宋体" w:hAnsi="宋体" w:eastAsia="宋体" w:cs="Times New Roman"/>
                <w:color w:val="000000"/>
                <w:szCs w:val="21"/>
                <w:highlight w:val="none"/>
                <w:lang w:eastAsia="zh-CN"/>
              </w:rPr>
              <w:t>；</w:t>
            </w:r>
          </w:p>
          <w:p w14:paraId="70E29E1D">
            <w:pPr>
              <w:numPr>
                <w:ilvl w:val="0"/>
                <w:numId w:val="5"/>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rPr>
            </w:pPr>
            <w:r>
              <w:rPr>
                <w:rFonts w:hint="eastAsia" w:ascii="宋体" w:hAnsi="宋体" w:eastAsia="宋体" w:cs="Times New Roman"/>
                <w:color w:val="000000"/>
                <w:szCs w:val="21"/>
                <w:highlight w:val="none"/>
              </w:rPr>
              <w:t>推导周围金属结构的涡流损耗解析表达式；建立环形电抗器及周边建筑钢结构的全尺寸三维电磁场仿真模型</w:t>
            </w:r>
            <w:r>
              <w:rPr>
                <w:rFonts w:hint="eastAsia" w:ascii="宋体" w:hAnsi="宋体" w:eastAsia="宋体" w:cs="Times New Roman"/>
                <w:color w:val="000000"/>
                <w:szCs w:val="21"/>
                <w:highlight w:val="none"/>
                <w:lang w:eastAsia="zh-CN"/>
              </w:rPr>
              <w:t>；</w:t>
            </w:r>
          </w:p>
          <w:p w14:paraId="2A850AA2">
            <w:pPr>
              <w:numPr>
                <w:ilvl w:val="0"/>
                <w:numId w:val="5"/>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rPr>
            </w:pPr>
            <w:r>
              <w:rPr>
                <w:rFonts w:hint="eastAsia" w:ascii="宋体" w:hAnsi="宋体" w:eastAsia="宋体" w:cs="Times New Roman"/>
                <w:color w:val="000000"/>
                <w:szCs w:val="21"/>
                <w:highlight w:val="none"/>
                <w:lang w:val="en-US" w:eastAsia="zh-CN"/>
              </w:rPr>
              <w:t>协助甲方</w:t>
            </w:r>
            <w:r>
              <w:rPr>
                <w:rFonts w:hint="default" w:ascii="宋体" w:hAnsi="宋体" w:eastAsia="宋体" w:cs="Times New Roman"/>
                <w:color w:val="000000"/>
                <w:szCs w:val="21"/>
                <w:highlight w:val="none"/>
                <w:lang w:val="en-US" w:eastAsia="zh-CN"/>
              </w:rPr>
              <w:t>开展项目中期检查。</w:t>
            </w:r>
          </w:p>
          <w:p w14:paraId="268C4E0C">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74DDE956">
            <w:pPr>
              <w:numPr>
                <w:ilvl w:val="0"/>
                <w:numId w:val="6"/>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提出新型低漏磁环形空心电抗器结构及优化设计方法，并完成初步仿真对比，相比于柱形结构漏磁减少≥30%，磁净距降低≥30%；</w:t>
            </w:r>
          </w:p>
          <w:p w14:paraId="037D4BEE">
            <w:pPr>
              <w:numPr>
                <w:ilvl w:val="0"/>
                <w:numId w:val="6"/>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乙方根据甲方需求，协助提供4</w:t>
            </w:r>
            <w:r>
              <w:rPr>
                <w:rFonts w:hint="eastAsia" w:ascii="宋体" w:hAnsi="宋体" w:eastAsia="宋体" w:cs="Times New Roman"/>
                <w:color w:val="000000"/>
                <w:szCs w:val="21"/>
                <w:highlight w:val="none"/>
                <w:lang w:val="en-US" w:eastAsia="zh-CN"/>
              </w:rPr>
              <w:t>件项目相关发明专利选题、文献检索、论证方法、数据分析、文本修改的指导服务，直至发明专利受理。</w:t>
            </w:r>
          </w:p>
          <w:p w14:paraId="2C57A44B">
            <w:pPr>
              <w:numPr>
                <w:ilvl w:val="0"/>
                <w:numId w:val="6"/>
              </w:numPr>
              <w:tabs>
                <w:tab w:val="left" w:pos="537"/>
                <w:tab w:val="left" w:pos="763"/>
              </w:tabs>
              <w:adjustRightInd w:val="0"/>
              <w:snapToGrid w:val="0"/>
              <w:ind w:leftChars="0"/>
              <w:jc w:val="left"/>
              <w:textAlignment w:val="center"/>
              <w:rPr>
                <w:rFonts w:hint="default" w:ascii="宋体" w:hAnsi="宋体" w:eastAsia="宋体" w:cs="Times New Roman"/>
                <w:color w:val="000000"/>
                <w:szCs w:val="21"/>
                <w:highlight w:val="none"/>
                <w:lang w:val="en-US" w:eastAsia="zh-CN"/>
              </w:rPr>
            </w:pPr>
            <w:r>
              <w:rPr>
                <w:rFonts w:hint="default" w:ascii="宋体" w:hAnsi="宋体" w:eastAsia="宋体" w:cs="Times New Roman"/>
                <w:color w:val="000000"/>
                <w:szCs w:val="21"/>
                <w:highlight w:val="none"/>
                <w:lang w:val="en-US" w:eastAsia="zh-CN"/>
              </w:rPr>
              <w:t>乙方根据甲方需求，协助提供</w:t>
            </w:r>
            <w:r>
              <w:rPr>
                <w:rFonts w:hint="eastAsia" w:ascii="宋体" w:hAnsi="宋体" w:eastAsia="宋体" w:cs="Times New Roman"/>
                <w:color w:val="000000"/>
                <w:szCs w:val="21"/>
                <w:highlight w:val="none"/>
                <w:lang w:val="en-US" w:eastAsia="zh-CN"/>
              </w:rPr>
              <w:t>1</w:t>
            </w:r>
            <w:r>
              <w:rPr>
                <w:rFonts w:hint="default" w:ascii="宋体" w:hAnsi="宋体" w:eastAsia="宋体" w:cs="Times New Roman"/>
                <w:color w:val="000000"/>
                <w:szCs w:val="21"/>
                <w:highlight w:val="none"/>
                <w:lang w:val="en-US" w:eastAsia="zh-CN"/>
              </w:rPr>
              <w:t>篇项目相关论文的论证方法、数据分析、文本修改的指导服务，直至论文录用或发表。</w:t>
            </w:r>
          </w:p>
          <w:p w14:paraId="79A6E8CF">
            <w:pPr>
              <w:numPr>
                <w:ilvl w:val="0"/>
                <w:numId w:val="6"/>
              </w:numPr>
              <w:tabs>
                <w:tab w:val="left" w:pos="537"/>
                <w:tab w:val="left" w:pos="763"/>
              </w:tabs>
              <w:adjustRightInd w:val="0"/>
              <w:snapToGrid w:val="0"/>
              <w:ind w:leftChars="0"/>
              <w:jc w:val="left"/>
              <w:textAlignment w:val="center"/>
              <w:rPr>
                <w:rFonts w:hint="default" w:ascii="宋体" w:hAnsi="宋体" w:eastAsia="宋体"/>
                <w:bCs/>
                <w:color w:val="000000"/>
                <w:szCs w:val="21"/>
                <w:highlight w:val="none"/>
                <w:lang w:val="en-US" w:eastAsia="zh-CN"/>
              </w:rPr>
            </w:pPr>
            <w:r>
              <w:rPr>
                <w:rFonts w:hint="eastAsia" w:ascii="宋体" w:hAnsi="宋体" w:eastAsia="宋体" w:cs="Times New Roman"/>
                <w:color w:val="000000"/>
                <w:szCs w:val="21"/>
                <w:highlight w:val="none"/>
                <w:lang w:val="en-US" w:eastAsia="zh-CN"/>
              </w:rPr>
              <w:t>协助甲方完成中期检查。</w:t>
            </w:r>
          </w:p>
        </w:tc>
      </w:tr>
      <w:tr w14:paraId="12F196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762" w:type="dxa"/>
            <w:tcBorders>
              <w:tl2br w:val="nil"/>
              <w:tr2bl w:val="nil"/>
            </w:tcBorders>
            <w:vAlign w:val="center"/>
          </w:tcPr>
          <w:p w14:paraId="305D1F6D">
            <w:pPr>
              <w:widowControl/>
              <w:jc w:val="center"/>
              <w:rPr>
                <w:rFonts w:ascii="宋体" w:hAnsi="宋体"/>
                <w:b/>
                <w:color w:val="000000"/>
                <w:szCs w:val="21"/>
                <w:highlight w:val="none"/>
              </w:rPr>
            </w:pPr>
            <w:r>
              <w:rPr>
                <w:rFonts w:hint="eastAsia" w:ascii="宋体" w:hAnsi="宋体"/>
                <w:b/>
                <w:color w:val="000000"/>
                <w:szCs w:val="21"/>
                <w:highlight w:val="none"/>
              </w:rPr>
              <w:t>4</w:t>
            </w:r>
            <w:r>
              <w:rPr>
                <w:rFonts w:ascii="宋体" w:hAnsi="宋体"/>
                <w:b/>
                <w:color w:val="000000"/>
                <w:szCs w:val="21"/>
                <w:highlight w:val="none"/>
              </w:rPr>
              <w:t>.3</w:t>
            </w:r>
          </w:p>
        </w:tc>
        <w:tc>
          <w:tcPr>
            <w:tcW w:w="7629" w:type="dxa"/>
            <w:tcBorders>
              <w:tl2br w:val="nil"/>
              <w:tr2bl w:val="nil"/>
            </w:tcBorders>
            <w:vAlign w:val="center"/>
          </w:tcPr>
          <w:p w14:paraId="0B389EF0">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[202</w:t>
            </w:r>
            <w:r>
              <w:rPr>
                <w:rFonts w:hint="eastAsia" w:ascii="宋体" w:hAnsi="宋体"/>
                <w:b/>
                <w:color w:val="000000"/>
                <w:szCs w:val="21"/>
                <w:highlight w:val="none"/>
                <w:lang w:val="en-US" w:eastAsia="zh-CN"/>
              </w:rPr>
              <w:t>7</w:t>
            </w:r>
            <w:r>
              <w:rPr>
                <w:rFonts w:hint="eastAsia" w:ascii="宋体" w:hAnsi="宋体"/>
                <w:b/>
                <w:color w:val="000000"/>
                <w:szCs w:val="21"/>
                <w:highlight w:val="none"/>
              </w:rPr>
              <w:t>年</w:t>
            </w:r>
            <w:r>
              <w:rPr>
                <w:rFonts w:hint="eastAsia" w:ascii="宋体" w:hAnsi="宋体"/>
                <w:b/>
                <w:color w:val="000000"/>
                <w:szCs w:val="21"/>
                <w:highlight w:val="none"/>
                <w:lang w:val="en-US" w:eastAsia="zh-CN"/>
              </w:rPr>
              <w:t>8</w:t>
            </w:r>
            <w:r>
              <w:rPr>
                <w:rFonts w:hint="eastAsia" w:ascii="宋体" w:hAnsi="宋体"/>
                <w:b/>
                <w:color w:val="000000"/>
                <w:szCs w:val="21"/>
                <w:highlight w:val="none"/>
              </w:rPr>
              <w:t>月1日 - 202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3</w:t>
            </w:r>
            <w:r>
              <w:rPr>
                <w:rFonts w:hint="eastAsia" w:ascii="宋体" w:hAnsi="宋体"/>
                <w:b/>
                <w:color w:val="000000"/>
                <w:szCs w:val="21"/>
                <w:highlight w:val="none"/>
              </w:rPr>
              <w:t>月31日]</w:t>
            </w:r>
          </w:p>
          <w:p w14:paraId="4F1F1196">
            <w:pPr>
              <w:adjustRightInd w:val="0"/>
              <w:snapToGrid w:val="0"/>
              <w:jc w:val="left"/>
              <w:textAlignment w:val="center"/>
              <w:rPr>
                <w:rFonts w:ascii="宋体" w:hAnsi="宋体"/>
                <w:b/>
                <w:color w:val="000000"/>
                <w:szCs w:val="21"/>
                <w:highlight w:val="none"/>
              </w:rPr>
            </w:pPr>
            <w:r>
              <w:rPr>
                <w:rFonts w:hint="eastAsia" w:ascii="宋体" w:hAnsi="宋体"/>
                <w:b/>
                <w:color w:val="000000"/>
                <w:szCs w:val="21"/>
                <w:highlight w:val="none"/>
              </w:rPr>
              <w:t>主要内容：</w:t>
            </w:r>
          </w:p>
          <w:p w14:paraId="0722057D">
            <w:pPr>
              <w:numPr>
                <w:ilvl w:val="0"/>
                <w:numId w:val="7"/>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完成漏磁分布特性计算，研究不同电抗器参数及布置方式对金属结构的涡流损耗和温升影响规律；</w:t>
            </w:r>
          </w:p>
          <w:p w14:paraId="6F2ACBBE">
            <w:pPr>
              <w:numPr>
                <w:ilvl w:val="0"/>
                <w:numId w:val="7"/>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建立电-磁-热多物理场仿真模型。</w:t>
            </w:r>
          </w:p>
          <w:p w14:paraId="76B5E1FB">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6BBAFF4E">
            <w:pPr>
              <w:numPr>
                <w:ilvl w:val="0"/>
                <w:numId w:val="8"/>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电-磁-热多物理场仿真模型建立与参数分析；</w:t>
            </w:r>
          </w:p>
          <w:p w14:paraId="2F36655F">
            <w:pPr>
              <w:numPr>
                <w:ilvl w:val="0"/>
                <w:numId w:val="8"/>
              </w:numPr>
              <w:tabs>
                <w:tab w:val="left" w:pos="537"/>
                <w:tab w:val="left" w:pos="763"/>
              </w:tabs>
              <w:adjustRightInd w:val="0"/>
              <w:snapToGrid w:val="0"/>
              <w:ind w:leftChars="0"/>
              <w:jc w:val="left"/>
              <w:textAlignment w:val="center"/>
              <w:rPr>
                <w:rFonts w:ascii="宋体" w:hAnsi="宋体"/>
                <w:color w:val="000000"/>
                <w:szCs w:val="21"/>
                <w:highlight w:val="none"/>
              </w:rPr>
            </w:pPr>
            <w:r>
              <w:rPr>
                <w:rFonts w:hint="eastAsia" w:ascii="宋体" w:hAnsi="宋体" w:eastAsia="宋体" w:cs="Times New Roman"/>
                <w:color w:val="000000"/>
                <w:szCs w:val="21"/>
                <w:highlight w:val="none"/>
                <w:lang w:val="en-US" w:eastAsia="zh-CN"/>
              </w:rPr>
              <w:t>电-磁-热多物理场仿真模型1套。</w:t>
            </w:r>
          </w:p>
        </w:tc>
      </w:tr>
      <w:tr w14:paraId="29686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762" w:type="dxa"/>
            <w:tcBorders>
              <w:tl2br w:val="nil"/>
              <w:tr2bl w:val="nil"/>
            </w:tcBorders>
            <w:vAlign w:val="center"/>
          </w:tcPr>
          <w:p w14:paraId="13787438">
            <w:pPr>
              <w:adjustRightInd w:val="0"/>
              <w:snapToGrid w:val="0"/>
              <w:jc w:val="center"/>
              <w:textAlignment w:val="center"/>
              <w:rPr>
                <w:rFonts w:ascii="宋体" w:hAnsi="宋体"/>
                <w:b/>
                <w:color w:val="000000"/>
                <w:szCs w:val="21"/>
                <w:highlight w:val="none"/>
              </w:rPr>
            </w:pPr>
            <w:r>
              <w:rPr>
                <w:rFonts w:hint="eastAsia" w:ascii="宋体" w:hAnsi="宋体"/>
                <w:b/>
                <w:color w:val="000000"/>
                <w:szCs w:val="21"/>
                <w:highlight w:val="none"/>
              </w:rPr>
              <w:t>4</w:t>
            </w:r>
            <w:r>
              <w:rPr>
                <w:rFonts w:ascii="宋体" w:hAnsi="宋体"/>
                <w:b/>
                <w:color w:val="000000"/>
                <w:szCs w:val="21"/>
                <w:highlight w:val="none"/>
              </w:rPr>
              <w:t>.4</w:t>
            </w:r>
          </w:p>
        </w:tc>
        <w:tc>
          <w:tcPr>
            <w:tcW w:w="7629" w:type="dxa"/>
            <w:tcBorders>
              <w:tl2br w:val="nil"/>
              <w:tr2bl w:val="nil"/>
            </w:tcBorders>
            <w:vAlign w:val="center"/>
          </w:tcPr>
          <w:p w14:paraId="487A65DF">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4</w:t>
            </w:r>
            <w:r>
              <w:rPr>
                <w:rFonts w:hint="eastAsia" w:ascii="宋体" w:hAnsi="宋体"/>
                <w:b/>
                <w:color w:val="000000"/>
                <w:szCs w:val="21"/>
                <w:highlight w:val="none"/>
              </w:rPr>
              <w:t>月1日 - 202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6</w:t>
            </w:r>
            <w:r>
              <w:rPr>
                <w:rFonts w:hint="eastAsia" w:ascii="宋体" w:hAnsi="宋体"/>
                <w:b/>
                <w:color w:val="000000"/>
                <w:szCs w:val="21"/>
                <w:highlight w:val="none"/>
              </w:rPr>
              <w:t>月3</w:t>
            </w:r>
            <w:r>
              <w:rPr>
                <w:rFonts w:hint="eastAsia" w:ascii="宋体" w:hAnsi="宋体"/>
                <w:b/>
                <w:color w:val="000000"/>
                <w:szCs w:val="21"/>
                <w:highlight w:val="none"/>
                <w:lang w:val="en-US" w:eastAsia="zh-CN"/>
              </w:rPr>
              <w:t>0</w:t>
            </w:r>
            <w:r>
              <w:rPr>
                <w:rFonts w:hint="eastAsia" w:ascii="宋体" w:hAnsi="宋体"/>
                <w:b/>
                <w:color w:val="000000"/>
                <w:szCs w:val="21"/>
                <w:highlight w:val="none"/>
              </w:rPr>
              <w:t>日]</w:t>
            </w:r>
          </w:p>
          <w:p w14:paraId="41B5FF24">
            <w:pPr>
              <w:adjustRightInd w:val="0"/>
              <w:snapToGrid w:val="0"/>
              <w:jc w:val="left"/>
              <w:textAlignment w:val="center"/>
              <w:rPr>
                <w:rFonts w:ascii="宋体" w:hAnsi="宋体"/>
                <w:b/>
                <w:color w:val="000000"/>
                <w:szCs w:val="21"/>
                <w:highlight w:val="none"/>
              </w:rPr>
            </w:pPr>
            <w:r>
              <w:rPr>
                <w:rFonts w:hint="eastAsia" w:ascii="宋体" w:hAnsi="宋体"/>
                <w:b/>
                <w:color w:val="000000"/>
                <w:szCs w:val="21"/>
                <w:highlight w:val="none"/>
              </w:rPr>
              <w:t>主要内容：</w:t>
            </w:r>
          </w:p>
          <w:p w14:paraId="30FE3693">
            <w:pPr>
              <w:numPr>
                <w:ilvl w:val="0"/>
                <w:numId w:val="9"/>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配合分析新型环形空心电抗器工程优势，开展项目研究成果总结；</w:t>
            </w:r>
          </w:p>
          <w:p w14:paraId="461B16EC">
            <w:pPr>
              <w:numPr>
                <w:ilvl w:val="0"/>
                <w:numId w:val="9"/>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协助甲方开展第三方审查、项目验收。</w:t>
            </w:r>
          </w:p>
          <w:p w14:paraId="2650CDAA">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393D3EAF">
            <w:pPr>
              <w:numPr>
                <w:ilvl w:val="0"/>
                <w:numId w:val="10"/>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乙方根据甲方需求，协助提供</w:t>
            </w:r>
            <w:r>
              <w:rPr>
                <w:rFonts w:hint="eastAsia" w:ascii="宋体" w:hAnsi="宋体" w:cs="Times New Roman"/>
                <w:color w:val="000000"/>
                <w:szCs w:val="21"/>
                <w:highlight w:val="none"/>
                <w:lang w:val="en-US" w:eastAsia="zh-CN"/>
              </w:rPr>
              <w:t>8</w:t>
            </w:r>
            <w:r>
              <w:rPr>
                <w:rFonts w:hint="eastAsia" w:ascii="宋体" w:hAnsi="宋体" w:eastAsia="宋体" w:cs="Times New Roman"/>
                <w:color w:val="000000"/>
                <w:szCs w:val="21"/>
                <w:highlight w:val="none"/>
                <w:lang w:val="en-US" w:eastAsia="zh-CN"/>
              </w:rPr>
              <w:t>件项目相关发明专利选题、文献检索、论证方法、数据分析、文本修改的指导服务，直至发明专利受理。</w:t>
            </w:r>
          </w:p>
          <w:p w14:paraId="7C54DC36">
            <w:pPr>
              <w:numPr>
                <w:ilvl w:val="0"/>
                <w:numId w:val="10"/>
              </w:numPr>
              <w:tabs>
                <w:tab w:val="left" w:pos="537"/>
                <w:tab w:val="left" w:pos="763"/>
              </w:tabs>
              <w:adjustRightInd w:val="0"/>
              <w:snapToGrid w:val="0"/>
              <w:ind w:leftChars="0"/>
              <w:jc w:val="left"/>
              <w:textAlignment w:val="center"/>
              <w:rPr>
                <w:rFonts w:hint="eastAsia"/>
                <w:lang w:val="en-US" w:eastAsia="zh-CN"/>
              </w:rPr>
            </w:pPr>
            <w:r>
              <w:rPr>
                <w:rFonts w:hint="default" w:ascii="宋体" w:hAnsi="宋体" w:eastAsia="宋体" w:cs="Times New Roman"/>
                <w:color w:val="000000"/>
                <w:szCs w:val="21"/>
                <w:highlight w:val="none"/>
                <w:lang w:val="en-US" w:eastAsia="zh-CN"/>
              </w:rPr>
              <w:t>乙方根据甲方需求，协助提供</w:t>
            </w:r>
            <w:r>
              <w:rPr>
                <w:rFonts w:hint="eastAsia" w:ascii="宋体" w:hAnsi="宋体" w:cs="Times New Roman"/>
                <w:color w:val="000000"/>
                <w:szCs w:val="21"/>
                <w:highlight w:val="none"/>
                <w:lang w:val="en-US" w:eastAsia="zh-CN"/>
              </w:rPr>
              <w:t>2</w:t>
            </w:r>
            <w:r>
              <w:rPr>
                <w:rFonts w:hint="default" w:ascii="宋体" w:hAnsi="宋体" w:eastAsia="宋体" w:cs="Times New Roman"/>
                <w:color w:val="000000"/>
                <w:szCs w:val="21"/>
                <w:highlight w:val="none"/>
                <w:lang w:val="en-US" w:eastAsia="zh-CN"/>
              </w:rPr>
              <w:t>篇项目相关论文的论证方法、数据分析、文本修改的指导服务，直至论文录用或发表。</w:t>
            </w:r>
          </w:p>
          <w:p w14:paraId="00906720">
            <w:pPr>
              <w:numPr>
                <w:ilvl w:val="0"/>
                <w:numId w:val="10"/>
              </w:numPr>
              <w:tabs>
                <w:tab w:val="left" w:pos="537"/>
                <w:tab w:val="left" w:pos="763"/>
              </w:tabs>
              <w:adjustRightInd w:val="0"/>
              <w:snapToGrid w:val="0"/>
              <w:ind w:leftChars="0"/>
              <w:jc w:val="left"/>
              <w:textAlignment w:val="center"/>
              <w:rPr>
                <w:rFonts w:ascii="宋体" w:hAnsi="宋体"/>
                <w:b/>
                <w:color w:val="000000"/>
                <w:szCs w:val="21"/>
                <w:highlight w:val="none"/>
              </w:rPr>
            </w:pPr>
            <w:r>
              <w:rPr>
                <w:rFonts w:hint="eastAsia" w:ascii="宋体" w:hAnsi="宋体" w:eastAsia="宋体" w:cs="Times New Roman"/>
                <w:b w:val="0"/>
                <w:bCs w:val="0"/>
                <w:color w:val="000000"/>
                <w:szCs w:val="21"/>
                <w:highlight w:val="none"/>
                <w:lang w:val="en-US" w:eastAsia="zh-CN"/>
              </w:rPr>
              <w:t>通过项目验收评审</w:t>
            </w:r>
            <w:r>
              <w:rPr>
                <w:rFonts w:hint="eastAsia" w:ascii="宋体" w:hAnsi="宋体" w:cs="Times New Roman"/>
                <w:b w:val="0"/>
                <w:bCs w:val="0"/>
                <w:color w:val="000000"/>
                <w:szCs w:val="21"/>
                <w:highlight w:val="none"/>
                <w:lang w:val="en-US" w:eastAsia="zh-CN"/>
              </w:rPr>
              <w:t>。</w:t>
            </w:r>
          </w:p>
        </w:tc>
      </w:tr>
    </w:tbl>
    <w:p w14:paraId="5FA37BEE">
      <w:pPr>
        <w:pStyle w:val="22"/>
        <w:spacing w:before="312"/>
        <w:outlineLvl w:val="0"/>
        <w:rPr>
          <w:rFonts w:ascii="黑体" w:hAnsi="黑体" w:eastAsia="黑体" w:cs="黑体"/>
          <w:sz w:val="28"/>
          <w:szCs w:val="28"/>
          <w:highlight w:val="none"/>
        </w:rPr>
      </w:pPr>
      <w:bookmarkStart w:id="17" w:name="_Toc21501"/>
      <w:r>
        <w:rPr>
          <w:rFonts w:hint="eastAsia" w:ascii="黑体" w:hAnsi="黑体" w:eastAsia="黑体" w:cs="黑体"/>
          <w:sz w:val="28"/>
          <w:szCs w:val="28"/>
          <w:highlight w:val="none"/>
        </w:rPr>
        <w:t>5  成果交付与验收</w:t>
      </w:r>
      <w:bookmarkEnd w:id="17"/>
    </w:p>
    <w:p w14:paraId="30830210">
      <w:pPr>
        <w:spacing w:line="360" w:lineRule="auto"/>
        <w:outlineLvl w:val="1"/>
        <w:rPr>
          <w:rFonts w:ascii="黑体" w:hAnsi="黑体" w:eastAsia="黑体" w:cs="黑体"/>
          <w:bCs/>
          <w:sz w:val="24"/>
          <w:highlight w:val="none"/>
        </w:rPr>
      </w:pPr>
      <w:bookmarkStart w:id="18" w:name="_Toc5704"/>
      <w:r>
        <w:rPr>
          <w:rFonts w:hint="eastAsia" w:ascii="黑体" w:hAnsi="黑体" w:eastAsia="黑体" w:cs="黑体"/>
          <w:bCs/>
          <w:sz w:val="24"/>
          <w:highlight w:val="none"/>
        </w:rPr>
        <w:t>5.1 成果形式及数量要求</w:t>
      </w:r>
      <w:bookmarkEnd w:id="18"/>
    </w:p>
    <w:p w14:paraId="580876C5">
      <w:pPr>
        <w:spacing w:line="360" w:lineRule="auto"/>
        <w:ind w:firstLine="480" w:firstLineChars="200"/>
        <w:outlineLvl w:val="1"/>
        <w:rPr>
          <w:rFonts w:hint="eastAsia" w:ascii="宋体" w:hAnsi="宋体" w:cs="宋体"/>
          <w:bCs w:val="0"/>
          <w:color w:val="000000"/>
          <w:sz w:val="24"/>
          <w:highlight w:val="none"/>
          <w:lang w:eastAsia="zh-CN"/>
        </w:rPr>
      </w:pPr>
      <w:bookmarkStart w:id="19" w:name="_Hlk25764254"/>
      <w:r>
        <w:rPr>
          <w:rFonts w:hint="eastAsia" w:ascii="宋体" w:hAnsi="宋体" w:cs="宋体"/>
          <w:bCs w:val="0"/>
          <w:color w:val="000000"/>
          <w:sz w:val="24"/>
          <w:highlight w:val="none"/>
          <w:lang w:eastAsia="zh-CN"/>
        </w:rPr>
        <w:t>（</w:t>
      </w:r>
      <w:r>
        <w:rPr>
          <w:rFonts w:hint="eastAsia" w:ascii="宋体" w:hAnsi="宋体" w:cs="宋体"/>
          <w:bCs w:val="0"/>
          <w:color w:val="000000"/>
          <w:sz w:val="24"/>
          <w:highlight w:val="none"/>
          <w:lang w:val="en-US" w:eastAsia="zh-CN"/>
        </w:rPr>
        <w:t>1</w:t>
      </w:r>
      <w:r>
        <w:rPr>
          <w:rFonts w:hint="eastAsia" w:ascii="宋体" w:hAnsi="宋体" w:cs="宋体"/>
          <w:bCs w:val="0"/>
          <w:color w:val="000000"/>
          <w:sz w:val="24"/>
          <w:highlight w:val="none"/>
          <w:lang w:eastAsia="zh-CN"/>
        </w:rPr>
        <w:t>）柔性直流用低漏磁空心电抗器关键技术研究技术报告1份；</w:t>
      </w:r>
    </w:p>
    <w:p w14:paraId="3E2E8CDD">
      <w:pPr>
        <w:spacing w:line="360" w:lineRule="auto"/>
        <w:ind w:firstLine="480" w:firstLineChars="200"/>
        <w:outlineLvl w:val="1"/>
        <w:rPr>
          <w:rFonts w:hint="eastAsia" w:ascii="宋体" w:hAnsi="宋体" w:cs="宋体"/>
          <w:bCs w:val="0"/>
          <w:color w:val="000000"/>
          <w:sz w:val="24"/>
          <w:highlight w:val="none"/>
          <w:lang w:val="en-US" w:eastAsia="zh-CN"/>
        </w:rPr>
      </w:pPr>
      <w:r>
        <w:rPr>
          <w:rFonts w:hint="eastAsia" w:ascii="宋体" w:hAnsi="宋体" w:cs="宋体"/>
          <w:bCs w:val="0"/>
          <w:color w:val="000000"/>
          <w:sz w:val="24"/>
          <w:highlight w:val="none"/>
          <w:lang w:eastAsia="zh-CN"/>
        </w:rPr>
        <w:t>（</w:t>
      </w:r>
      <w:r>
        <w:rPr>
          <w:rFonts w:hint="eastAsia" w:ascii="宋体" w:hAnsi="宋体" w:cs="宋体"/>
          <w:bCs w:val="0"/>
          <w:color w:val="000000"/>
          <w:sz w:val="24"/>
          <w:highlight w:val="none"/>
          <w:lang w:val="en-US" w:eastAsia="zh-CN"/>
        </w:rPr>
        <w:t>2</w:t>
      </w:r>
      <w:r>
        <w:rPr>
          <w:rFonts w:hint="eastAsia" w:ascii="宋体" w:hAnsi="宋体" w:cs="宋体"/>
          <w:bCs w:val="0"/>
          <w:color w:val="000000"/>
          <w:sz w:val="24"/>
          <w:highlight w:val="none"/>
          <w:lang w:eastAsia="zh-CN"/>
        </w:rPr>
        <w:t>）</w:t>
      </w:r>
      <w:r>
        <w:rPr>
          <w:rFonts w:hint="eastAsia" w:ascii="宋体" w:hAnsi="宋体" w:cs="宋体"/>
          <w:bCs w:val="0"/>
          <w:color w:val="000000"/>
          <w:sz w:val="24"/>
          <w:highlight w:val="none"/>
          <w:lang w:val="en-US" w:eastAsia="zh-CN"/>
        </w:rPr>
        <w:t>乙方根据甲方需求，协助提供8件项目相关发明专利选题、文献检索、论证方法、数据分析、文本修改的指导服务，直至发明专利受理。</w:t>
      </w:r>
    </w:p>
    <w:p w14:paraId="0F2A27A1">
      <w:pPr>
        <w:spacing w:line="360" w:lineRule="auto"/>
        <w:ind w:firstLine="480" w:firstLineChars="200"/>
        <w:outlineLvl w:val="1"/>
        <w:rPr>
          <w:rFonts w:hint="eastAsia" w:ascii="宋体" w:hAnsi="宋体" w:cs="宋体"/>
          <w:bCs w:val="0"/>
          <w:color w:val="000000"/>
          <w:sz w:val="24"/>
          <w:highlight w:val="none"/>
          <w:lang w:val="en-US" w:eastAsia="zh-CN"/>
        </w:rPr>
      </w:pPr>
      <w:r>
        <w:rPr>
          <w:rFonts w:hint="eastAsia" w:ascii="宋体" w:hAnsi="宋体" w:cs="宋体"/>
          <w:bCs w:val="0"/>
          <w:color w:val="000000"/>
          <w:sz w:val="24"/>
          <w:highlight w:val="none"/>
          <w:lang w:val="en-US" w:eastAsia="zh-CN"/>
        </w:rPr>
        <w:t>（3）乙方根据甲方需求，协助提供2篇项目相关论文的论证方法、数据分析、文本修改的指导服务，直至论文录用或发表。</w:t>
      </w:r>
    </w:p>
    <w:p w14:paraId="334CBD32">
      <w:pPr>
        <w:spacing w:line="360" w:lineRule="auto"/>
        <w:ind w:firstLine="480" w:firstLineChars="200"/>
        <w:outlineLvl w:val="1"/>
        <w:rPr>
          <w:rFonts w:hint="eastAsia" w:ascii="黑体" w:hAnsi="黑体" w:eastAsia="黑体" w:cs="黑体"/>
          <w:bCs/>
          <w:sz w:val="24"/>
          <w:highlight w:val="none"/>
        </w:rPr>
      </w:pPr>
      <w:r>
        <w:rPr>
          <w:rFonts w:hint="eastAsia" w:ascii="宋体" w:hAnsi="宋体" w:cs="宋体"/>
          <w:bCs w:val="0"/>
          <w:color w:val="000000"/>
          <w:sz w:val="24"/>
          <w:highlight w:val="none"/>
          <w:lang w:eastAsia="zh-CN"/>
        </w:rPr>
        <w:t>（</w:t>
      </w:r>
      <w:r>
        <w:rPr>
          <w:rFonts w:hint="eastAsia" w:ascii="宋体" w:hAnsi="宋体" w:cs="宋体"/>
          <w:bCs w:val="0"/>
          <w:color w:val="000000"/>
          <w:sz w:val="24"/>
          <w:highlight w:val="none"/>
          <w:lang w:val="en-US" w:eastAsia="zh-CN"/>
        </w:rPr>
        <w:t>4</w:t>
      </w:r>
      <w:r>
        <w:rPr>
          <w:rFonts w:hint="eastAsia" w:ascii="宋体" w:hAnsi="宋体" w:cs="宋体"/>
          <w:bCs w:val="0"/>
          <w:color w:val="000000"/>
          <w:sz w:val="24"/>
          <w:highlight w:val="none"/>
          <w:lang w:eastAsia="zh-CN"/>
        </w:rPr>
        <w:t>）电-磁-热多物理场仿真模型</w:t>
      </w:r>
      <w:r>
        <w:rPr>
          <w:rFonts w:hint="eastAsia" w:ascii="宋体" w:hAnsi="宋体" w:cs="宋体"/>
          <w:bCs w:val="0"/>
          <w:color w:val="000000"/>
          <w:sz w:val="24"/>
          <w:highlight w:val="none"/>
          <w:lang w:val="en-US" w:eastAsia="zh-CN"/>
        </w:rPr>
        <w:t>1套</w:t>
      </w:r>
      <w:r>
        <w:rPr>
          <w:rFonts w:hint="eastAsia" w:ascii="宋体" w:hAnsi="宋体" w:cs="宋体"/>
          <w:bCs w:val="0"/>
          <w:color w:val="000000"/>
          <w:sz w:val="24"/>
          <w:highlight w:val="none"/>
          <w:lang w:eastAsia="zh-CN"/>
        </w:rPr>
        <w:t>。</w:t>
      </w:r>
    </w:p>
    <w:p w14:paraId="78DD3BDC">
      <w:pPr>
        <w:spacing w:line="360" w:lineRule="auto"/>
        <w:outlineLvl w:val="1"/>
        <w:rPr>
          <w:rFonts w:ascii="黑体" w:hAnsi="黑体" w:eastAsia="黑体" w:cs="黑体"/>
          <w:bCs/>
          <w:sz w:val="24"/>
          <w:highlight w:val="none"/>
        </w:rPr>
      </w:pPr>
      <w:bookmarkStart w:id="20" w:name="_Toc25508"/>
      <w:r>
        <w:rPr>
          <w:rFonts w:hint="eastAsia" w:ascii="黑体" w:hAnsi="黑体" w:eastAsia="黑体" w:cs="黑体"/>
          <w:bCs/>
          <w:sz w:val="24"/>
          <w:highlight w:val="none"/>
        </w:rPr>
        <w:t>★5.2 成果的权属要求</w:t>
      </w:r>
      <w:bookmarkEnd w:id="20"/>
      <w:bookmarkStart w:id="33" w:name="_GoBack"/>
      <w:bookmarkEnd w:id="33"/>
    </w:p>
    <w:bookmarkEnd w:id="19"/>
    <w:p w14:paraId="69F3ADE7">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本项目形成的论文、专利等知识产权划分方法如下：</w:t>
      </w:r>
    </w:p>
    <w:p w14:paraId="35330417">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本合同项下研究成果形成的专利、软件著作权等知识产权的申请权利归甲方享有，未经甲方许可，乙方不得单独申请专利或向第三方转让专利申请权。相关知识产权申请人及专利权人不得出现广东电网有限责任公司及乙方以外的其他单位或个人。</w:t>
      </w:r>
    </w:p>
    <w:p w14:paraId="05400B59">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（1）本合同项下的研究成果申请专利的权利归甲方享有，未经甲方许可，乙方不得单独申请专利或向第三方转让专利申请权。乙方取得专利权的，未经甲方许可，不得转让专利权或许可第三方实施该专利。</w:t>
      </w:r>
    </w:p>
    <w:p w14:paraId="09A9AD59">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（2）甲乙双方均享有本合同项下研究成果的使用权，但乙方仅能在甲方许可的范围内使用该研究成果。因使用该研究成果所产生的效益，由甲乙双方共同协商确定分配方式。</w:t>
      </w:r>
    </w:p>
    <w:p w14:paraId="7D705C6A">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（3）本合同项下的研究成果的转让权属于甲方，乙方不得向第三方转让，亦不得许可第三方实施使用，乙方擅自转让所产生的利益归甲方所有。</w:t>
      </w:r>
    </w:p>
    <w:p w14:paraId="39160EDA">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（4）本合同项下的研究成果申请奖励的权利归甲方享有。未经甲方许可，乙方不得单方申请奖励。</w:t>
      </w:r>
    </w:p>
    <w:p w14:paraId="23FBF394">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本合同项下的研究成果的发表权由甲乙双方共同享有。未经一方许可，另一方不得单方发表。根据项目研究成果发表论文须注明“南方电网公司科技项目资助(项目编号：030100KC26040064)”；项目参加人员个人发表有关项目研究内容的论文须征得甲乙双方的同意。</w:t>
      </w:r>
    </w:p>
    <w:p w14:paraId="7D81887F">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（6）使用履行本合同产生的研究成果参与国际标准、国家标准或行业标准等的制定或修订工作的权利属于甲方所有，未经甲方许可，乙方不得单独参与此类工作。</w:t>
      </w:r>
    </w:p>
    <w:p w14:paraId="78095EDA">
      <w:pPr>
        <w:spacing w:line="360" w:lineRule="auto"/>
        <w:outlineLvl w:val="1"/>
        <w:rPr>
          <w:rFonts w:hint="eastAsia" w:ascii="黑体" w:hAnsi="黑体" w:eastAsia="黑体" w:cs="黑体"/>
          <w:bCs/>
          <w:sz w:val="24"/>
          <w:highlight w:val="none"/>
          <w:lang w:val="en-US" w:eastAsia="zh-CN"/>
        </w:rPr>
      </w:pPr>
      <w:bookmarkStart w:id="21" w:name="_Toc28744"/>
      <w:r>
        <w:rPr>
          <w:rFonts w:hint="eastAsia" w:ascii="黑体" w:hAnsi="黑体" w:eastAsia="黑体" w:cs="黑体"/>
          <w:bCs/>
          <w:sz w:val="24"/>
          <w:highlight w:val="none"/>
          <w:lang w:val="en-US" w:eastAsia="zh-CN"/>
        </w:rPr>
        <w:t>5.3技术架构要求</w:t>
      </w:r>
      <w:bookmarkEnd w:id="21"/>
    </w:p>
    <w:p w14:paraId="06C3FD5B">
      <w:pPr>
        <w:spacing w:line="360" w:lineRule="auto"/>
        <w:ind w:firstLine="480" w:firstLineChars="200"/>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本项目若</w:t>
      </w:r>
      <w:r>
        <w:rPr>
          <w:rFonts w:hint="eastAsia" w:asciiTheme="minorEastAsia" w:hAnsiTheme="minorEastAsia" w:eastAsiaTheme="minorEastAsia" w:cstheme="minorEastAsia"/>
          <w:color w:val="000000"/>
          <w:sz w:val="24"/>
          <w:highlight w:val="none"/>
          <w:lang w:eastAsia="zh-CN"/>
        </w:rPr>
        <w:t>涉及软硬件</w:t>
      </w:r>
      <w:r>
        <w:rPr>
          <w:rFonts w:hint="eastAsia" w:asciiTheme="minorEastAsia" w:hAnsiTheme="minorEastAsia" w:eastAsiaTheme="minorEastAsia" w:cstheme="minorEastAsia"/>
          <w:color w:val="000000"/>
          <w:sz w:val="24"/>
          <w:highlight w:val="none"/>
          <w:lang w:val="en-US" w:eastAsia="zh-CN"/>
        </w:rPr>
        <w:t>开发/试制应</w:t>
      </w:r>
      <w:r>
        <w:rPr>
          <w:rFonts w:hint="eastAsia" w:asciiTheme="minorEastAsia" w:hAnsiTheme="minorEastAsia" w:eastAsiaTheme="minorEastAsia" w:cstheme="minorEastAsia"/>
          <w:color w:val="000000"/>
          <w:sz w:val="24"/>
          <w:highlight w:val="none"/>
          <w:lang w:eastAsia="zh-CN"/>
        </w:rPr>
        <w:t>符合自主可控要求：</w:t>
      </w:r>
    </w:p>
    <w:p w14:paraId="5DE527EC">
      <w:pPr>
        <w:spacing w:line="360" w:lineRule="auto"/>
        <w:ind w:firstLine="480" w:firstLineChars="200"/>
        <w:rPr>
          <w:rFonts w:hint="eastAsia"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1</w:t>
      </w: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CPU：兼容自主可控CPU（ARM、X86、MIPS）架构。</w:t>
      </w:r>
    </w:p>
    <w:p w14:paraId="50CBC3F8">
      <w:pPr>
        <w:spacing w:line="360" w:lineRule="auto"/>
        <w:ind w:firstLine="480" w:firstLineChars="200"/>
        <w:rPr>
          <w:rFonts w:hint="eastAsia"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2</w:t>
      </w:r>
      <w:r>
        <w:rPr>
          <w:rFonts w:hint="eastAsia" w:asciiTheme="minorEastAsia" w:hAnsiTheme="minorEastAsia" w:eastAsiaTheme="minorEastAsia" w:cstheme="minorEastAsia"/>
          <w:color w:val="000000"/>
          <w:sz w:val="24"/>
          <w:highlight w:val="none"/>
          <w:lang w:eastAsia="zh-CN"/>
        </w:rPr>
        <w:t>）浏览器：兼容Chrome和Firefox内核浏览器。</w:t>
      </w:r>
    </w:p>
    <w:p w14:paraId="78598EC5">
      <w:pPr>
        <w:spacing w:line="360" w:lineRule="auto"/>
        <w:ind w:firstLine="480" w:firstLineChars="200"/>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3</w:t>
      </w:r>
      <w:r>
        <w:rPr>
          <w:rFonts w:hint="eastAsia" w:asciiTheme="minorEastAsia" w:hAnsiTheme="minorEastAsia" w:eastAsiaTheme="minorEastAsia" w:cstheme="minorEastAsia"/>
          <w:color w:val="000000"/>
          <w:sz w:val="24"/>
          <w:highlight w:val="none"/>
          <w:lang w:eastAsia="zh-CN"/>
        </w:rPr>
        <w:t>）操作系统：兼容</w:t>
      </w:r>
      <w:r>
        <w:rPr>
          <w:rFonts w:hint="eastAsia" w:asciiTheme="minorEastAsia" w:hAnsiTheme="minorEastAsia" w:eastAsiaTheme="minorEastAsia" w:cstheme="minorEastAsia"/>
          <w:color w:val="000000"/>
          <w:sz w:val="24"/>
          <w:highlight w:val="none"/>
          <w:lang w:val="en-US" w:eastAsia="zh-CN"/>
        </w:rPr>
        <w:t>UOS、麒麟等</w:t>
      </w:r>
      <w:r>
        <w:rPr>
          <w:rFonts w:hint="eastAsia" w:asciiTheme="minorEastAsia" w:hAnsiTheme="minorEastAsia" w:eastAsiaTheme="minorEastAsia" w:cstheme="minorEastAsia"/>
          <w:color w:val="000000"/>
          <w:sz w:val="24"/>
          <w:highlight w:val="none"/>
          <w:lang w:eastAsia="zh-CN"/>
        </w:rPr>
        <w:t>linux类型桌面操作系统和服务器自主可控操作系统。</w:t>
      </w:r>
    </w:p>
    <w:p w14:paraId="48281E95">
      <w:pPr>
        <w:spacing w:line="360" w:lineRule="auto"/>
        <w:ind w:firstLine="480" w:firstLineChars="200"/>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4</w:t>
      </w:r>
      <w:r>
        <w:rPr>
          <w:rFonts w:hint="eastAsia" w:asciiTheme="minorEastAsia" w:hAnsiTheme="minorEastAsia" w:eastAsiaTheme="minorEastAsia" w:cstheme="minorEastAsia"/>
          <w:color w:val="000000"/>
          <w:sz w:val="24"/>
          <w:highlight w:val="none"/>
          <w:lang w:eastAsia="zh-CN"/>
        </w:rPr>
        <w:t>）数据库中间件：可以兼容国内主流自主可控数据库、中间件。</w:t>
      </w:r>
    </w:p>
    <w:p w14:paraId="7921DA87">
      <w:pPr>
        <w:spacing w:line="360" w:lineRule="auto"/>
        <w:ind w:firstLine="480" w:firstLineChars="200"/>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5</w:t>
      </w:r>
      <w:r>
        <w:rPr>
          <w:rFonts w:hint="eastAsia" w:asciiTheme="minorEastAsia" w:hAnsiTheme="minorEastAsia" w:eastAsiaTheme="minorEastAsia" w:cstheme="minorEastAsia"/>
          <w:color w:val="000000"/>
          <w:sz w:val="24"/>
          <w:highlight w:val="none"/>
          <w:lang w:eastAsia="zh-CN"/>
        </w:rPr>
        <w:t>）应用架构设计：应用架构具备在多种基础环境下运行的设计；（硬件层：需要除x86架构外如ARM架构或MISP架构运行；操作系统层：需要能在Windows系列、</w:t>
      </w:r>
      <w:r>
        <w:rPr>
          <w:rFonts w:hint="eastAsia" w:asciiTheme="minorEastAsia" w:hAnsiTheme="minorEastAsia" w:eastAsiaTheme="minorEastAsia" w:cstheme="minorEastAsia"/>
          <w:color w:val="000000"/>
          <w:sz w:val="24"/>
          <w:highlight w:val="none"/>
          <w:lang w:val="en-US" w:eastAsia="zh-CN"/>
        </w:rPr>
        <w:t>Linux</w:t>
      </w:r>
      <w:r>
        <w:rPr>
          <w:rFonts w:hint="eastAsia" w:asciiTheme="minorEastAsia" w:hAnsiTheme="minorEastAsia" w:eastAsiaTheme="minorEastAsia" w:cstheme="minorEastAsia"/>
          <w:color w:val="000000"/>
          <w:sz w:val="24"/>
          <w:highlight w:val="none"/>
          <w:lang w:eastAsia="zh-CN"/>
        </w:rPr>
        <w:t>系列运行）</w:t>
      </w:r>
    </w:p>
    <w:p w14:paraId="23A8076B">
      <w:pPr>
        <w:spacing w:line="360" w:lineRule="auto"/>
        <w:outlineLvl w:val="1"/>
        <w:rPr>
          <w:rFonts w:hint="default" w:ascii="黑体" w:hAnsi="黑体" w:eastAsia="黑体" w:cs="黑体"/>
          <w:bCs/>
          <w:sz w:val="24"/>
          <w:highlight w:val="none"/>
          <w:lang w:val="en-US" w:eastAsia="zh-CN"/>
        </w:rPr>
      </w:pPr>
    </w:p>
    <w:p w14:paraId="6958FC11">
      <w:pPr>
        <w:spacing w:line="360" w:lineRule="auto"/>
        <w:outlineLvl w:val="1"/>
        <w:rPr>
          <w:rFonts w:ascii="黑体" w:hAnsi="黑体" w:eastAsia="黑体" w:cs="黑体"/>
          <w:bCs/>
          <w:sz w:val="24"/>
          <w:highlight w:val="none"/>
        </w:rPr>
      </w:pPr>
      <w:bookmarkStart w:id="22" w:name="_Toc6117"/>
      <w:r>
        <w:rPr>
          <w:rFonts w:hint="eastAsia" w:ascii="黑体" w:hAnsi="黑体" w:eastAsia="黑体" w:cs="黑体"/>
          <w:bCs/>
          <w:sz w:val="24"/>
          <w:highlight w:val="none"/>
        </w:rPr>
        <w:t>5.</w:t>
      </w:r>
      <w:r>
        <w:rPr>
          <w:rFonts w:hint="eastAsia" w:ascii="黑体" w:hAnsi="黑体" w:eastAsia="黑体" w:cs="黑体"/>
          <w:bCs/>
          <w:sz w:val="24"/>
          <w:highlight w:val="none"/>
          <w:lang w:val="en-US" w:eastAsia="zh-CN"/>
        </w:rPr>
        <w:t>4</w:t>
      </w:r>
      <w:r>
        <w:rPr>
          <w:rFonts w:hint="eastAsia" w:ascii="黑体" w:hAnsi="黑体" w:eastAsia="黑体" w:cs="黑体"/>
          <w:bCs/>
          <w:sz w:val="24"/>
          <w:highlight w:val="none"/>
        </w:rPr>
        <w:t>成果验收</w:t>
      </w:r>
      <w:bookmarkEnd w:id="22"/>
    </w:p>
    <w:p w14:paraId="0F71C3CE">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项目完成后，由甲方组织专家组对项目的主要技术指标、成果等进行验收。</w:t>
      </w:r>
      <w:r>
        <w:rPr>
          <w:rFonts w:hint="eastAsia" w:ascii="宋体" w:hAnsi="宋体" w:cs="宋体"/>
          <w:bCs w:val="0"/>
          <w:color w:val="000000"/>
          <w:sz w:val="24"/>
          <w:highlight w:val="none"/>
          <w:lang w:eastAsia="zh-CN"/>
        </w:rPr>
        <w:t>柔性直流用低漏磁空心电抗器关键技术研究</w:t>
      </w:r>
      <w:r>
        <w:rPr>
          <w:rFonts w:hint="eastAsia" w:ascii="宋体" w:hAnsi="宋体" w:eastAsia="宋体" w:cs="宋体"/>
          <w:bCs w:val="0"/>
          <w:color w:val="000000"/>
          <w:sz w:val="24"/>
          <w:highlight w:val="none"/>
        </w:rPr>
        <w:t>技术报告</w:t>
      </w:r>
      <w:r>
        <w:rPr>
          <w:rFonts w:hint="eastAsia" w:ascii="宋体" w:hAnsi="宋体" w:eastAsia="宋体" w:cs="宋体"/>
          <w:bCs w:val="0"/>
          <w:color w:val="000000"/>
          <w:sz w:val="24"/>
          <w:highlight w:val="none"/>
          <w:lang w:eastAsia="zh-CN"/>
        </w:rPr>
        <w:t>、</w:t>
      </w:r>
      <w:r>
        <w:rPr>
          <w:rFonts w:hint="eastAsia" w:asciiTheme="minorEastAsia" w:hAnsiTheme="minorEastAsia" w:eastAsiaTheme="minorEastAsia" w:cstheme="minorEastAsia"/>
          <w:color w:val="000000"/>
          <w:sz w:val="24"/>
          <w:highlight w:val="none"/>
        </w:rPr>
        <w:t>电-磁-热多物理场仿真模型</w:t>
      </w:r>
      <w:r>
        <w:rPr>
          <w:rFonts w:hint="eastAsia" w:ascii="宋体" w:hAnsi="宋体" w:eastAsia="宋体" w:cs="宋体"/>
          <w:bCs w:val="0"/>
          <w:color w:val="000000"/>
          <w:sz w:val="24"/>
          <w:highlight w:val="none"/>
          <w:lang w:val="en-US" w:eastAsia="zh-CN"/>
        </w:rPr>
        <w:t>需通过专家评审，专利需收到受理通知，论文需收到录用通知书。</w:t>
      </w:r>
    </w:p>
    <w:p w14:paraId="25A7987C">
      <w:pPr>
        <w:pStyle w:val="22"/>
        <w:spacing w:before="312"/>
        <w:outlineLvl w:val="0"/>
        <w:rPr>
          <w:rFonts w:ascii="黑体" w:hAnsi="黑体" w:eastAsia="黑体" w:cs="黑体"/>
          <w:sz w:val="28"/>
          <w:szCs w:val="28"/>
          <w:highlight w:val="none"/>
        </w:rPr>
      </w:pPr>
      <w:bookmarkStart w:id="23" w:name="_Toc30047"/>
      <w:r>
        <w:rPr>
          <w:rFonts w:hint="eastAsia" w:ascii="黑体" w:hAnsi="黑体" w:eastAsia="黑体" w:cs="黑体"/>
          <w:sz w:val="28"/>
          <w:szCs w:val="28"/>
          <w:highlight w:val="none"/>
        </w:rPr>
        <w:t>6  投标技术文件要求</w:t>
      </w:r>
      <w:bookmarkEnd w:id="23"/>
    </w:p>
    <w:p w14:paraId="63B785C8">
      <w:pPr>
        <w:spacing w:line="360" w:lineRule="auto"/>
        <w:outlineLvl w:val="1"/>
        <w:rPr>
          <w:rFonts w:ascii="黑体" w:hAnsi="黑体" w:eastAsia="黑体" w:cs="黑体"/>
          <w:bCs/>
          <w:sz w:val="24"/>
          <w:highlight w:val="none"/>
        </w:rPr>
      </w:pPr>
      <w:bookmarkStart w:id="24" w:name="_Toc26928"/>
      <w:r>
        <w:rPr>
          <w:rFonts w:hint="eastAsia" w:ascii="黑体" w:hAnsi="黑体" w:eastAsia="黑体" w:cs="黑体"/>
          <w:bCs/>
          <w:sz w:val="24"/>
          <w:highlight w:val="none"/>
        </w:rPr>
        <w:t>6.1 研究方案</w:t>
      </w:r>
      <w:bookmarkEnd w:id="24"/>
    </w:p>
    <w:p w14:paraId="616B1662">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（1）项目技术路线</w:t>
      </w:r>
    </w:p>
    <w:p w14:paraId="53D3B6D8">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项目实施的总体研究思路和总体框架。</w:t>
      </w:r>
    </w:p>
    <w:p w14:paraId="064F4E05">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（2）技术方案</w:t>
      </w:r>
    </w:p>
    <w:p w14:paraId="13025BC8">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投标方应针对每项研究内容提供详尽的技术解决方案。</w:t>
      </w:r>
    </w:p>
    <w:p w14:paraId="2473858F">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（3）重点解决的技术难题</w:t>
      </w:r>
    </w:p>
    <w:p w14:paraId="1F609337">
      <w:pPr>
        <w:spacing w:line="360" w:lineRule="auto"/>
        <w:outlineLvl w:val="2"/>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sz w:val="24"/>
          <w:highlight w:val="none"/>
        </w:rPr>
        <w:t>（4）主要技术指标实现的可行性</w:t>
      </w:r>
    </w:p>
    <w:p w14:paraId="40E3CB27">
      <w:pPr>
        <w:spacing w:line="360" w:lineRule="auto"/>
        <w:outlineLvl w:val="1"/>
        <w:rPr>
          <w:rFonts w:ascii="黑体" w:hAnsi="黑体" w:eastAsia="黑体" w:cs="黑体"/>
          <w:bCs/>
          <w:sz w:val="24"/>
          <w:highlight w:val="none"/>
        </w:rPr>
      </w:pPr>
      <w:bookmarkStart w:id="25" w:name="_Toc3443"/>
      <w:bookmarkStart w:id="26" w:name="_Toc12714"/>
      <w:r>
        <w:rPr>
          <w:rFonts w:hint="eastAsia" w:ascii="黑体" w:hAnsi="黑体" w:eastAsia="黑体" w:cs="黑体"/>
          <w:bCs/>
          <w:sz w:val="24"/>
          <w:highlight w:val="none"/>
        </w:rPr>
        <w:t>6.2 项目管理实施</w:t>
      </w:r>
      <w:bookmarkEnd w:id="25"/>
      <w:bookmarkEnd w:id="26"/>
    </w:p>
    <w:p w14:paraId="6D651A22">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（1）项目人员组织</w:t>
      </w:r>
    </w:p>
    <w:p w14:paraId="13ACFA4D">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介绍项目人员组织情况、职责分工。</w:t>
      </w:r>
    </w:p>
    <w:p w14:paraId="113ECCBF">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（2）项目进度</w:t>
      </w:r>
    </w:p>
    <w:p w14:paraId="6016EA5C">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提交详细的项目实施计划，明确里程碑。</w:t>
      </w:r>
    </w:p>
    <w:p w14:paraId="7B538330">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（3）项目交付项</w:t>
      </w:r>
    </w:p>
    <w:p w14:paraId="500B3FF9">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说明项目阶段任务完成后，投标方根据成果交付与验收要求应提交给招标方的产品、服务以及交接文件等，并附上相应的交付时间计划表。</w:t>
      </w:r>
    </w:p>
    <w:p w14:paraId="2D96D159">
      <w:pPr>
        <w:spacing w:line="360" w:lineRule="auto"/>
        <w:outlineLvl w:val="1"/>
        <w:rPr>
          <w:rFonts w:ascii="黑体" w:hAnsi="黑体" w:eastAsia="黑体" w:cs="黑体"/>
          <w:bCs/>
          <w:sz w:val="24"/>
          <w:highlight w:val="none"/>
        </w:rPr>
      </w:pPr>
      <w:bookmarkStart w:id="27" w:name="_Toc29755"/>
      <w:r>
        <w:rPr>
          <w:rFonts w:hint="eastAsia" w:ascii="黑体" w:hAnsi="黑体" w:eastAsia="黑体" w:cs="黑体"/>
          <w:bCs/>
          <w:sz w:val="24"/>
          <w:highlight w:val="none"/>
        </w:rPr>
        <w:t>6.3 项目技术支撑能力</w:t>
      </w:r>
      <w:bookmarkEnd w:id="27"/>
    </w:p>
    <w:p w14:paraId="2C4C7343">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（1）项目经验</w:t>
      </w:r>
    </w:p>
    <w:p w14:paraId="1CAC45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该部分填写与标的物相关的项目研究经验、合同情况、论文专利和获奖情况。</w:t>
      </w:r>
    </w:p>
    <w:p w14:paraId="5ECD31B5">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（2）人员支撑能力</w:t>
      </w:r>
    </w:p>
    <w:p w14:paraId="5497B2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该部分填写与标的物相关的本项目研究成员详细资料（包括学历、资质、研究方向/工作经验等），提供</w:t>
      </w:r>
      <w:r>
        <w:rPr>
          <w:rFonts w:hint="eastAsia" w:asciiTheme="minorEastAsia" w:hAnsiTheme="minorEastAsia" w:eastAsiaTheme="minorEastAsia" w:cstheme="minorEastAsia"/>
          <w:color w:val="000000"/>
          <w:sz w:val="24"/>
          <w:highlight w:val="none"/>
          <w:lang w:val="en-US" w:eastAsia="zh-CN"/>
        </w:rPr>
        <w:t>相关支撑材料</w:t>
      </w:r>
      <w:r>
        <w:rPr>
          <w:rFonts w:hint="eastAsia" w:asciiTheme="minorEastAsia" w:hAnsiTheme="minorEastAsia" w:eastAsiaTheme="minorEastAsia" w:cstheme="minorEastAsia"/>
          <w:color w:val="000000"/>
          <w:sz w:val="24"/>
          <w:highlight w:val="none"/>
        </w:rPr>
        <w:t>。</w:t>
      </w:r>
    </w:p>
    <w:p w14:paraId="11FC94D4">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（3）设备支撑能力</w:t>
      </w:r>
    </w:p>
    <w:p w14:paraId="0BF19E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该部分填写与标的物相关的、支撑该项目研究的设备、平台、实验室等。</w:t>
      </w:r>
    </w:p>
    <w:p w14:paraId="65A07176">
      <w:pPr>
        <w:spacing w:line="360" w:lineRule="auto"/>
        <w:outlineLvl w:val="1"/>
        <w:rPr>
          <w:rFonts w:ascii="黑体" w:hAnsi="黑体" w:eastAsia="黑体" w:cs="黑体"/>
          <w:bCs/>
          <w:sz w:val="24"/>
          <w:highlight w:val="none"/>
        </w:rPr>
      </w:pPr>
      <w:bookmarkStart w:id="28" w:name="_Toc3357"/>
      <w:bookmarkStart w:id="29" w:name="_Toc25058"/>
      <w:r>
        <w:rPr>
          <w:rFonts w:hint="eastAsia" w:ascii="黑体" w:hAnsi="黑体" w:eastAsia="黑体" w:cs="黑体"/>
          <w:bCs/>
          <w:sz w:val="24"/>
          <w:highlight w:val="none"/>
        </w:rPr>
        <w:t>6.4 技术支持与售后服务</w:t>
      </w:r>
      <w:bookmarkEnd w:id="28"/>
      <w:bookmarkEnd w:id="29"/>
    </w:p>
    <w:p w14:paraId="6956A62D">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投标方要明确所能提供的服务内容，服务方式，服务承诺和售后服务等情况。</w:t>
      </w:r>
    </w:p>
    <w:p w14:paraId="5E166729">
      <w:pPr>
        <w:spacing w:line="360" w:lineRule="auto"/>
        <w:outlineLvl w:val="1"/>
        <w:rPr>
          <w:rFonts w:ascii="黑体" w:hAnsi="黑体" w:eastAsia="黑体" w:cs="黑体"/>
          <w:bCs/>
          <w:sz w:val="24"/>
          <w:highlight w:val="none"/>
        </w:rPr>
      </w:pPr>
      <w:bookmarkStart w:id="30" w:name="_Toc17138"/>
      <w:r>
        <w:rPr>
          <w:rFonts w:hint="eastAsia" w:ascii="黑体" w:hAnsi="黑体" w:eastAsia="黑体" w:cs="黑体"/>
          <w:bCs/>
          <w:sz w:val="24"/>
          <w:highlight w:val="none"/>
        </w:rPr>
        <w:t>6.5 技术差异表</w:t>
      </w:r>
      <w:bookmarkEnd w:id="30"/>
    </w:p>
    <w:p w14:paraId="1002FB1D">
      <w:pPr>
        <w:spacing w:line="360" w:lineRule="auto"/>
        <w:ind w:firstLine="480" w:firstLineChars="20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投标方应针对主要技术指标要求、成果交付数量要求等填写响应的差异情况。</w:t>
      </w:r>
    </w:p>
    <w:p w14:paraId="7785F9B9">
      <w:pPr>
        <w:spacing w:line="360" w:lineRule="auto"/>
        <w:jc w:val="center"/>
        <w:rPr>
          <w:rFonts w:ascii="黑体" w:hAnsi="黑体" w:eastAsia="黑体" w:cs="黑体"/>
          <w:bCs/>
          <w:color w:val="000000"/>
          <w:szCs w:val="21"/>
          <w:highlight w:val="none"/>
        </w:rPr>
      </w:pPr>
      <w:r>
        <w:rPr>
          <w:rFonts w:hint="eastAsia" w:ascii="黑体" w:hAnsi="黑体" w:eastAsia="黑体" w:cs="黑体"/>
          <w:bCs/>
          <w:color w:val="000000"/>
          <w:szCs w:val="21"/>
          <w:highlight w:val="none"/>
        </w:rPr>
        <w:t>表6.1 技术指标差异表（投标方填写）</w:t>
      </w:r>
    </w:p>
    <w:tbl>
      <w:tblPr>
        <w:tblStyle w:val="14"/>
        <w:tblW w:w="839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782"/>
        <w:gridCol w:w="1574"/>
        <w:gridCol w:w="1485"/>
        <w:gridCol w:w="1713"/>
        <w:gridCol w:w="1351"/>
      </w:tblGrid>
      <w:tr w14:paraId="68A2DA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486" w:type="dxa"/>
            <w:tcBorders>
              <w:tl2br w:val="nil"/>
              <w:tr2bl w:val="nil"/>
            </w:tcBorders>
            <w:vAlign w:val="center"/>
          </w:tcPr>
          <w:p w14:paraId="0AEBD105">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序号</w:t>
            </w:r>
          </w:p>
        </w:tc>
        <w:tc>
          <w:tcPr>
            <w:tcW w:w="1782" w:type="dxa"/>
            <w:tcBorders>
              <w:tl2br w:val="nil"/>
              <w:tr2bl w:val="nil"/>
            </w:tcBorders>
            <w:vAlign w:val="center"/>
          </w:tcPr>
          <w:p w14:paraId="1682DF9E">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名称</w:t>
            </w:r>
          </w:p>
          <w:p w14:paraId="24B69DAB">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（技术指标/成果要求）</w:t>
            </w:r>
          </w:p>
        </w:tc>
        <w:tc>
          <w:tcPr>
            <w:tcW w:w="1574" w:type="dxa"/>
            <w:tcBorders>
              <w:tl2br w:val="nil"/>
              <w:tr2bl w:val="nil"/>
            </w:tcBorders>
            <w:vAlign w:val="center"/>
          </w:tcPr>
          <w:p w14:paraId="66A17624">
            <w:pPr>
              <w:widowControl/>
              <w:jc w:val="center"/>
              <w:textAlignment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kern w:val="0"/>
                <w:szCs w:val="21"/>
                <w:highlight w:val="none"/>
                <w:lang w:bidi="ar"/>
              </w:rPr>
              <w:t>招标方要求值</w:t>
            </w:r>
          </w:p>
        </w:tc>
        <w:tc>
          <w:tcPr>
            <w:tcW w:w="1485" w:type="dxa"/>
            <w:tcBorders>
              <w:tl2br w:val="nil"/>
              <w:tr2bl w:val="nil"/>
            </w:tcBorders>
            <w:vAlign w:val="center"/>
          </w:tcPr>
          <w:p w14:paraId="152C77CA">
            <w:pPr>
              <w:widowControl/>
              <w:jc w:val="center"/>
              <w:textAlignment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kern w:val="0"/>
                <w:szCs w:val="21"/>
                <w:highlight w:val="none"/>
                <w:lang w:bidi="ar"/>
              </w:rPr>
              <w:t>投标方保证值</w:t>
            </w:r>
          </w:p>
        </w:tc>
        <w:tc>
          <w:tcPr>
            <w:tcW w:w="1713" w:type="dxa"/>
            <w:tcBorders>
              <w:tl2br w:val="nil"/>
              <w:tr2bl w:val="nil"/>
            </w:tcBorders>
            <w:vAlign w:val="center"/>
          </w:tcPr>
          <w:p w14:paraId="0854792A">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关键指标允许响应情况（正偏差/负偏差/无偏差）</w:t>
            </w:r>
          </w:p>
        </w:tc>
        <w:tc>
          <w:tcPr>
            <w:tcW w:w="1351" w:type="dxa"/>
            <w:tcBorders>
              <w:tl2br w:val="nil"/>
              <w:tr2bl w:val="nil"/>
            </w:tcBorders>
            <w:vAlign w:val="center"/>
          </w:tcPr>
          <w:p w14:paraId="3A22785A">
            <w:pPr>
              <w:widowControl/>
              <w:jc w:val="center"/>
              <w:textAlignment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kern w:val="0"/>
                <w:szCs w:val="21"/>
                <w:highlight w:val="none"/>
                <w:lang w:bidi="ar"/>
              </w:rPr>
              <w:t>技术方案或保障措施所在的页码</w:t>
            </w:r>
          </w:p>
        </w:tc>
      </w:tr>
      <w:tr w14:paraId="0382FC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86" w:type="dxa"/>
            <w:tcBorders>
              <w:tl2br w:val="nil"/>
              <w:tr2bl w:val="nil"/>
            </w:tcBorders>
            <w:vAlign w:val="center"/>
          </w:tcPr>
          <w:p w14:paraId="457BC5C2">
            <w:pPr>
              <w:jc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1</w:t>
            </w:r>
          </w:p>
        </w:tc>
        <w:tc>
          <w:tcPr>
            <w:tcW w:w="1782" w:type="dxa"/>
            <w:tcBorders>
              <w:tl2br w:val="nil"/>
              <w:tr2bl w:val="nil"/>
            </w:tcBorders>
            <w:vAlign w:val="center"/>
          </w:tcPr>
          <w:p w14:paraId="71FF6F10">
            <w:pPr>
              <w:jc w:val="center"/>
              <w:rPr>
                <w:rFonts w:asciiTheme="minorEastAsia" w:hAnsiTheme="minorEastAsia" w:eastAsiaTheme="minorEastAsia" w:cstheme="minorEastAsia"/>
                <w:szCs w:val="21"/>
                <w:highlight w:val="none"/>
              </w:rPr>
            </w:pPr>
          </w:p>
        </w:tc>
        <w:tc>
          <w:tcPr>
            <w:tcW w:w="1574" w:type="dxa"/>
            <w:tcBorders>
              <w:tl2br w:val="nil"/>
              <w:tr2bl w:val="nil"/>
            </w:tcBorders>
            <w:vAlign w:val="center"/>
          </w:tcPr>
          <w:p w14:paraId="674B6A01">
            <w:pPr>
              <w:jc w:val="center"/>
              <w:rPr>
                <w:rFonts w:asciiTheme="minorEastAsia" w:hAnsiTheme="minorEastAsia" w:eastAsiaTheme="minorEastAsia" w:cstheme="minorEastAsia"/>
                <w:szCs w:val="21"/>
                <w:highlight w:val="none"/>
              </w:rPr>
            </w:pPr>
          </w:p>
        </w:tc>
        <w:tc>
          <w:tcPr>
            <w:tcW w:w="1485" w:type="dxa"/>
            <w:tcBorders>
              <w:tl2br w:val="nil"/>
              <w:tr2bl w:val="nil"/>
            </w:tcBorders>
            <w:vAlign w:val="center"/>
          </w:tcPr>
          <w:p w14:paraId="321CE4E5">
            <w:pPr>
              <w:jc w:val="center"/>
              <w:rPr>
                <w:rFonts w:asciiTheme="minorEastAsia" w:hAnsiTheme="minorEastAsia" w:eastAsiaTheme="minorEastAsia" w:cstheme="minorEastAsia"/>
                <w:color w:val="000000"/>
                <w:szCs w:val="21"/>
                <w:highlight w:val="none"/>
              </w:rPr>
            </w:pPr>
          </w:p>
        </w:tc>
        <w:tc>
          <w:tcPr>
            <w:tcW w:w="1713" w:type="dxa"/>
            <w:tcBorders>
              <w:tl2br w:val="nil"/>
              <w:tr2bl w:val="nil"/>
            </w:tcBorders>
            <w:vAlign w:val="center"/>
          </w:tcPr>
          <w:p w14:paraId="276627C0">
            <w:pPr>
              <w:widowControl/>
              <w:jc w:val="center"/>
              <w:textAlignment w:val="center"/>
              <w:rPr>
                <w:rFonts w:asciiTheme="minorEastAsia" w:hAnsiTheme="minorEastAsia" w:eastAsiaTheme="minorEastAsia" w:cstheme="minorEastAsia"/>
                <w:color w:val="000000"/>
                <w:szCs w:val="21"/>
                <w:highlight w:val="none"/>
              </w:rPr>
            </w:pPr>
          </w:p>
        </w:tc>
        <w:tc>
          <w:tcPr>
            <w:tcW w:w="1351" w:type="dxa"/>
            <w:tcBorders>
              <w:tl2br w:val="nil"/>
              <w:tr2bl w:val="nil"/>
            </w:tcBorders>
            <w:vAlign w:val="center"/>
          </w:tcPr>
          <w:p w14:paraId="3875C548">
            <w:pPr>
              <w:jc w:val="center"/>
              <w:rPr>
                <w:rFonts w:asciiTheme="minorEastAsia" w:hAnsiTheme="minorEastAsia" w:eastAsiaTheme="minorEastAsia" w:cstheme="minorEastAsia"/>
                <w:color w:val="000000"/>
                <w:szCs w:val="21"/>
                <w:highlight w:val="none"/>
              </w:rPr>
            </w:pPr>
          </w:p>
        </w:tc>
      </w:tr>
      <w:tr w14:paraId="554663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86" w:type="dxa"/>
            <w:tcBorders>
              <w:tl2br w:val="nil"/>
              <w:tr2bl w:val="nil"/>
            </w:tcBorders>
            <w:vAlign w:val="center"/>
          </w:tcPr>
          <w:p w14:paraId="68C8E194">
            <w:pPr>
              <w:jc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2</w:t>
            </w:r>
          </w:p>
        </w:tc>
        <w:tc>
          <w:tcPr>
            <w:tcW w:w="1782" w:type="dxa"/>
            <w:tcBorders>
              <w:tl2br w:val="nil"/>
              <w:tr2bl w:val="nil"/>
            </w:tcBorders>
            <w:vAlign w:val="center"/>
          </w:tcPr>
          <w:p w14:paraId="62EECB07">
            <w:pPr>
              <w:jc w:val="center"/>
              <w:rPr>
                <w:rFonts w:asciiTheme="minorEastAsia" w:hAnsiTheme="minorEastAsia" w:eastAsiaTheme="minorEastAsia" w:cstheme="minorEastAsia"/>
                <w:szCs w:val="21"/>
                <w:highlight w:val="none"/>
              </w:rPr>
            </w:pPr>
          </w:p>
        </w:tc>
        <w:tc>
          <w:tcPr>
            <w:tcW w:w="1574" w:type="dxa"/>
            <w:tcBorders>
              <w:tl2br w:val="nil"/>
              <w:tr2bl w:val="nil"/>
            </w:tcBorders>
            <w:vAlign w:val="center"/>
          </w:tcPr>
          <w:p w14:paraId="2D279D19">
            <w:pPr>
              <w:jc w:val="center"/>
              <w:rPr>
                <w:rFonts w:asciiTheme="minorEastAsia" w:hAnsiTheme="minorEastAsia" w:eastAsiaTheme="minorEastAsia" w:cstheme="minorEastAsia"/>
                <w:szCs w:val="21"/>
                <w:highlight w:val="none"/>
              </w:rPr>
            </w:pPr>
          </w:p>
        </w:tc>
        <w:tc>
          <w:tcPr>
            <w:tcW w:w="1485" w:type="dxa"/>
            <w:tcBorders>
              <w:tl2br w:val="nil"/>
              <w:tr2bl w:val="nil"/>
            </w:tcBorders>
            <w:vAlign w:val="center"/>
          </w:tcPr>
          <w:p w14:paraId="5AC7CAD6">
            <w:pPr>
              <w:jc w:val="center"/>
              <w:rPr>
                <w:rFonts w:asciiTheme="minorEastAsia" w:hAnsiTheme="minorEastAsia" w:eastAsiaTheme="minorEastAsia" w:cstheme="minorEastAsia"/>
                <w:color w:val="000000"/>
                <w:szCs w:val="21"/>
                <w:highlight w:val="none"/>
              </w:rPr>
            </w:pPr>
          </w:p>
        </w:tc>
        <w:tc>
          <w:tcPr>
            <w:tcW w:w="1713" w:type="dxa"/>
            <w:tcBorders>
              <w:tl2br w:val="nil"/>
              <w:tr2bl w:val="nil"/>
            </w:tcBorders>
            <w:vAlign w:val="center"/>
          </w:tcPr>
          <w:p w14:paraId="640964F4">
            <w:pPr>
              <w:jc w:val="center"/>
              <w:rPr>
                <w:rFonts w:asciiTheme="minorEastAsia" w:hAnsiTheme="minorEastAsia" w:eastAsiaTheme="minorEastAsia" w:cstheme="minorEastAsia"/>
                <w:color w:val="000000"/>
                <w:szCs w:val="21"/>
                <w:highlight w:val="none"/>
              </w:rPr>
            </w:pPr>
          </w:p>
        </w:tc>
        <w:tc>
          <w:tcPr>
            <w:tcW w:w="1351" w:type="dxa"/>
            <w:tcBorders>
              <w:tl2br w:val="nil"/>
              <w:tr2bl w:val="nil"/>
            </w:tcBorders>
            <w:vAlign w:val="center"/>
          </w:tcPr>
          <w:p w14:paraId="33CA2F9B">
            <w:pPr>
              <w:jc w:val="center"/>
              <w:rPr>
                <w:rFonts w:asciiTheme="minorEastAsia" w:hAnsiTheme="minorEastAsia" w:eastAsiaTheme="minorEastAsia" w:cstheme="minorEastAsia"/>
                <w:color w:val="000000"/>
                <w:szCs w:val="21"/>
                <w:highlight w:val="none"/>
              </w:rPr>
            </w:pPr>
          </w:p>
        </w:tc>
      </w:tr>
      <w:tr w14:paraId="6483DE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86" w:type="dxa"/>
            <w:tcBorders>
              <w:tl2br w:val="nil"/>
              <w:tr2bl w:val="nil"/>
            </w:tcBorders>
            <w:vAlign w:val="center"/>
          </w:tcPr>
          <w:p w14:paraId="07249BC9">
            <w:pPr>
              <w:jc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3</w:t>
            </w:r>
          </w:p>
        </w:tc>
        <w:tc>
          <w:tcPr>
            <w:tcW w:w="1782" w:type="dxa"/>
            <w:tcBorders>
              <w:tl2br w:val="nil"/>
              <w:tr2bl w:val="nil"/>
            </w:tcBorders>
            <w:vAlign w:val="center"/>
          </w:tcPr>
          <w:p w14:paraId="0945F2A3">
            <w:pPr>
              <w:jc w:val="center"/>
              <w:rPr>
                <w:rFonts w:asciiTheme="minorEastAsia" w:hAnsiTheme="minorEastAsia" w:eastAsiaTheme="minorEastAsia" w:cstheme="minorEastAsia"/>
                <w:szCs w:val="21"/>
                <w:highlight w:val="none"/>
              </w:rPr>
            </w:pPr>
          </w:p>
        </w:tc>
        <w:tc>
          <w:tcPr>
            <w:tcW w:w="1574" w:type="dxa"/>
            <w:tcBorders>
              <w:tl2br w:val="nil"/>
              <w:tr2bl w:val="nil"/>
            </w:tcBorders>
            <w:vAlign w:val="center"/>
          </w:tcPr>
          <w:p w14:paraId="55745F93">
            <w:pPr>
              <w:jc w:val="center"/>
              <w:rPr>
                <w:rFonts w:asciiTheme="minorEastAsia" w:hAnsiTheme="minorEastAsia" w:eastAsiaTheme="minorEastAsia" w:cstheme="minorEastAsia"/>
                <w:szCs w:val="21"/>
                <w:highlight w:val="none"/>
              </w:rPr>
            </w:pPr>
          </w:p>
        </w:tc>
        <w:tc>
          <w:tcPr>
            <w:tcW w:w="1485" w:type="dxa"/>
            <w:tcBorders>
              <w:tl2br w:val="nil"/>
              <w:tr2bl w:val="nil"/>
            </w:tcBorders>
            <w:vAlign w:val="center"/>
          </w:tcPr>
          <w:p w14:paraId="5E9116CA">
            <w:pPr>
              <w:jc w:val="center"/>
              <w:rPr>
                <w:rFonts w:asciiTheme="minorEastAsia" w:hAnsiTheme="minorEastAsia" w:eastAsiaTheme="minorEastAsia" w:cstheme="minorEastAsia"/>
                <w:color w:val="000000"/>
                <w:szCs w:val="21"/>
                <w:highlight w:val="none"/>
              </w:rPr>
            </w:pPr>
          </w:p>
        </w:tc>
        <w:tc>
          <w:tcPr>
            <w:tcW w:w="1713" w:type="dxa"/>
            <w:tcBorders>
              <w:tl2br w:val="nil"/>
              <w:tr2bl w:val="nil"/>
            </w:tcBorders>
            <w:vAlign w:val="center"/>
          </w:tcPr>
          <w:p w14:paraId="3EE694CD">
            <w:pPr>
              <w:jc w:val="center"/>
              <w:rPr>
                <w:rFonts w:asciiTheme="minorEastAsia" w:hAnsiTheme="minorEastAsia" w:eastAsiaTheme="minorEastAsia" w:cstheme="minorEastAsia"/>
                <w:color w:val="000000"/>
                <w:szCs w:val="21"/>
                <w:highlight w:val="none"/>
              </w:rPr>
            </w:pPr>
          </w:p>
        </w:tc>
        <w:tc>
          <w:tcPr>
            <w:tcW w:w="1351" w:type="dxa"/>
            <w:tcBorders>
              <w:tl2br w:val="nil"/>
              <w:tr2bl w:val="nil"/>
            </w:tcBorders>
            <w:vAlign w:val="center"/>
          </w:tcPr>
          <w:p w14:paraId="794DAF2C">
            <w:pPr>
              <w:jc w:val="center"/>
              <w:rPr>
                <w:rFonts w:asciiTheme="minorEastAsia" w:hAnsiTheme="minorEastAsia" w:eastAsiaTheme="minorEastAsia" w:cstheme="minorEastAsia"/>
                <w:color w:val="000000"/>
                <w:szCs w:val="21"/>
                <w:highlight w:val="none"/>
              </w:rPr>
            </w:pPr>
          </w:p>
        </w:tc>
      </w:tr>
    </w:tbl>
    <w:p w14:paraId="50C19061">
      <w:pPr>
        <w:spacing w:line="360" w:lineRule="auto"/>
        <w:ind w:firstLine="480" w:firstLineChars="200"/>
        <w:rPr>
          <w:rFonts w:asciiTheme="minorEastAsia" w:hAnsiTheme="minorEastAsia" w:eastAsiaTheme="minorEastAsia" w:cstheme="minorEastAsia"/>
          <w:color w:val="000000"/>
          <w:sz w:val="24"/>
          <w:highlight w:val="none"/>
        </w:rPr>
      </w:pPr>
      <w:bookmarkStart w:id="31" w:name="_Toc226362579"/>
      <w:r>
        <w:rPr>
          <w:rFonts w:hint="eastAsia" w:asciiTheme="minorEastAsia" w:hAnsiTheme="minorEastAsia" w:eastAsiaTheme="minorEastAsia" w:cstheme="minorEastAsia"/>
          <w:color w:val="000000"/>
          <w:sz w:val="24"/>
          <w:highlight w:val="none"/>
        </w:rPr>
        <w:t>投标方应将所提供服务与本技术规范书有差异之处，无论优于或劣于本技术规范书要求，均汇集成下表。</w:t>
      </w:r>
    </w:p>
    <w:p w14:paraId="12702E42">
      <w:pPr>
        <w:spacing w:line="360" w:lineRule="auto"/>
        <w:jc w:val="center"/>
        <w:rPr>
          <w:rFonts w:ascii="黑体" w:hAnsi="黑体" w:eastAsia="黑体" w:cs="黑体"/>
          <w:bCs/>
          <w:color w:val="000000"/>
          <w:szCs w:val="21"/>
          <w:highlight w:val="none"/>
        </w:rPr>
      </w:pPr>
      <w:r>
        <w:rPr>
          <w:rFonts w:hint="eastAsia" w:ascii="黑体" w:hAnsi="黑体" w:eastAsia="黑体" w:cs="黑体"/>
          <w:bCs/>
          <w:color w:val="000000"/>
          <w:szCs w:val="21"/>
          <w:highlight w:val="none"/>
        </w:rPr>
        <w:t>表6.2 技术差异汇总表</w:t>
      </w:r>
      <w:bookmarkEnd w:id="31"/>
      <w:r>
        <w:rPr>
          <w:rFonts w:hint="eastAsia" w:ascii="黑体" w:hAnsi="黑体" w:eastAsia="黑体" w:cs="黑体"/>
          <w:bCs/>
          <w:color w:val="000000"/>
          <w:szCs w:val="21"/>
          <w:highlight w:val="none"/>
        </w:rPr>
        <w:t>（投标方填写）</w:t>
      </w:r>
    </w:p>
    <w:tbl>
      <w:tblPr>
        <w:tblStyle w:val="13"/>
        <w:tblW w:w="83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163"/>
        <w:gridCol w:w="2713"/>
        <w:gridCol w:w="1258"/>
        <w:gridCol w:w="2575"/>
      </w:tblGrid>
      <w:tr w14:paraId="1C3588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restart"/>
            <w:tcBorders>
              <w:tl2br w:val="nil"/>
              <w:tr2bl w:val="nil"/>
            </w:tcBorders>
            <w:vAlign w:val="center"/>
          </w:tcPr>
          <w:p w14:paraId="600373BF">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序</w:t>
            </w:r>
          </w:p>
          <w:p w14:paraId="1723FC42">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号</w:t>
            </w:r>
          </w:p>
        </w:tc>
        <w:tc>
          <w:tcPr>
            <w:tcW w:w="3876" w:type="dxa"/>
            <w:gridSpan w:val="2"/>
            <w:tcBorders>
              <w:tl2br w:val="nil"/>
              <w:tr2bl w:val="nil"/>
            </w:tcBorders>
            <w:vAlign w:val="center"/>
          </w:tcPr>
          <w:p w14:paraId="6F585EB1">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招 标 文 件</w:t>
            </w:r>
          </w:p>
        </w:tc>
        <w:tc>
          <w:tcPr>
            <w:tcW w:w="3833" w:type="dxa"/>
            <w:gridSpan w:val="2"/>
            <w:tcBorders>
              <w:tl2br w:val="nil"/>
              <w:tr2bl w:val="nil"/>
            </w:tcBorders>
            <w:vAlign w:val="center"/>
          </w:tcPr>
          <w:p w14:paraId="2E716A3D">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投  标  文  件</w:t>
            </w:r>
          </w:p>
        </w:tc>
      </w:tr>
      <w:tr w14:paraId="703F5A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continue"/>
            <w:tcBorders>
              <w:tl2br w:val="nil"/>
              <w:tr2bl w:val="nil"/>
            </w:tcBorders>
            <w:vAlign w:val="center"/>
          </w:tcPr>
          <w:p w14:paraId="13D8D596">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1163" w:type="dxa"/>
            <w:tcBorders>
              <w:tl2br w:val="nil"/>
              <w:tr2bl w:val="nil"/>
            </w:tcBorders>
            <w:vAlign w:val="center"/>
          </w:tcPr>
          <w:p w14:paraId="562D60F5">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条  目</w:t>
            </w:r>
          </w:p>
        </w:tc>
        <w:tc>
          <w:tcPr>
            <w:tcW w:w="2713" w:type="dxa"/>
            <w:tcBorders>
              <w:tl2br w:val="nil"/>
              <w:tr2bl w:val="nil"/>
            </w:tcBorders>
            <w:vAlign w:val="center"/>
          </w:tcPr>
          <w:p w14:paraId="462D262D">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简  要  内  容</w:t>
            </w:r>
          </w:p>
        </w:tc>
        <w:tc>
          <w:tcPr>
            <w:tcW w:w="1258" w:type="dxa"/>
            <w:tcBorders>
              <w:tl2br w:val="nil"/>
              <w:tr2bl w:val="nil"/>
            </w:tcBorders>
            <w:vAlign w:val="center"/>
          </w:tcPr>
          <w:p w14:paraId="1953518A">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条  目</w:t>
            </w:r>
          </w:p>
        </w:tc>
        <w:tc>
          <w:tcPr>
            <w:tcW w:w="2575" w:type="dxa"/>
            <w:tcBorders>
              <w:tl2br w:val="nil"/>
              <w:tr2bl w:val="nil"/>
            </w:tcBorders>
            <w:vAlign w:val="center"/>
          </w:tcPr>
          <w:p w14:paraId="2BEF9A8B">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简  要  内  容</w:t>
            </w:r>
          </w:p>
        </w:tc>
      </w:tr>
      <w:tr w14:paraId="0CDA2A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7DE651DA">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1</w:t>
            </w:r>
          </w:p>
        </w:tc>
        <w:tc>
          <w:tcPr>
            <w:tcW w:w="1163" w:type="dxa"/>
            <w:tcBorders>
              <w:tl2br w:val="nil"/>
              <w:tr2bl w:val="nil"/>
            </w:tcBorders>
            <w:vAlign w:val="center"/>
          </w:tcPr>
          <w:p w14:paraId="170AC753">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2713" w:type="dxa"/>
            <w:tcBorders>
              <w:tl2br w:val="nil"/>
              <w:tr2bl w:val="nil"/>
            </w:tcBorders>
            <w:vAlign w:val="center"/>
          </w:tcPr>
          <w:p w14:paraId="41EBDF47">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1258" w:type="dxa"/>
            <w:tcBorders>
              <w:tl2br w:val="nil"/>
              <w:tr2bl w:val="nil"/>
            </w:tcBorders>
            <w:vAlign w:val="center"/>
          </w:tcPr>
          <w:p w14:paraId="2BA25B4F">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2575" w:type="dxa"/>
            <w:tcBorders>
              <w:tl2br w:val="nil"/>
              <w:tr2bl w:val="nil"/>
            </w:tcBorders>
            <w:vAlign w:val="center"/>
          </w:tcPr>
          <w:p w14:paraId="08F130AF">
            <w:pPr>
              <w:widowControl/>
              <w:jc w:val="center"/>
              <w:textAlignment w:val="center"/>
              <w:rPr>
                <w:rFonts w:asciiTheme="minorEastAsia" w:hAnsiTheme="minorEastAsia" w:eastAsiaTheme="minorEastAsia" w:cstheme="minorEastAsia"/>
                <w:color w:val="000000"/>
                <w:kern w:val="0"/>
                <w:szCs w:val="21"/>
                <w:highlight w:val="none"/>
                <w:lang w:bidi="ar"/>
              </w:rPr>
            </w:pPr>
          </w:p>
        </w:tc>
      </w:tr>
      <w:tr w14:paraId="5DD3C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2EBB5FFB">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2</w:t>
            </w:r>
          </w:p>
        </w:tc>
        <w:tc>
          <w:tcPr>
            <w:tcW w:w="1163" w:type="dxa"/>
            <w:tcBorders>
              <w:tl2br w:val="nil"/>
              <w:tr2bl w:val="nil"/>
            </w:tcBorders>
            <w:vAlign w:val="center"/>
          </w:tcPr>
          <w:p w14:paraId="0BC0D2EC">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2713" w:type="dxa"/>
            <w:tcBorders>
              <w:tl2br w:val="nil"/>
              <w:tr2bl w:val="nil"/>
            </w:tcBorders>
            <w:vAlign w:val="center"/>
          </w:tcPr>
          <w:p w14:paraId="5F1C3696">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1258" w:type="dxa"/>
            <w:tcBorders>
              <w:tl2br w:val="nil"/>
              <w:tr2bl w:val="nil"/>
            </w:tcBorders>
            <w:vAlign w:val="center"/>
          </w:tcPr>
          <w:p w14:paraId="22BBB4A5">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2575" w:type="dxa"/>
            <w:tcBorders>
              <w:tl2br w:val="nil"/>
              <w:tr2bl w:val="nil"/>
            </w:tcBorders>
            <w:vAlign w:val="center"/>
          </w:tcPr>
          <w:p w14:paraId="41CFD0D9">
            <w:pPr>
              <w:widowControl/>
              <w:jc w:val="center"/>
              <w:textAlignment w:val="center"/>
              <w:rPr>
                <w:rFonts w:asciiTheme="minorEastAsia" w:hAnsiTheme="minorEastAsia" w:eastAsiaTheme="minorEastAsia" w:cstheme="minorEastAsia"/>
                <w:color w:val="000000"/>
                <w:kern w:val="0"/>
                <w:szCs w:val="21"/>
                <w:highlight w:val="none"/>
                <w:lang w:bidi="ar"/>
              </w:rPr>
            </w:pPr>
          </w:p>
        </w:tc>
      </w:tr>
      <w:tr w14:paraId="1E6103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0F5E4FFA">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3</w:t>
            </w:r>
          </w:p>
        </w:tc>
        <w:tc>
          <w:tcPr>
            <w:tcW w:w="1163" w:type="dxa"/>
            <w:tcBorders>
              <w:tl2br w:val="nil"/>
              <w:tr2bl w:val="nil"/>
            </w:tcBorders>
            <w:vAlign w:val="center"/>
          </w:tcPr>
          <w:p w14:paraId="148F7043">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2713" w:type="dxa"/>
            <w:tcBorders>
              <w:tl2br w:val="nil"/>
              <w:tr2bl w:val="nil"/>
            </w:tcBorders>
            <w:vAlign w:val="center"/>
          </w:tcPr>
          <w:p w14:paraId="796CCB78">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1258" w:type="dxa"/>
            <w:tcBorders>
              <w:tl2br w:val="nil"/>
              <w:tr2bl w:val="nil"/>
            </w:tcBorders>
            <w:vAlign w:val="center"/>
          </w:tcPr>
          <w:p w14:paraId="1871E08D">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2575" w:type="dxa"/>
            <w:tcBorders>
              <w:tl2br w:val="nil"/>
              <w:tr2bl w:val="nil"/>
            </w:tcBorders>
            <w:vAlign w:val="center"/>
          </w:tcPr>
          <w:p w14:paraId="53A72668">
            <w:pPr>
              <w:widowControl/>
              <w:jc w:val="center"/>
              <w:textAlignment w:val="center"/>
              <w:rPr>
                <w:rFonts w:asciiTheme="minorEastAsia" w:hAnsiTheme="minorEastAsia" w:eastAsiaTheme="minorEastAsia" w:cstheme="minorEastAsia"/>
                <w:color w:val="000000"/>
                <w:kern w:val="0"/>
                <w:szCs w:val="21"/>
                <w:highlight w:val="none"/>
                <w:lang w:bidi="ar"/>
              </w:rPr>
            </w:pPr>
          </w:p>
        </w:tc>
      </w:tr>
      <w:tr w14:paraId="4AEC4D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641A0F74">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4</w:t>
            </w:r>
          </w:p>
        </w:tc>
        <w:tc>
          <w:tcPr>
            <w:tcW w:w="1163" w:type="dxa"/>
            <w:tcBorders>
              <w:tl2br w:val="nil"/>
              <w:tr2bl w:val="nil"/>
            </w:tcBorders>
            <w:vAlign w:val="center"/>
          </w:tcPr>
          <w:p w14:paraId="7E1E8A38">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2713" w:type="dxa"/>
            <w:tcBorders>
              <w:tl2br w:val="nil"/>
              <w:tr2bl w:val="nil"/>
            </w:tcBorders>
            <w:vAlign w:val="center"/>
          </w:tcPr>
          <w:p w14:paraId="23F97E4F">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1258" w:type="dxa"/>
            <w:tcBorders>
              <w:tl2br w:val="nil"/>
              <w:tr2bl w:val="nil"/>
            </w:tcBorders>
            <w:vAlign w:val="center"/>
          </w:tcPr>
          <w:p w14:paraId="7D73079B">
            <w:pPr>
              <w:widowControl/>
              <w:jc w:val="center"/>
              <w:textAlignment w:val="center"/>
              <w:rPr>
                <w:rFonts w:asciiTheme="minorEastAsia" w:hAnsiTheme="minorEastAsia" w:eastAsiaTheme="minorEastAsia" w:cstheme="minorEastAsia"/>
                <w:color w:val="000000"/>
                <w:kern w:val="0"/>
                <w:szCs w:val="21"/>
                <w:highlight w:val="none"/>
                <w:lang w:bidi="ar"/>
              </w:rPr>
            </w:pPr>
          </w:p>
        </w:tc>
        <w:tc>
          <w:tcPr>
            <w:tcW w:w="2575" w:type="dxa"/>
            <w:tcBorders>
              <w:tl2br w:val="nil"/>
              <w:tr2bl w:val="nil"/>
            </w:tcBorders>
            <w:vAlign w:val="center"/>
          </w:tcPr>
          <w:p w14:paraId="472D0BF3">
            <w:pPr>
              <w:widowControl/>
              <w:jc w:val="center"/>
              <w:textAlignment w:val="center"/>
              <w:rPr>
                <w:rFonts w:asciiTheme="minorEastAsia" w:hAnsiTheme="minorEastAsia" w:eastAsiaTheme="minorEastAsia" w:cstheme="minorEastAsia"/>
                <w:color w:val="000000"/>
                <w:kern w:val="0"/>
                <w:szCs w:val="21"/>
                <w:highlight w:val="none"/>
                <w:lang w:bidi="ar"/>
              </w:rPr>
            </w:pPr>
          </w:p>
        </w:tc>
      </w:tr>
    </w:tbl>
    <w:p w14:paraId="5F45D20C">
      <w:pPr>
        <w:spacing w:before="156" w:beforeLines="50" w:line="360" w:lineRule="auto"/>
        <w:outlineLvl w:val="1"/>
        <w:rPr>
          <w:rFonts w:ascii="黑体" w:hAnsi="黑体" w:eastAsia="黑体" w:cs="黑体"/>
          <w:sz w:val="24"/>
          <w:highlight w:val="none"/>
        </w:rPr>
      </w:pPr>
      <w:bookmarkStart w:id="32" w:name="_Toc10100"/>
      <w:r>
        <w:rPr>
          <w:rFonts w:hint="eastAsia" w:ascii="黑体" w:hAnsi="黑体" w:eastAsia="黑体" w:cs="黑体"/>
          <w:sz w:val="24"/>
          <w:highlight w:val="none"/>
        </w:rPr>
        <w:t>6.6 其它补充说明</w:t>
      </w:r>
      <w:bookmarkEnd w:id="32"/>
    </w:p>
    <w:p w14:paraId="7AC6FBA0">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投标方认为实现本文件的相关内容存在技术类或其它类风险，请详细说明，并提供相应的对策。</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656AB"/>
    <w:multiLevelType w:val="singleLevel"/>
    <w:tmpl w:val="C2D656AB"/>
    <w:lvl w:ilvl="0" w:tentative="0">
      <w:start w:val="1"/>
      <w:numFmt w:val="decimal"/>
      <w:suff w:val="nothing"/>
      <w:lvlText w:val="（%1）"/>
      <w:lvlJc w:val="left"/>
    </w:lvl>
  </w:abstractNum>
  <w:abstractNum w:abstractNumId="1">
    <w:nsid w:val="C4C34798"/>
    <w:multiLevelType w:val="singleLevel"/>
    <w:tmpl w:val="C4C34798"/>
    <w:lvl w:ilvl="0" w:tentative="0">
      <w:start w:val="1"/>
      <w:numFmt w:val="decimal"/>
      <w:suff w:val="nothing"/>
      <w:lvlText w:val="（%1）"/>
      <w:lvlJc w:val="left"/>
    </w:lvl>
  </w:abstractNum>
  <w:abstractNum w:abstractNumId="2">
    <w:nsid w:val="D12C290B"/>
    <w:multiLevelType w:val="singleLevel"/>
    <w:tmpl w:val="D12C290B"/>
    <w:lvl w:ilvl="0" w:tentative="0">
      <w:start w:val="1"/>
      <w:numFmt w:val="decimal"/>
      <w:pStyle w:val="17"/>
      <w:lvlText w:val="%1."/>
      <w:lvlJc w:val="left"/>
      <w:pPr>
        <w:ind w:left="425" w:hanging="425"/>
      </w:pPr>
      <w:rPr>
        <w:rFonts w:hint="default"/>
      </w:rPr>
    </w:lvl>
  </w:abstractNum>
  <w:abstractNum w:abstractNumId="3">
    <w:nsid w:val="19CE319C"/>
    <w:multiLevelType w:val="singleLevel"/>
    <w:tmpl w:val="19CE319C"/>
    <w:lvl w:ilvl="0" w:tentative="0">
      <w:start w:val="1"/>
      <w:numFmt w:val="decimal"/>
      <w:suff w:val="nothing"/>
      <w:lvlText w:val="（%1）"/>
      <w:lvlJc w:val="left"/>
    </w:lvl>
  </w:abstractNum>
  <w:abstractNum w:abstractNumId="4">
    <w:nsid w:val="20540580"/>
    <w:multiLevelType w:val="singleLevel"/>
    <w:tmpl w:val="20540580"/>
    <w:lvl w:ilvl="0" w:tentative="0">
      <w:start w:val="1"/>
      <w:numFmt w:val="decimal"/>
      <w:suff w:val="nothing"/>
      <w:lvlText w:val="（%1）"/>
      <w:lvlJc w:val="left"/>
    </w:lvl>
  </w:abstractNum>
  <w:abstractNum w:abstractNumId="5">
    <w:nsid w:val="2DF9DC3C"/>
    <w:multiLevelType w:val="singleLevel"/>
    <w:tmpl w:val="2DF9DC3C"/>
    <w:lvl w:ilvl="0" w:tentative="0">
      <w:start w:val="1"/>
      <w:numFmt w:val="decimal"/>
      <w:suff w:val="nothing"/>
      <w:lvlText w:val="（%1）"/>
      <w:lvlJc w:val="left"/>
    </w:lvl>
  </w:abstractNum>
  <w:abstractNum w:abstractNumId="6">
    <w:nsid w:val="309A73CB"/>
    <w:multiLevelType w:val="singleLevel"/>
    <w:tmpl w:val="309A73CB"/>
    <w:lvl w:ilvl="0" w:tentative="0">
      <w:start w:val="1"/>
      <w:numFmt w:val="decimal"/>
      <w:suff w:val="nothing"/>
      <w:lvlText w:val="（%1）"/>
      <w:lvlJc w:val="left"/>
    </w:lvl>
  </w:abstractNum>
  <w:abstractNum w:abstractNumId="7">
    <w:nsid w:val="355CB37F"/>
    <w:multiLevelType w:val="singleLevel"/>
    <w:tmpl w:val="355CB37F"/>
    <w:lvl w:ilvl="0" w:tentative="0">
      <w:start w:val="1"/>
      <w:numFmt w:val="decimal"/>
      <w:suff w:val="nothing"/>
      <w:lvlText w:val="（%1）"/>
      <w:lvlJc w:val="left"/>
      <w:rPr>
        <w:rFonts w:hint="default"/>
        <w:b w:val="0"/>
        <w:bCs w:val="0"/>
      </w:rPr>
    </w:lvl>
  </w:abstractNum>
  <w:abstractNum w:abstractNumId="8">
    <w:nsid w:val="5E537055"/>
    <w:multiLevelType w:val="singleLevel"/>
    <w:tmpl w:val="5E537055"/>
    <w:lvl w:ilvl="0" w:tentative="0">
      <w:start w:val="1"/>
      <w:numFmt w:val="decimal"/>
      <w:lvlText w:val="%1."/>
      <w:lvlJc w:val="left"/>
      <w:pPr>
        <w:ind w:left="425" w:hanging="425"/>
      </w:pPr>
      <w:rPr>
        <w:rFonts w:hint="default"/>
      </w:rPr>
    </w:lvl>
  </w:abstractNum>
  <w:abstractNum w:abstractNumId="9">
    <w:nsid w:val="6D7990E8"/>
    <w:multiLevelType w:val="singleLevel"/>
    <w:tmpl w:val="6D7990E8"/>
    <w:lvl w:ilvl="0" w:tentative="0">
      <w:start w:val="1"/>
      <w:numFmt w:val="decimal"/>
      <w:suff w:val="nothing"/>
      <w:lvlText w:val="（%1）"/>
      <w:lvlJc w:val="left"/>
    </w:lvl>
  </w:abstractNum>
  <w:num w:numId="1">
    <w:abstractNumId w:val="2"/>
  </w:num>
  <w:num w:numId="2">
    <w:abstractNumId w:val="8"/>
  </w:num>
  <w:num w:numId="3">
    <w:abstractNumId w:val="0"/>
  </w:num>
  <w:num w:numId="4">
    <w:abstractNumId w:val="5"/>
  </w:num>
  <w:num w:numId="5">
    <w:abstractNumId w:val="3"/>
  </w:num>
  <w:num w:numId="6">
    <w:abstractNumId w:val="4"/>
  </w:num>
  <w:num w:numId="7">
    <w:abstractNumId w:val="9"/>
  </w:num>
  <w:num w:numId="8">
    <w:abstractNumId w:val="6"/>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12EA9"/>
    <w:rsid w:val="0000270B"/>
    <w:rsid w:val="00113C97"/>
    <w:rsid w:val="00920102"/>
    <w:rsid w:val="00A20B78"/>
    <w:rsid w:val="027C11FC"/>
    <w:rsid w:val="0295401A"/>
    <w:rsid w:val="0303051E"/>
    <w:rsid w:val="034E11A4"/>
    <w:rsid w:val="047B7BC4"/>
    <w:rsid w:val="04BF0B83"/>
    <w:rsid w:val="04FE4EAD"/>
    <w:rsid w:val="05312146"/>
    <w:rsid w:val="05330E8B"/>
    <w:rsid w:val="056D4E14"/>
    <w:rsid w:val="05FD7391"/>
    <w:rsid w:val="07DC3C63"/>
    <w:rsid w:val="08115868"/>
    <w:rsid w:val="0900633E"/>
    <w:rsid w:val="09F078C2"/>
    <w:rsid w:val="0A9773AF"/>
    <w:rsid w:val="0B715FA9"/>
    <w:rsid w:val="0BD1033B"/>
    <w:rsid w:val="0BFD7548"/>
    <w:rsid w:val="0C8C1EEF"/>
    <w:rsid w:val="0D0C14ED"/>
    <w:rsid w:val="0D6039E5"/>
    <w:rsid w:val="0DDE0C6E"/>
    <w:rsid w:val="0F573D98"/>
    <w:rsid w:val="0FBF064C"/>
    <w:rsid w:val="10011F66"/>
    <w:rsid w:val="10972384"/>
    <w:rsid w:val="110F2EEB"/>
    <w:rsid w:val="11402C86"/>
    <w:rsid w:val="13566E57"/>
    <w:rsid w:val="14421D4B"/>
    <w:rsid w:val="147F0C66"/>
    <w:rsid w:val="1558413F"/>
    <w:rsid w:val="155E4129"/>
    <w:rsid w:val="15B259A5"/>
    <w:rsid w:val="160351CB"/>
    <w:rsid w:val="16F77748"/>
    <w:rsid w:val="17610576"/>
    <w:rsid w:val="1A266B0D"/>
    <w:rsid w:val="1A316175"/>
    <w:rsid w:val="1A830B36"/>
    <w:rsid w:val="1ADD4B0E"/>
    <w:rsid w:val="1BF021DF"/>
    <w:rsid w:val="1BFA3C82"/>
    <w:rsid w:val="1C672B50"/>
    <w:rsid w:val="1CCE54EB"/>
    <w:rsid w:val="1D7B5A38"/>
    <w:rsid w:val="1DA01B05"/>
    <w:rsid w:val="1DFC3E5E"/>
    <w:rsid w:val="1EA43205"/>
    <w:rsid w:val="1FBD1E67"/>
    <w:rsid w:val="20D855DF"/>
    <w:rsid w:val="22015C0D"/>
    <w:rsid w:val="234277A0"/>
    <w:rsid w:val="234B187D"/>
    <w:rsid w:val="23605422"/>
    <w:rsid w:val="23817433"/>
    <w:rsid w:val="23FC7BFC"/>
    <w:rsid w:val="24EA7C79"/>
    <w:rsid w:val="250F564D"/>
    <w:rsid w:val="252B1EB7"/>
    <w:rsid w:val="256870E0"/>
    <w:rsid w:val="25E42BF8"/>
    <w:rsid w:val="265249D6"/>
    <w:rsid w:val="275D5D26"/>
    <w:rsid w:val="275F7D29"/>
    <w:rsid w:val="28403FE5"/>
    <w:rsid w:val="28BE48E2"/>
    <w:rsid w:val="29695A4F"/>
    <w:rsid w:val="2A441357"/>
    <w:rsid w:val="2AFA0631"/>
    <w:rsid w:val="2B6721B0"/>
    <w:rsid w:val="2C191EA0"/>
    <w:rsid w:val="2C6E0BE4"/>
    <w:rsid w:val="2CA3124A"/>
    <w:rsid w:val="2CE51BB8"/>
    <w:rsid w:val="2D8B5047"/>
    <w:rsid w:val="2D8F39A1"/>
    <w:rsid w:val="2DAC4578"/>
    <w:rsid w:val="2DB36870"/>
    <w:rsid w:val="2DEA6350"/>
    <w:rsid w:val="2E260032"/>
    <w:rsid w:val="2E380045"/>
    <w:rsid w:val="2EFA1D2E"/>
    <w:rsid w:val="2F2E6BFF"/>
    <w:rsid w:val="2FC241F2"/>
    <w:rsid w:val="2FEF2882"/>
    <w:rsid w:val="30045C2F"/>
    <w:rsid w:val="30DF2B6C"/>
    <w:rsid w:val="313E1E7A"/>
    <w:rsid w:val="330E4E8B"/>
    <w:rsid w:val="33161353"/>
    <w:rsid w:val="334E3954"/>
    <w:rsid w:val="335E270E"/>
    <w:rsid w:val="34255CC8"/>
    <w:rsid w:val="358A1AD4"/>
    <w:rsid w:val="358B06A1"/>
    <w:rsid w:val="35E41FA9"/>
    <w:rsid w:val="360B40D3"/>
    <w:rsid w:val="3661221B"/>
    <w:rsid w:val="37A433E0"/>
    <w:rsid w:val="37AE0477"/>
    <w:rsid w:val="38004B22"/>
    <w:rsid w:val="39140E3A"/>
    <w:rsid w:val="398C2739"/>
    <w:rsid w:val="39E974DB"/>
    <w:rsid w:val="3C4C5078"/>
    <w:rsid w:val="3DC862F7"/>
    <w:rsid w:val="3DDE3626"/>
    <w:rsid w:val="401C5798"/>
    <w:rsid w:val="40794199"/>
    <w:rsid w:val="408A19B3"/>
    <w:rsid w:val="40CF0453"/>
    <w:rsid w:val="40F0643B"/>
    <w:rsid w:val="41414714"/>
    <w:rsid w:val="419C13AE"/>
    <w:rsid w:val="41A73FEA"/>
    <w:rsid w:val="41B40E40"/>
    <w:rsid w:val="42DF02D2"/>
    <w:rsid w:val="433411F2"/>
    <w:rsid w:val="44C917FC"/>
    <w:rsid w:val="45AD67D6"/>
    <w:rsid w:val="45CF1EF0"/>
    <w:rsid w:val="45E20A8C"/>
    <w:rsid w:val="47097B32"/>
    <w:rsid w:val="47382C50"/>
    <w:rsid w:val="473A0E5B"/>
    <w:rsid w:val="476617B8"/>
    <w:rsid w:val="48205CF0"/>
    <w:rsid w:val="48AE5D4E"/>
    <w:rsid w:val="49162EBF"/>
    <w:rsid w:val="4A4B4604"/>
    <w:rsid w:val="4A566A25"/>
    <w:rsid w:val="4A7A1254"/>
    <w:rsid w:val="4B18258B"/>
    <w:rsid w:val="4B2A3103"/>
    <w:rsid w:val="4B3522B4"/>
    <w:rsid w:val="4B5E6BA8"/>
    <w:rsid w:val="4C3F54C3"/>
    <w:rsid w:val="4CE147A6"/>
    <w:rsid w:val="4CEE40EF"/>
    <w:rsid w:val="4DBF3FC8"/>
    <w:rsid w:val="4E287A4C"/>
    <w:rsid w:val="501B0FF0"/>
    <w:rsid w:val="50E83C80"/>
    <w:rsid w:val="50E84976"/>
    <w:rsid w:val="52400ADE"/>
    <w:rsid w:val="52AB3BAD"/>
    <w:rsid w:val="52D27864"/>
    <w:rsid w:val="536B3F5C"/>
    <w:rsid w:val="538B094C"/>
    <w:rsid w:val="53CD308F"/>
    <w:rsid w:val="54724B97"/>
    <w:rsid w:val="54C17E31"/>
    <w:rsid w:val="54E75E4E"/>
    <w:rsid w:val="54EC5F00"/>
    <w:rsid w:val="55BB08CE"/>
    <w:rsid w:val="56112EA9"/>
    <w:rsid w:val="56634F6B"/>
    <w:rsid w:val="56794219"/>
    <w:rsid w:val="56FE5647"/>
    <w:rsid w:val="572004CE"/>
    <w:rsid w:val="576E3E36"/>
    <w:rsid w:val="57BC5768"/>
    <w:rsid w:val="57D62605"/>
    <w:rsid w:val="59BD7DED"/>
    <w:rsid w:val="5AE252E1"/>
    <w:rsid w:val="5CBC1717"/>
    <w:rsid w:val="5D196F37"/>
    <w:rsid w:val="5D560B25"/>
    <w:rsid w:val="5E0B23A4"/>
    <w:rsid w:val="5E311346"/>
    <w:rsid w:val="5E7F2B1D"/>
    <w:rsid w:val="5E9479C8"/>
    <w:rsid w:val="5EFF55AD"/>
    <w:rsid w:val="5FFA163D"/>
    <w:rsid w:val="60446F8A"/>
    <w:rsid w:val="60A8111F"/>
    <w:rsid w:val="60B802FB"/>
    <w:rsid w:val="61633BDA"/>
    <w:rsid w:val="61B23647"/>
    <w:rsid w:val="61E33B45"/>
    <w:rsid w:val="63FE5340"/>
    <w:rsid w:val="64132F2C"/>
    <w:rsid w:val="643963AB"/>
    <w:rsid w:val="64F92069"/>
    <w:rsid w:val="650664D0"/>
    <w:rsid w:val="652A6814"/>
    <w:rsid w:val="65355760"/>
    <w:rsid w:val="673113AB"/>
    <w:rsid w:val="67593ED7"/>
    <w:rsid w:val="678C7059"/>
    <w:rsid w:val="682B5A70"/>
    <w:rsid w:val="68AC152E"/>
    <w:rsid w:val="691067E1"/>
    <w:rsid w:val="69154ACB"/>
    <w:rsid w:val="695323C7"/>
    <w:rsid w:val="69EA7D86"/>
    <w:rsid w:val="6B023115"/>
    <w:rsid w:val="6D401C96"/>
    <w:rsid w:val="6E06100F"/>
    <w:rsid w:val="6E5B1FD7"/>
    <w:rsid w:val="708F1B04"/>
    <w:rsid w:val="70E237AF"/>
    <w:rsid w:val="710C1A65"/>
    <w:rsid w:val="71FF19B7"/>
    <w:rsid w:val="731458B8"/>
    <w:rsid w:val="73FA6E86"/>
    <w:rsid w:val="74572EAA"/>
    <w:rsid w:val="74E106B7"/>
    <w:rsid w:val="75700D85"/>
    <w:rsid w:val="75715F41"/>
    <w:rsid w:val="75C06237"/>
    <w:rsid w:val="76497732"/>
    <w:rsid w:val="76890F73"/>
    <w:rsid w:val="770F4753"/>
    <w:rsid w:val="7744018F"/>
    <w:rsid w:val="795E2CE3"/>
    <w:rsid w:val="79EB43CD"/>
    <w:rsid w:val="7A126AE1"/>
    <w:rsid w:val="7ABE2378"/>
    <w:rsid w:val="7AFB3926"/>
    <w:rsid w:val="7BA41111"/>
    <w:rsid w:val="7BFC3589"/>
    <w:rsid w:val="7C185614"/>
    <w:rsid w:val="7CD02D3B"/>
    <w:rsid w:val="7D2B397D"/>
    <w:rsid w:val="7E352FE9"/>
    <w:rsid w:val="7EB61EE5"/>
    <w:rsid w:val="7FCE0606"/>
    <w:rsid w:val="7FF13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paragraph" w:styleId="5">
    <w:name w:val="heading 2"/>
    <w:basedOn w:val="1"/>
    <w:next w:val="1"/>
    <w:unhideWhenUsed/>
    <w:qFormat/>
    <w:uiPriority w:val="0"/>
    <w:pPr>
      <w:keepNext/>
      <w:keepLines/>
      <w:tabs>
        <w:tab w:val="left" w:pos="720"/>
      </w:tabs>
      <w:adjustRightInd w:val="0"/>
      <w:spacing w:line="320" w:lineRule="atLeast"/>
      <w:ind w:left="720" w:hanging="720"/>
      <w:outlineLvl w:val="1"/>
    </w:pPr>
    <w:rPr>
      <w:rFonts w:ascii="黑体" w:hAnsi="Arial" w:eastAsia="黑体" w:cs="宋体"/>
      <w:kern w:val="0"/>
      <w:sz w:val="28"/>
    </w:rPr>
  </w:style>
  <w:style w:type="paragraph" w:styleId="6">
    <w:name w:val="heading 3"/>
    <w:basedOn w:val="1"/>
    <w:next w:val="1"/>
    <w:unhideWhenUsed/>
    <w:qFormat/>
    <w:uiPriority w:val="0"/>
    <w:pPr>
      <w:keepNext/>
      <w:keepLines/>
      <w:spacing w:before="260" w:after="260" w:line="413"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style>
  <w:style w:type="paragraph" w:styleId="3">
    <w:name w:val="Title"/>
    <w:basedOn w:val="1"/>
    <w:next w:val="1"/>
    <w:qFormat/>
    <w:uiPriority w:val="0"/>
    <w:pPr>
      <w:spacing w:before="240" w:after="60"/>
      <w:jc w:val="center"/>
      <w:outlineLvl w:val="0"/>
    </w:pPr>
    <w:rPr>
      <w:rFonts w:ascii="Cambria" w:hAnsi="Cambria"/>
      <w:b/>
      <w:bCs/>
      <w:sz w:val="32"/>
      <w:szCs w:val="32"/>
    </w:rPr>
  </w:style>
  <w:style w:type="paragraph" w:styleId="7">
    <w:name w:val="annotation text"/>
    <w:basedOn w:val="1"/>
    <w:qFormat/>
    <w:uiPriority w:val="0"/>
    <w:pPr>
      <w:jc w:val="left"/>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tabs>
        <w:tab w:val="right" w:leader="dot" w:pos="8302"/>
      </w:tabs>
      <w:snapToGrid w:val="0"/>
      <w:spacing w:line="360" w:lineRule="auto"/>
      <w:ind w:left="525" w:hanging="4"/>
    </w:pPr>
    <w:rPr>
      <w:sz w:val="24"/>
      <w:szCs w:val="2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qFormat/>
    <w:uiPriority w:val="0"/>
  </w:style>
  <w:style w:type="paragraph" w:customStyle="1" w:styleId="17">
    <w:name w:val="标题1"/>
    <w:basedOn w:val="5"/>
    <w:next w:val="1"/>
    <w:qFormat/>
    <w:uiPriority w:val="0"/>
    <w:pPr>
      <w:numPr>
        <w:ilvl w:val="0"/>
        <w:numId w:val="1"/>
      </w:numPr>
    </w:pPr>
    <w:rPr>
      <w:rFonts w:hAnsi="黑体"/>
    </w:rPr>
  </w:style>
  <w:style w:type="paragraph" w:customStyle="1" w:styleId="18">
    <w:name w:val="首页项目名称"/>
    <w:link w:val="20"/>
    <w:qFormat/>
    <w:uiPriority w:val="0"/>
    <w:pPr>
      <w:jc w:val="center"/>
    </w:pPr>
    <w:rPr>
      <w:rFonts w:ascii="Times New Roman" w:hAnsi="Times New Roman" w:eastAsia="隶书" w:cs="Times New Roman"/>
      <w:sz w:val="52"/>
      <w:lang w:val="en-US" w:eastAsia="zh-CN" w:bidi="ar-SA"/>
    </w:rPr>
  </w:style>
  <w:style w:type="paragraph" w:customStyle="1" w:styleId="19">
    <w:name w:val="首页日期"/>
    <w:basedOn w:val="1"/>
    <w:link w:val="21"/>
    <w:qFormat/>
    <w:uiPriority w:val="0"/>
    <w:pPr>
      <w:jc w:val="center"/>
    </w:pPr>
    <w:rPr>
      <w:rFonts w:eastAsia="楷体"/>
      <w:sz w:val="32"/>
    </w:rPr>
  </w:style>
  <w:style w:type="character" w:customStyle="1" w:styleId="20">
    <w:name w:val="首页项目名称 Char"/>
    <w:link w:val="18"/>
    <w:qFormat/>
    <w:uiPriority w:val="0"/>
    <w:rPr>
      <w:rFonts w:ascii="Times New Roman" w:hAnsi="Times New Roman" w:eastAsia="隶书"/>
      <w:sz w:val="52"/>
    </w:rPr>
  </w:style>
  <w:style w:type="character" w:customStyle="1" w:styleId="21">
    <w:name w:val="首页日期 Char"/>
    <w:link w:val="19"/>
    <w:qFormat/>
    <w:uiPriority w:val="0"/>
    <w:rPr>
      <w:rFonts w:ascii="Times New Roman" w:hAnsi="Times New Roman" w:eastAsia="楷体"/>
      <w:sz w:val="32"/>
    </w:rPr>
  </w:style>
  <w:style w:type="paragraph" w:customStyle="1" w:styleId="22">
    <w:name w:val="一标题"/>
    <w:link w:val="23"/>
    <w:qFormat/>
    <w:uiPriority w:val="0"/>
    <w:pPr>
      <w:spacing w:before="100" w:beforeLines="100" w:line="360" w:lineRule="auto"/>
    </w:pPr>
    <w:rPr>
      <w:rFonts w:ascii="宋体" w:hAnsi="宋体" w:eastAsia="宋体" w:cs="Times New Roman"/>
      <w:b/>
      <w:sz w:val="24"/>
      <w:lang w:val="en-US" w:eastAsia="zh-CN" w:bidi="ar-SA"/>
    </w:rPr>
  </w:style>
  <w:style w:type="character" w:customStyle="1" w:styleId="23">
    <w:name w:val="一标题 Char"/>
    <w:link w:val="22"/>
    <w:qFormat/>
    <w:uiPriority w:val="0"/>
    <w:rPr>
      <w:rFonts w:ascii="宋体" w:hAnsi="宋体" w:eastAsia="宋体" w:cs="Times New Roman"/>
      <w:b/>
      <w:sz w:val="24"/>
    </w:rPr>
  </w:style>
  <w:style w:type="paragraph" w:customStyle="1" w:styleId="24">
    <w:name w:val="_Style 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4250</Words>
  <Characters>4419</Characters>
  <Lines>11</Lines>
  <Paragraphs>8</Paragraphs>
  <TotalTime>3</TotalTime>
  <ScaleCrop>false</ScaleCrop>
  <LinksUpToDate>false</LinksUpToDate>
  <CharactersWithSpaces>4523</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2020-01-03T01:39:00Z</dcterms:created>
  <dc:creator>shenpeiyi</dc:creator>
  <cp:lastModifiedBy>张琪玥</cp:lastModifiedBy>
  <dcterms:modified xsi:type="dcterms:W3CDTF">2026-07-21T09:16:20Z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KSOTemplateDocerSaveRecord">
    <vt:lpwstr>eyJoZGlkIjoiMWU2YWFjN2M4M2ZmYzk5NDhkMzM1OGExNzJiNjI5ZjAiLCJ1c2VySWQiOiIzMTQ3MTA1ODkifQ==</vt:lpwstr>
  </property>
  <property fmtid="{D5CDD505-2E9C-101B-9397-08002B2CF9AE}" pid="4" name="ICV">
    <vt:lpwstr>3ABF411242E7457BB1D8CD15F0E87E5C_13</vt:lpwstr>
  </property>
</Properties>
</file>