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6CDF17">
      <w:pPr>
        <w:pStyle w:val="7"/>
        <w:jc w:val="center"/>
        <w:rPr>
          <w:rFonts w:ascii="隶书" w:eastAsia="隶书"/>
          <w:sz w:val="56"/>
          <w:szCs w:val="56"/>
        </w:rPr>
      </w:pPr>
      <w:bookmarkStart w:id="0" w:name="_Toc1572"/>
      <w:bookmarkStart w:id="1" w:name="_Toc6059"/>
    </w:p>
    <w:p w14:paraId="7725D5DC">
      <w:pPr>
        <w:pStyle w:val="7"/>
        <w:jc w:val="center"/>
        <w:rPr>
          <w:rFonts w:ascii="隶书" w:eastAsia="隶书"/>
          <w:sz w:val="56"/>
          <w:szCs w:val="56"/>
        </w:rPr>
      </w:pPr>
    </w:p>
    <w:p w14:paraId="46B49DD1">
      <w:pPr>
        <w:pStyle w:val="18"/>
        <w:keepNext w:val="0"/>
        <w:keepLines w:val="0"/>
        <w:pageBreakBefore w:val="0"/>
        <w:widowControl/>
        <w:kinsoku/>
        <w:wordWrap/>
        <w:overflowPunct/>
        <w:topLinePunct w:val="0"/>
        <w:autoSpaceDE/>
        <w:autoSpaceDN/>
        <w:bidi w:val="0"/>
        <w:adjustRightInd w:val="0"/>
        <w:snapToGrid w:val="0"/>
        <w:textAlignment w:val="auto"/>
        <w:rPr>
          <w:rFonts w:ascii="黑体" w:hAnsi="黑体" w:eastAsia="黑体" w:cs="黑体"/>
          <w:sz w:val="48"/>
          <w:szCs w:val="48"/>
          <w:highlight w:val="none"/>
        </w:rPr>
      </w:pPr>
      <w:r>
        <w:rPr>
          <w:rFonts w:hint="eastAsia" w:ascii="隶书" w:eastAsia="隶书"/>
          <w:sz w:val="48"/>
          <w:szCs w:val="48"/>
          <w:lang w:val="en-US" w:eastAsia="zh-CN"/>
        </w:rPr>
        <w:t>标的</w:t>
      </w:r>
      <w:r>
        <w:rPr>
          <w:rFonts w:hint="eastAsia" w:ascii="隶书" w:eastAsia="隶书"/>
          <w:sz w:val="48"/>
          <w:szCs w:val="48"/>
          <w:highlight w:val="none"/>
          <w:lang w:val="en-US" w:eastAsia="zh-CN"/>
        </w:rPr>
        <w:t>6：</w:t>
      </w:r>
      <w:r>
        <w:rPr>
          <w:rFonts w:hint="eastAsia" w:ascii="黑体" w:hAnsi="黑体" w:eastAsia="黑体" w:cs="黑体"/>
          <w:sz w:val="48"/>
          <w:szCs w:val="48"/>
          <w:highlight w:val="none"/>
        </w:rPr>
        <w:t>高压聚丙烯电缆附件匹配可靠性评估技术研究</w:t>
      </w:r>
    </w:p>
    <w:p w14:paraId="61F03E6D">
      <w:pPr>
        <w:pStyle w:val="7"/>
        <w:jc w:val="center"/>
        <w:rPr>
          <w:rFonts w:ascii="隶书" w:eastAsia="隶书"/>
          <w:sz w:val="48"/>
          <w:szCs w:val="48"/>
          <w:highlight w:val="none"/>
        </w:rPr>
      </w:pPr>
    </w:p>
    <w:p w14:paraId="394C06F0">
      <w:pPr>
        <w:pStyle w:val="7"/>
        <w:jc w:val="center"/>
        <w:rPr>
          <w:rFonts w:ascii="隶书" w:eastAsia="隶书"/>
          <w:sz w:val="48"/>
          <w:szCs w:val="48"/>
          <w:highlight w:val="none"/>
        </w:rPr>
      </w:pPr>
    </w:p>
    <w:p w14:paraId="09E31964">
      <w:pPr>
        <w:pStyle w:val="7"/>
        <w:jc w:val="center"/>
        <w:rPr>
          <w:rFonts w:ascii="隶书" w:eastAsia="隶书"/>
          <w:sz w:val="48"/>
          <w:szCs w:val="48"/>
          <w:highlight w:val="none"/>
        </w:rPr>
      </w:pPr>
    </w:p>
    <w:p w14:paraId="7FCD2518">
      <w:pPr>
        <w:pStyle w:val="7"/>
        <w:jc w:val="center"/>
        <w:rPr>
          <w:rFonts w:ascii="黑体" w:hAnsi="黑体" w:eastAsia="黑体" w:cs="黑体"/>
          <w:sz w:val="52"/>
          <w:szCs w:val="52"/>
          <w:highlight w:val="none"/>
        </w:rPr>
      </w:pPr>
      <w:r>
        <w:rPr>
          <w:rFonts w:hint="eastAsia" w:ascii="黑体" w:hAnsi="黑体" w:eastAsia="黑体" w:cs="黑体"/>
          <w:sz w:val="52"/>
          <w:szCs w:val="52"/>
          <w:highlight w:val="none"/>
        </w:rPr>
        <w:t>技术规范书</w:t>
      </w:r>
    </w:p>
    <w:p w14:paraId="03232F8A">
      <w:pPr>
        <w:spacing w:before="156" w:beforeLines="50"/>
        <w:rPr>
          <w:rFonts w:ascii="楷体_GB2312" w:hAnsi="宋体" w:eastAsia="楷体_GB2312"/>
          <w:sz w:val="32"/>
          <w:szCs w:val="32"/>
          <w:highlight w:val="none"/>
        </w:rPr>
      </w:pPr>
    </w:p>
    <w:p w14:paraId="6024B006">
      <w:pPr>
        <w:spacing w:before="156" w:beforeLines="50"/>
        <w:jc w:val="center"/>
        <w:rPr>
          <w:rFonts w:ascii="楷体_GB2312" w:hAnsi="宋体" w:eastAsia="楷体_GB2312"/>
          <w:sz w:val="32"/>
          <w:szCs w:val="32"/>
          <w:highlight w:val="none"/>
        </w:rPr>
      </w:pPr>
    </w:p>
    <w:p w14:paraId="05FDF0B1">
      <w:pPr>
        <w:spacing w:before="156" w:beforeLines="50"/>
        <w:rPr>
          <w:rFonts w:ascii="楷体_GB2312" w:hAnsi="宋体" w:eastAsia="楷体_GB2312"/>
          <w:sz w:val="32"/>
          <w:szCs w:val="32"/>
          <w:highlight w:val="none"/>
        </w:rPr>
      </w:pPr>
    </w:p>
    <w:p w14:paraId="5F003294">
      <w:pPr>
        <w:pStyle w:val="19"/>
        <w:rPr>
          <w:rStyle w:val="21"/>
          <w:rFonts w:ascii="黑体" w:hAnsi="黑体" w:eastAsia="黑体" w:cs="黑体"/>
          <w:highlight w:val="none"/>
        </w:rPr>
      </w:pPr>
    </w:p>
    <w:p w14:paraId="331B2068">
      <w:pPr>
        <w:pStyle w:val="19"/>
        <w:rPr>
          <w:rStyle w:val="21"/>
          <w:rFonts w:ascii="黑体" w:hAnsi="黑体" w:eastAsia="黑体" w:cs="黑体"/>
          <w:highlight w:val="none"/>
        </w:rPr>
      </w:pPr>
    </w:p>
    <w:p w14:paraId="76D79E25">
      <w:pPr>
        <w:pStyle w:val="19"/>
        <w:rPr>
          <w:rFonts w:ascii="黑体" w:hAnsi="黑体" w:eastAsia="黑体" w:cs="黑体"/>
          <w:highlight w:val="none"/>
        </w:rPr>
        <w:sectPr>
          <w:pgSz w:w="11906" w:h="16838"/>
          <w:pgMar w:top="1440" w:right="1800" w:bottom="1440" w:left="1800" w:header="851" w:footer="992" w:gutter="0"/>
          <w:cols w:space="425" w:num="1"/>
          <w:docGrid w:type="lines" w:linePitch="312" w:charSpace="0"/>
        </w:sectPr>
      </w:pPr>
      <w:r>
        <w:rPr>
          <w:rStyle w:val="21"/>
          <w:rFonts w:hint="eastAsia" w:ascii="黑体" w:hAnsi="黑体" w:eastAsia="黑体" w:cs="黑体"/>
          <w:highlight w:val="none"/>
          <w:lang w:val="en-US" w:eastAsia="zh-CN"/>
        </w:rPr>
        <w:t>2026</w:t>
      </w:r>
      <w:r>
        <w:rPr>
          <w:rStyle w:val="21"/>
          <w:rFonts w:hint="eastAsia" w:ascii="黑体" w:hAnsi="黑体" w:eastAsia="黑体" w:cs="黑体"/>
          <w:highlight w:val="none"/>
        </w:rPr>
        <w:t>年</w:t>
      </w:r>
      <w:r>
        <w:rPr>
          <w:rStyle w:val="21"/>
          <w:rFonts w:hint="eastAsia" w:ascii="黑体" w:hAnsi="黑体" w:eastAsia="黑体" w:cs="黑体"/>
          <w:highlight w:val="none"/>
          <w:lang w:val="en-US" w:eastAsia="zh-CN"/>
        </w:rPr>
        <w:t>07</w:t>
      </w:r>
      <w:r>
        <w:rPr>
          <w:rStyle w:val="21"/>
          <w:rFonts w:hint="eastAsia" w:ascii="黑体" w:hAnsi="黑体" w:eastAsia="黑体" w:cs="黑体"/>
          <w:highlight w:val="none"/>
        </w:rPr>
        <w:t>月</w:t>
      </w:r>
    </w:p>
    <w:p w14:paraId="4B634209">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outlineLvl w:val="9"/>
        <w:rPr>
          <w:rFonts w:hint="eastAsia" w:ascii="黑体" w:hAnsi="黑体" w:eastAsia="黑体" w:cs="黑体"/>
          <w:bCs/>
          <w:sz w:val="44"/>
          <w:szCs w:val="36"/>
        </w:rPr>
      </w:pPr>
      <w:bookmarkStart w:id="2" w:name="_Toc30850"/>
      <w:r>
        <w:rPr>
          <w:rFonts w:hint="eastAsia" w:ascii="黑体" w:hAnsi="黑体" w:eastAsia="黑体" w:cs="黑体"/>
          <w:bCs/>
          <w:sz w:val="44"/>
          <w:szCs w:val="36"/>
        </w:rPr>
        <w:t>目</w:t>
      </w:r>
      <w:r>
        <w:rPr>
          <w:rFonts w:hint="eastAsia" w:ascii="黑体" w:hAnsi="黑体" w:eastAsia="黑体" w:cs="黑体"/>
          <w:bCs/>
          <w:sz w:val="44"/>
          <w:szCs w:val="36"/>
          <w:lang w:val="en-US" w:eastAsia="zh-CN"/>
        </w:rPr>
        <w:t xml:space="preserve"> </w:t>
      </w:r>
      <w:r>
        <w:rPr>
          <w:rFonts w:hint="eastAsia" w:ascii="黑体" w:hAnsi="黑体" w:eastAsia="黑体" w:cs="黑体"/>
          <w:bCs/>
          <w:sz w:val="44"/>
          <w:szCs w:val="36"/>
        </w:rPr>
        <w:t>录</w:t>
      </w:r>
      <w:bookmarkEnd w:id="0"/>
      <w:bookmarkEnd w:id="1"/>
      <w:bookmarkEnd w:id="2"/>
    </w:p>
    <w:p w14:paraId="632274E0">
      <w:pPr>
        <w:pStyle w:val="10"/>
        <w:keepNext w:val="0"/>
        <w:keepLines w:val="0"/>
        <w:pageBreakBefore w:val="0"/>
        <w:widowControl w:val="0"/>
        <w:tabs>
          <w:tab w:val="right" w:leader="dot" w:pos="8306"/>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TOC \o "1-2" \h \u </w:instrText>
      </w:r>
      <w:r>
        <w:rPr>
          <w:rFonts w:hint="eastAsia" w:ascii="宋体" w:hAnsi="宋体" w:eastAsia="宋体" w:cs="宋体"/>
          <w:sz w:val="24"/>
          <w:szCs w:val="24"/>
        </w:rPr>
        <w:fldChar w:fldCharType="separate"/>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_Toc9347 </w:instrText>
      </w:r>
      <w:r>
        <w:rPr>
          <w:rFonts w:hint="eastAsia" w:ascii="宋体" w:hAnsi="宋体" w:eastAsia="宋体" w:cs="宋体"/>
          <w:sz w:val="24"/>
          <w:szCs w:val="24"/>
        </w:rPr>
        <w:fldChar w:fldCharType="separate"/>
      </w:r>
      <w:r>
        <w:rPr>
          <w:rFonts w:hint="eastAsia" w:ascii="宋体" w:hAnsi="宋体" w:eastAsia="宋体" w:cs="宋体"/>
          <w:sz w:val="24"/>
          <w:szCs w:val="24"/>
        </w:rPr>
        <w:t>总 则</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_Toc9347 \h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389D02AB">
      <w:pPr>
        <w:pStyle w:val="10"/>
        <w:keepNext w:val="0"/>
        <w:keepLines w:val="0"/>
        <w:pageBreakBefore w:val="0"/>
        <w:widowControl w:val="0"/>
        <w:tabs>
          <w:tab w:val="right" w:leader="dot" w:pos="8306"/>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_Toc3738 </w:instrText>
      </w:r>
      <w:r>
        <w:rPr>
          <w:rFonts w:hint="eastAsia" w:ascii="宋体" w:hAnsi="宋体" w:eastAsia="宋体" w:cs="宋体"/>
          <w:sz w:val="24"/>
          <w:szCs w:val="24"/>
        </w:rPr>
        <w:fldChar w:fldCharType="separate"/>
      </w:r>
      <w:r>
        <w:rPr>
          <w:rFonts w:hint="eastAsia" w:ascii="宋体" w:hAnsi="宋体" w:eastAsia="宋体" w:cs="宋体"/>
          <w:sz w:val="24"/>
          <w:szCs w:val="24"/>
        </w:rPr>
        <w:t>1  标的概况</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_Toc3738 \h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3428E896">
      <w:pPr>
        <w:pStyle w:val="10"/>
        <w:keepNext w:val="0"/>
        <w:keepLines w:val="0"/>
        <w:pageBreakBefore w:val="0"/>
        <w:widowControl w:val="0"/>
        <w:tabs>
          <w:tab w:val="right" w:leader="dot" w:pos="8306"/>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_Toc7667 </w:instrText>
      </w:r>
      <w:r>
        <w:rPr>
          <w:rFonts w:hint="eastAsia" w:ascii="宋体" w:hAnsi="宋体" w:eastAsia="宋体" w:cs="宋体"/>
          <w:sz w:val="24"/>
          <w:szCs w:val="24"/>
        </w:rPr>
        <w:fldChar w:fldCharType="separate"/>
      </w:r>
      <w:r>
        <w:rPr>
          <w:rFonts w:hint="eastAsia" w:ascii="宋体" w:hAnsi="宋体" w:eastAsia="宋体" w:cs="宋体"/>
          <w:sz w:val="24"/>
          <w:szCs w:val="24"/>
        </w:rPr>
        <w:t>2  研究内容及目的</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_Toc7667 \h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12995266">
      <w:pPr>
        <w:pStyle w:val="11"/>
        <w:keepNext w:val="0"/>
        <w:keepLines w:val="0"/>
        <w:pageBreakBefore w:val="0"/>
        <w:widowControl w:val="0"/>
        <w:tabs>
          <w:tab w:val="right" w:leader="dot" w:pos="8306"/>
          <w:tab w:val="clear" w:pos="8302"/>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_Toc29882 </w:instrText>
      </w:r>
      <w:r>
        <w:rPr>
          <w:rFonts w:hint="eastAsia" w:ascii="宋体" w:hAnsi="宋体" w:eastAsia="宋体" w:cs="宋体"/>
          <w:sz w:val="24"/>
          <w:szCs w:val="24"/>
        </w:rPr>
        <w:fldChar w:fldCharType="separate"/>
      </w:r>
      <w:r>
        <w:rPr>
          <w:rFonts w:hint="eastAsia" w:ascii="宋体" w:hAnsi="宋体" w:eastAsia="宋体" w:cs="宋体"/>
          <w:bCs/>
          <w:sz w:val="24"/>
          <w:szCs w:val="24"/>
        </w:rPr>
        <w:t>2.1 研究内容</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_Toc29882 \h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39FA5140">
      <w:pPr>
        <w:pStyle w:val="11"/>
        <w:keepNext w:val="0"/>
        <w:keepLines w:val="0"/>
        <w:pageBreakBefore w:val="0"/>
        <w:widowControl w:val="0"/>
        <w:tabs>
          <w:tab w:val="right" w:leader="dot" w:pos="8306"/>
          <w:tab w:val="clear" w:pos="8302"/>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_Toc22754 </w:instrText>
      </w:r>
      <w:r>
        <w:rPr>
          <w:rFonts w:hint="eastAsia" w:ascii="宋体" w:hAnsi="宋体" w:eastAsia="宋体" w:cs="宋体"/>
          <w:sz w:val="24"/>
          <w:szCs w:val="24"/>
        </w:rPr>
        <w:fldChar w:fldCharType="separate"/>
      </w:r>
      <w:r>
        <w:rPr>
          <w:rFonts w:hint="eastAsia" w:ascii="宋体" w:hAnsi="宋体" w:eastAsia="宋体" w:cs="宋体"/>
          <w:bCs/>
          <w:sz w:val="24"/>
          <w:szCs w:val="24"/>
        </w:rPr>
        <w:t>2.2 研究目的</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_Toc22754 \h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1FF20A2D">
      <w:pPr>
        <w:pStyle w:val="10"/>
        <w:keepNext w:val="0"/>
        <w:keepLines w:val="0"/>
        <w:pageBreakBefore w:val="0"/>
        <w:widowControl w:val="0"/>
        <w:tabs>
          <w:tab w:val="right" w:leader="dot" w:pos="8306"/>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_Toc20003 </w:instrText>
      </w:r>
      <w:r>
        <w:rPr>
          <w:rFonts w:hint="eastAsia" w:ascii="宋体" w:hAnsi="宋体" w:eastAsia="宋体" w:cs="宋体"/>
          <w:sz w:val="24"/>
          <w:szCs w:val="24"/>
        </w:rPr>
        <w:fldChar w:fldCharType="separate"/>
      </w:r>
      <w:r>
        <w:rPr>
          <w:rFonts w:hint="eastAsia" w:ascii="宋体" w:hAnsi="宋体" w:eastAsia="宋体" w:cs="宋体"/>
          <w:sz w:val="24"/>
          <w:szCs w:val="24"/>
        </w:rPr>
        <w:t>3  主要技术指标要求</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_Toc20003 \h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5D2A96E3">
      <w:pPr>
        <w:pStyle w:val="10"/>
        <w:keepNext w:val="0"/>
        <w:keepLines w:val="0"/>
        <w:pageBreakBefore w:val="0"/>
        <w:widowControl w:val="0"/>
        <w:tabs>
          <w:tab w:val="right" w:leader="dot" w:pos="8306"/>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_Toc14246 </w:instrText>
      </w:r>
      <w:r>
        <w:rPr>
          <w:rFonts w:hint="eastAsia" w:ascii="宋体" w:hAnsi="宋体" w:eastAsia="宋体" w:cs="宋体"/>
          <w:sz w:val="24"/>
          <w:szCs w:val="24"/>
        </w:rPr>
        <w:fldChar w:fldCharType="separate"/>
      </w:r>
      <w:r>
        <w:rPr>
          <w:rFonts w:hint="eastAsia" w:ascii="宋体" w:hAnsi="宋体" w:eastAsia="宋体" w:cs="宋体"/>
          <w:sz w:val="24"/>
          <w:szCs w:val="24"/>
        </w:rPr>
        <w:t>4  时间进度要求</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_Toc14246 \h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3AD1D103">
      <w:pPr>
        <w:pStyle w:val="10"/>
        <w:keepNext w:val="0"/>
        <w:keepLines w:val="0"/>
        <w:pageBreakBefore w:val="0"/>
        <w:widowControl w:val="0"/>
        <w:tabs>
          <w:tab w:val="right" w:leader="dot" w:pos="8306"/>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_Toc21501 </w:instrText>
      </w:r>
      <w:r>
        <w:rPr>
          <w:rFonts w:hint="eastAsia" w:ascii="宋体" w:hAnsi="宋体" w:eastAsia="宋体" w:cs="宋体"/>
          <w:sz w:val="24"/>
          <w:szCs w:val="24"/>
        </w:rPr>
        <w:fldChar w:fldCharType="separate"/>
      </w:r>
      <w:r>
        <w:rPr>
          <w:rFonts w:hint="eastAsia" w:ascii="宋体" w:hAnsi="宋体" w:eastAsia="宋体" w:cs="宋体"/>
          <w:sz w:val="24"/>
          <w:szCs w:val="24"/>
        </w:rPr>
        <w:t>5  成果交付与验收</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_Toc21501 \h </w:instrText>
      </w:r>
      <w:r>
        <w:rPr>
          <w:rFonts w:hint="eastAsia" w:ascii="宋体" w:hAnsi="宋体" w:eastAsia="宋体" w:cs="宋体"/>
          <w:sz w:val="24"/>
          <w:szCs w:val="24"/>
        </w:rPr>
        <w:fldChar w:fldCharType="separate"/>
      </w:r>
      <w:r>
        <w:rPr>
          <w:rFonts w:hint="eastAsia" w:ascii="宋体" w:hAnsi="宋体" w:eastAsia="宋体" w:cs="宋体"/>
          <w:sz w:val="24"/>
          <w:szCs w:val="24"/>
        </w:rPr>
        <w:t>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58BD921B">
      <w:pPr>
        <w:pStyle w:val="11"/>
        <w:keepNext w:val="0"/>
        <w:keepLines w:val="0"/>
        <w:pageBreakBefore w:val="0"/>
        <w:widowControl w:val="0"/>
        <w:tabs>
          <w:tab w:val="right" w:leader="dot" w:pos="8306"/>
          <w:tab w:val="clear" w:pos="8302"/>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_Toc5704 </w:instrText>
      </w:r>
      <w:r>
        <w:rPr>
          <w:rFonts w:hint="eastAsia" w:ascii="宋体" w:hAnsi="宋体" w:eastAsia="宋体" w:cs="宋体"/>
          <w:sz w:val="24"/>
          <w:szCs w:val="24"/>
        </w:rPr>
        <w:fldChar w:fldCharType="separate"/>
      </w:r>
      <w:r>
        <w:rPr>
          <w:rFonts w:hint="eastAsia" w:ascii="宋体" w:hAnsi="宋体" w:eastAsia="宋体" w:cs="宋体"/>
          <w:bCs/>
          <w:sz w:val="24"/>
          <w:szCs w:val="24"/>
        </w:rPr>
        <w:t>5.1 成果形式及数量要求</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_Toc5704 \h </w:instrText>
      </w:r>
      <w:r>
        <w:rPr>
          <w:rFonts w:hint="eastAsia" w:ascii="宋体" w:hAnsi="宋体" w:eastAsia="宋体" w:cs="宋体"/>
          <w:sz w:val="24"/>
          <w:szCs w:val="24"/>
        </w:rPr>
        <w:fldChar w:fldCharType="separate"/>
      </w:r>
      <w:r>
        <w:rPr>
          <w:rFonts w:hint="eastAsia" w:ascii="宋体" w:hAnsi="宋体" w:eastAsia="宋体" w:cs="宋体"/>
          <w:sz w:val="24"/>
          <w:szCs w:val="24"/>
        </w:rPr>
        <w:t>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2E24EBD8">
      <w:pPr>
        <w:pStyle w:val="11"/>
        <w:keepNext w:val="0"/>
        <w:keepLines w:val="0"/>
        <w:pageBreakBefore w:val="0"/>
        <w:widowControl w:val="0"/>
        <w:tabs>
          <w:tab w:val="right" w:leader="dot" w:pos="8306"/>
          <w:tab w:val="clear" w:pos="8302"/>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_Toc25508 </w:instrText>
      </w:r>
      <w:r>
        <w:rPr>
          <w:rFonts w:hint="eastAsia" w:ascii="宋体" w:hAnsi="宋体" w:eastAsia="宋体" w:cs="宋体"/>
          <w:sz w:val="24"/>
          <w:szCs w:val="24"/>
        </w:rPr>
        <w:fldChar w:fldCharType="separate"/>
      </w:r>
      <w:r>
        <w:rPr>
          <w:rFonts w:hint="eastAsia" w:ascii="宋体" w:hAnsi="宋体" w:eastAsia="宋体" w:cs="宋体"/>
          <w:bCs/>
          <w:sz w:val="24"/>
          <w:szCs w:val="24"/>
        </w:rPr>
        <w:t>★5.2 成果的权属要求</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_Toc25508 \h </w:instrText>
      </w:r>
      <w:r>
        <w:rPr>
          <w:rFonts w:hint="eastAsia" w:ascii="宋体" w:hAnsi="宋体" w:eastAsia="宋体" w:cs="宋体"/>
          <w:sz w:val="24"/>
          <w:szCs w:val="24"/>
        </w:rPr>
        <w:fldChar w:fldCharType="separate"/>
      </w:r>
      <w:r>
        <w:rPr>
          <w:rFonts w:hint="eastAsia" w:ascii="宋体" w:hAnsi="宋体" w:eastAsia="宋体" w:cs="宋体"/>
          <w:sz w:val="24"/>
          <w:szCs w:val="24"/>
        </w:rPr>
        <w:t>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6E523375">
      <w:pPr>
        <w:pStyle w:val="11"/>
        <w:keepNext w:val="0"/>
        <w:keepLines w:val="0"/>
        <w:pageBreakBefore w:val="0"/>
        <w:widowControl w:val="0"/>
        <w:tabs>
          <w:tab w:val="right" w:leader="dot" w:pos="8306"/>
          <w:tab w:val="clear" w:pos="8302"/>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_Toc28744 </w:instrText>
      </w:r>
      <w:r>
        <w:rPr>
          <w:rFonts w:hint="eastAsia" w:ascii="宋体" w:hAnsi="宋体" w:eastAsia="宋体" w:cs="宋体"/>
          <w:sz w:val="24"/>
          <w:szCs w:val="24"/>
        </w:rPr>
        <w:fldChar w:fldCharType="separate"/>
      </w:r>
      <w:r>
        <w:rPr>
          <w:rFonts w:hint="eastAsia" w:ascii="宋体" w:hAnsi="宋体" w:eastAsia="宋体" w:cs="宋体"/>
          <w:bCs/>
          <w:sz w:val="24"/>
          <w:szCs w:val="24"/>
          <w:lang w:val="en-US" w:eastAsia="zh-CN"/>
        </w:rPr>
        <w:t>5.3技术架构要求</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_Toc28744 \h </w:instrText>
      </w:r>
      <w:r>
        <w:rPr>
          <w:rFonts w:hint="eastAsia" w:ascii="宋体" w:hAnsi="宋体" w:eastAsia="宋体" w:cs="宋体"/>
          <w:sz w:val="24"/>
          <w:szCs w:val="24"/>
        </w:rPr>
        <w:fldChar w:fldCharType="separate"/>
      </w:r>
      <w:r>
        <w:rPr>
          <w:rFonts w:hint="eastAsia" w:ascii="宋体" w:hAnsi="宋体" w:eastAsia="宋体" w:cs="宋体"/>
          <w:sz w:val="24"/>
          <w:szCs w:val="24"/>
        </w:rPr>
        <w:t>5</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64A3E977">
      <w:pPr>
        <w:pStyle w:val="11"/>
        <w:keepNext w:val="0"/>
        <w:keepLines w:val="0"/>
        <w:pageBreakBefore w:val="0"/>
        <w:widowControl w:val="0"/>
        <w:tabs>
          <w:tab w:val="right" w:leader="dot" w:pos="8306"/>
          <w:tab w:val="clear" w:pos="8302"/>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_Toc6117 </w:instrText>
      </w:r>
      <w:r>
        <w:rPr>
          <w:rFonts w:hint="eastAsia" w:ascii="宋体" w:hAnsi="宋体" w:eastAsia="宋体" w:cs="宋体"/>
          <w:sz w:val="24"/>
          <w:szCs w:val="24"/>
        </w:rPr>
        <w:fldChar w:fldCharType="separate"/>
      </w:r>
      <w:r>
        <w:rPr>
          <w:rFonts w:hint="eastAsia" w:ascii="宋体" w:hAnsi="宋体" w:eastAsia="宋体" w:cs="宋体"/>
          <w:bCs/>
          <w:sz w:val="24"/>
          <w:szCs w:val="24"/>
        </w:rPr>
        <w:t>5.</w:t>
      </w:r>
      <w:r>
        <w:rPr>
          <w:rFonts w:hint="eastAsia" w:ascii="宋体" w:hAnsi="宋体" w:eastAsia="宋体" w:cs="宋体"/>
          <w:bCs/>
          <w:sz w:val="24"/>
          <w:szCs w:val="24"/>
          <w:lang w:val="en-US" w:eastAsia="zh-CN"/>
        </w:rPr>
        <w:t>4</w:t>
      </w:r>
      <w:r>
        <w:rPr>
          <w:rFonts w:hint="eastAsia" w:ascii="宋体" w:hAnsi="宋体" w:eastAsia="宋体" w:cs="宋体"/>
          <w:bCs/>
          <w:sz w:val="24"/>
          <w:szCs w:val="24"/>
        </w:rPr>
        <w:t>成果验收</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_Toc6117 \h </w:instrText>
      </w:r>
      <w:r>
        <w:rPr>
          <w:rFonts w:hint="eastAsia" w:ascii="宋体" w:hAnsi="宋体" w:eastAsia="宋体" w:cs="宋体"/>
          <w:sz w:val="24"/>
          <w:szCs w:val="24"/>
        </w:rPr>
        <w:fldChar w:fldCharType="separate"/>
      </w:r>
      <w:r>
        <w:rPr>
          <w:rFonts w:hint="eastAsia" w:ascii="宋体" w:hAnsi="宋体" w:eastAsia="宋体" w:cs="宋体"/>
          <w:sz w:val="24"/>
          <w:szCs w:val="24"/>
        </w:rPr>
        <w:t>5</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5693CE47">
      <w:pPr>
        <w:pStyle w:val="10"/>
        <w:keepNext w:val="0"/>
        <w:keepLines w:val="0"/>
        <w:pageBreakBefore w:val="0"/>
        <w:widowControl w:val="0"/>
        <w:tabs>
          <w:tab w:val="right" w:leader="dot" w:pos="8306"/>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_Toc30047 </w:instrText>
      </w:r>
      <w:r>
        <w:rPr>
          <w:rFonts w:hint="eastAsia" w:ascii="宋体" w:hAnsi="宋体" w:eastAsia="宋体" w:cs="宋体"/>
          <w:sz w:val="24"/>
          <w:szCs w:val="24"/>
        </w:rPr>
        <w:fldChar w:fldCharType="separate"/>
      </w:r>
      <w:r>
        <w:rPr>
          <w:rFonts w:hint="eastAsia" w:ascii="宋体" w:hAnsi="宋体" w:eastAsia="宋体" w:cs="宋体"/>
          <w:sz w:val="24"/>
          <w:szCs w:val="24"/>
        </w:rPr>
        <w:t>6  投标技术文件要求</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_Toc30047 \h </w:instrText>
      </w:r>
      <w:r>
        <w:rPr>
          <w:rFonts w:hint="eastAsia" w:ascii="宋体" w:hAnsi="宋体" w:eastAsia="宋体" w:cs="宋体"/>
          <w:sz w:val="24"/>
          <w:szCs w:val="24"/>
        </w:rPr>
        <w:fldChar w:fldCharType="separate"/>
      </w:r>
      <w:r>
        <w:rPr>
          <w:rFonts w:hint="eastAsia" w:ascii="宋体" w:hAnsi="宋体" w:eastAsia="宋体" w:cs="宋体"/>
          <w:sz w:val="24"/>
          <w:szCs w:val="24"/>
        </w:rPr>
        <w:t>6</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2D719875">
      <w:pPr>
        <w:pStyle w:val="11"/>
        <w:keepNext w:val="0"/>
        <w:keepLines w:val="0"/>
        <w:pageBreakBefore w:val="0"/>
        <w:widowControl w:val="0"/>
        <w:tabs>
          <w:tab w:val="right" w:leader="dot" w:pos="8306"/>
          <w:tab w:val="clear" w:pos="8302"/>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_Toc26928 </w:instrText>
      </w:r>
      <w:r>
        <w:rPr>
          <w:rFonts w:hint="eastAsia" w:ascii="宋体" w:hAnsi="宋体" w:eastAsia="宋体" w:cs="宋体"/>
          <w:sz w:val="24"/>
          <w:szCs w:val="24"/>
        </w:rPr>
        <w:fldChar w:fldCharType="separate"/>
      </w:r>
      <w:r>
        <w:rPr>
          <w:rFonts w:hint="eastAsia" w:ascii="宋体" w:hAnsi="宋体" w:eastAsia="宋体" w:cs="宋体"/>
          <w:bCs/>
          <w:sz w:val="24"/>
          <w:szCs w:val="24"/>
        </w:rPr>
        <w:t>6.1 研究方案</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_Toc26928 \h </w:instrText>
      </w:r>
      <w:r>
        <w:rPr>
          <w:rFonts w:hint="eastAsia" w:ascii="宋体" w:hAnsi="宋体" w:eastAsia="宋体" w:cs="宋体"/>
          <w:sz w:val="24"/>
          <w:szCs w:val="24"/>
        </w:rPr>
        <w:fldChar w:fldCharType="separate"/>
      </w:r>
      <w:r>
        <w:rPr>
          <w:rFonts w:hint="eastAsia" w:ascii="宋体" w:hAnsi="宋体" w:eastAsia="宋体" w:cs="宋体"/>
          <w:sz w:val="24"/>
          <w:szCs w:val="24"/>
        </w:rPr>
        <w:t>6</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3DA6F570">
      <w:pPr>
        <w:pStyle w:val="11"/>
        <w:keepNext w:val="0"/>
        <w:keepLines w:val="0"/>
        <w:pageBreakBefore w:val="0"/>
        <w:widowControl w:val="0"/>
        <w:tabs>
          <w:tab w:val="right" w:leader="dot" w:pos="8306"/>
          <w:tab w:val="clear" w:pos="8302"/>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_Toc3443 </w:instrText>
      </w:r>
      <w:r>
        <w:rPr>
          <w:rFonts w:hint="eastAsia" w:ascii="宋体" w:hAnsi="宋体" w:eastAsia="宋体" w:cs="宋体"/>
          <w:sz w:val="24"/>
          <w:szCs w:val="24"/>
        </w:rPr>
        <w:fldChar w:fldCharType="separate"/>
      </w:r>
      <w:r>
        <w:rPr>
          <w:rFonts w:hint="eastAsia" w:ascii="宋体" w:hAnsi="宋体" w:eastAsia="宋体" w:cs="宋体"/>
          <w:bCs/>
          <w:sz w:val="24"/>
          <w:szCs w:val="24"/>
        </w:rPr>
        <w:t>6.2 项目管理实施</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_Toc3443 \h </w:instrText>
      </w:r>
      <w:r>
        <w:rPr>
          <w:rFonts w:hint="eastAsia" w:ascii="宋体" w:hAnsi="宋体" w:eastAsia="宋体" w:cs="宋体"/>
          <w:sz w:val="24"/>
          <w:szCs w:val="24"/>
        </w:rPr>
        <w:fldChar w:fldCharType="separate"/>
      </w:r>
      <w:r>
        <w:rPr>
          <w:rFonts w:hint="eastAsia" w:ascii="宋体" w:hAnsi="宋体" w:eastAsia="宋体" w:cs="宋体"/>
          <w:sz w:val="24"/>
          <w:szCs w:val="24"/>
        </w:rPr>
        <w:t>6</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73268B46">
      <w:pPr>
        <w:pStyle w:val="11"/>
        <w:keepNext w:val="0"/>
        <w:keepLines w:val="0"/>
        <w:pageBreakBefore w:val="0"/>
        <w:widowControl w:val="0"/>
        <w:tabs>
          <w:tab w:val="right" w:leader="dot" w:pos="8306"/>
          <w:tab w:val="clear" w:pos="8302"/>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_Toc29755 </w:instrText>
      </w:r>
      <w:r>
        <w:rPr>
          <w:rFonts w:hint="eastAsia" w:ascii="宋体" w:hAnsi="宋体" w:eastAsia="宋体" w:cs="宋体"/>
          <w:sz w:val="24"/>
          <w:szCs w:val="24"/>
        </w:rPr>
        <w:fldChar w:fldCharType="separate"/>
      </w:r>
      <w:r>
        <w:rPr>
          <w:rFonts w:hint="eastAsia" w:ascii="宋体" w:hAnsi="宋体" w:eastAsia="宋体" w:cs="宋体"/>
          <w:bCs/>
          <w:sz w:val="24"/>
          <w:szCs w:val="24"/>
        </w:rPr>
        <w:t>6.3 项目技术支撑能力</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_Toc29755 \h </w:instrText>
      </w:r>
      <w:r>
        <w:rPr>
          <w:rFonts w:hint="eastAsia" w:ascii="宋体" w:hAnsi="宋体" w:eastAsia="宋体" w:cs="宋体"/>
          <w:sz w:val="24"/>
          <w:szCs w:val="24"/>
        </w:rPr>
        <w:fldChar w:fldCharType="separate"/>
      </w:r>
      <w:r>
        <w:rPr>
          <w:rFonts w:hint="eastAsia" w:ascii="宋体" w:hAnsi="宋体" w:eastAsia="宋体" w:cs="宋体"/>
          <w:sz w:val="24"/>
          <w:szCs w:val="24"/>
        </w:rPr>
        <w:t>6</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1547D802">
      <w:pPr>
        <w:pStyle w:val="11"/>
        <w:keepNext w:val="0"/>
        <w:keepLines w:val="0"/>
        <w:pageBreakBefore w:val="0"/>
        <w:widowControl w:val="0"/>
        <w:tabs>
          <w:tab w:val="right" w:leader="dot" w:pos="8306"/>
          <w:tab w:val="clear" w:pos="8302"/>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_Toc3357 </w:instrText>
      </w:r>
      <w:r>
        <w:rPr>
          <w:rFonts w:hint="eastAsia" w:ascii="宋体" w:hAnsi="宋体" w:eastAsia="宋体" w:cs="宋体"/>
          <w:sz w:val="24"/>
          <w:szCs w:val="24"/>
        </w:rPr>
        <w:fldChar w:fldCharType="separate"/>
      </w:r>
      <w:r>
        <w:rPr>
          <w:rFonts w:hint="eastAsia" w:ascii="宋体" w:hAnsi="宋体" w:eastAsia="宋体" w:cs="宋体"/>
          <w:bCs/>
          <w:sz w:val="24"/>
          <w:szCs w:val="24"/>
        </w:rPr>
        <w:t>6.4 技术支持与售后服务</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_Toc3357 \h </w:instrText>
      </w:r>
      <w:r>
        <w:rPr>
          <w:rFonts w:hint="eastAsia" w:ascii="宋体" w:hAnsi="宋体" w:eastAsia="宋体" w:cs="宋体"/>
          <w:sz w:val="24"/>
          <w:szCs w:val="24"/>
        </w:rPr>
        <w:fldChar w:fldCharType="separate"/>
      </w:r>
      <w:r>
        <w:rPr>
          <w:rFonts w:hint="eastAsia" w:ascii="宋体" w:hAnsi="宋体" w:eastAsia="宋体" w:cs="宋体"/>
          <w:sz w:val="24"/>
          <w:szCs w:val="24"/>
        </w:rPr>
        <w:t>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46D6424E">
      <w:pPr>
        <w:pStyle w:val="11"/>
        <w:keepNext w:val="0"/>
        <w:keepLines w:val="0"/>
        <w:pageBreakBefore w:val="0"/>
        <w:widowControl w:val="0"/>
        <w:tabs>
          <w:tab w:val="right" w:leader="dot" w:pos="8306"/>
          <w:tab w:val="clear" w:pos="8302"/>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_Toc17138 </w:instrText>
      </w:r>
      <w:r>
        <w:rPr>
          <w:rFonts w:hint="eastAsia" w:ascii="宋体" w:hAnsi="宋体" w:eastAsia="宋体" w:cs="宋体"/>
          <w:sz w:val="24"/>
          <w:szCs w:val="24"/>
        </w:rPr>
        <w:fldChar w:fldCharType="separate"/>
      </w:r>
      <w:r>
        <w:rPr>
          <w:rFonts w:hint="eastAsia" w:ascii="宋体" w:hAnsi="宋体" w:eastAsia="宋体" w:cs="宋体"/>
          <w:bCs/>
          <w:sz w:val="24"/>
          <w:szCs w:val="24"/>
        </w:rPr>
        <w:t>6.5 技术差异表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_Toc17138 \h </w:instrText>
      </w:r>
      <w:r>
        <w:rPr>
          <w:rFonts w:hint="eastAsia" w:ascii="宋体" w:hAnsi="宋体" w:eastAsia="宋体" w:cs="宋体"/>
          <w:sz w:val="24"/>
          <w:szCs w:val="24"/>
        </w:rPr>
        <w:fldChar w:fldCharType="separate"/>
      </w:r>
      <w:r>
        <w:rPr>
          <w:rFonts w:hint="eastAsia" w:ascii="宋体" w:hAnsi="宋体" w:eastAsia="宋体" w:cs="宋体"/>
          <w:sz w:val="24"/>
          <w:szCs w:val="24"/>
        </w:rPr>
        <w:t>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53EE1F20">
      <w:pPr>
        <w:pStyle w:val="11"/>
        <w:keepNext w:val="0"/>
        <w:keepLines w:val="0"/>
        <w:pageBreakBefore w:val="0"/>
        <w:widowControl w:val="0"/>
        <w:tabs>
          <w:tab w:val="right" w:leader="dot" w:pos="8306"/>
          <w:tab w:val="clear" w:pos="8302"/>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_Toc10100 </w:instrText>
      </w:r>
      <w:r>
        <w:rPr>
          <w:rFonts w:hint="eastAsia" w:ascii="宋体" w:hAnsi="宋体" w:eastAsia="宋体" w:cs="宋体"/>
          <w:sz w:val="24"/>
          <w:szCs w:val="24"/>
        </w:rPr>
        <w:fldChar w:fldCharType="separate"/>
      </w:r>
      <w:r>
        <w:rPr>
          <w:rFonts w:hint="eastAsia" w:ascii="宋体" w:hAnsi="宋体" w:eastAsia="宋体" w:cs="宋体"/>
          <w:sz w:val="24"/>
          <w:szCs w:val="24"/>
        </w:rPr>
        <w:t>6.6 其它补充说明</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_Toc10100 \h </w:instrText>
      </w:r>
      <w:r>
        <w:rPr>
          <w:rFonts w:hint="eastAsia" w:ascii="宋体" w:hAnsi="宋体" w:eastAsia="宋体" w:cs="宋体"/>
          <w:sz w:val="24"/>
          <w:szCs w:val="24"/>
        </w:rPr>
        <w:fldChar w:fldCharType="separate"/>
      </w:r>
      <w:r>
        <w:rPr>
          <w:rFonts w:hint="eastAsia" w:ascii="宋体" w:hAnsi="宋体" w:eastAsia="宋体" w:cs="宋体"/>
          <w:sz w:val="24"/>
          <w:szCs w:val="24"/>
        </w:rPr>
        <w:t>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4D1391B3">
      <w:pPr>
        <w:pStyle w:val="10"/>
        <w:keepNext w:val="0"/>
        <w:keepLines w:val="0"/>
        <w:pageBreakBefore w:val="0"/>
        <w:widowControl w:val="0"/>
        <w:tabs>
          <w:tab w:val="right" w:leader="dot" w:pos="8306"/>
        </w:tabs>
        <w:kinsoku/>
        <w:wordWrap/>
        <w:overflowPunct/>
        <w:topLinePunct w:val="0"/>
        <w:autoSpaceDE/>
        <w:autoSpaceDN/>
        <w:bidi w:val="0"/>
        <w:adjustRightInd/>
        <w:snapToGrid w:val="0"/>
        <w:spacing w:line="360" w:lineRule="auto"/>
        <w:textAlignment w:val="auto"/>
        <w:rPr>
          <w:rFonts w:ascii="黑体" w:hAnsi="黑体" w:eastAsia="黑体" w:cs="黑体"/>
          <w:b/>
          <w:sz w:val="24"/>
        </w:rPr>
      </w:pPr>
      <w:r>
        <w:rPr>
          <w:rFonts w:hint="eastAsia" w:ascii="宋体" w:hAnsi="宋体" w:eastAsia="宋体" w:cs="宋体"/>
          <w:sz w:val="24"/>
          <w:szCs w:val="24"/>
        </w:rPr>
        <w:fldChar w:fldCharType="end"/>
      </w:r>
    </w:p>
    <w:p w14:paraId="6B72E505">
      <w:pPr>
        <w:rPr>
          <w:rFonts w:ascii="宋体" w:hAnsi="宋体"/>
          <w:b/>
          <w:sz w:val="30"/>
        </w:rPr>
      </w:pPr>
      <w:r>
        <w:rPr>
          <w:rFonts w:ascii="宋体" w:hAnsi="宋体"/>
          <w:b/>
          <w:sz w:val="30"/>
        </w:rPr>
        <w:br w:type="page"/>
      </w:r>
    </w:p>
    <w:p w14:paraId="69C763DA">
      <w:pPr>
        <w:spacing w:line="480" w:lineRule="auto"/>
        <w:jc w:val="center"/>
        <w:outlineLvl w:val="0"/>
        <w:rPr>
          <w:rFonts w:ascii="宋体" w:hAnsi="宋体"/>
          <w:b/>
          <w:sz w:val="32"/>
        </w:rPr>
      </w:pPr>
      <w:bookmarkStart w:id="3" w:name="_Toc17586"/>
      <w:bookmarkStart w:id="4" w:name="_Toc266713645"/>
      <w:bookmarkStart w:id="5" w:name="_Toc32374"/>
      <w:bookmarkStart w:id="6" w:name="_Toc19589"/>
      <w:bookmarkStart w:id="7" w:name="_Toc9347"/>
      <w:r>
        <w:rPr>
          <w:rFonts w:hint="eastAsia" w:ascii="宋体" w:hAnsi="宋体"/>
          <w:b/>
          <w:sz w:val="32"/>
        </w:rPr>
        <w:t>总 则</w:t>
      </w:r>
      <w:bookmarkEnd w:id="3"/>
      <w:bookmarkEnd w:id="4"/>
      <w:bookmarkEnd w:id="5"/>
      <w:bookmarkEnd w:id="6"/>
      <w:bookmarkEnd w:id="7"/>
    </w:p>
    <w:p w14:paraId="19A50E07">
      <w:pPr>
        <w:numPr>
          <w:ilvl w:val="0"/>
          <w:numId w:val="2"/>
        </w:numPr>
        <w:spacing w:line="360" w:lineRule="auto"/>
        <w:rPr>
          <w:rFonts w:ascii="宋体" w:hAnsi="宋体"/>
          <w:bCs/>
          <w:sz w:val="24"/>
        </w:rPr>
      </w:pPr>
      <w:r>
        <w:rPr>
          <w:rFonts w:hint="eastAsia" w:ascii="宋体" w:hAnsi="宋体"/>
          <w:bCs/>
          <w:sz w:val="24"/>
        </w:rPr>
        <w:t>本文件</w:t>
      </w:r>
      <w:r>
        <w:rPr>
          <w:rFonts w:hint="eastAsia" w:ascii="宋体" w:hAnsi="宋体"/>
          <w:bCs/>
          <w:sz w:val="24"/>
          <w:highlight w:val="none"/>
        </w:rPr>
        <w:t>为</w:t>
      </w:r>
      <w:r>
        <w:rPr>
          <w:rFonts w:hint="eastAsia" w:ascii="宋体" w:hAnsi="宋体"/>
          <w:bCs/>
          <w:sz w:val="24"/>
          <w:highlight w:val="none"/>
          <w:lang w:val="en-US" w:eastAsia="zh-CN"/>
        </w:rPr>
        <w:t>该采购项目的</w:t>
      </w:r>
      <w:r>
        <w:rPr>
          <w:rFonts w:hint="eastAsia" w:ascii="宋体" w:hAnsi="宋体"/>
          <w:bCs/>
          <w:sz w:val="24"/>
          <w:highlight w:val="none"/>
        </w:rPr>
        <w:t>技</w:t>
      </w:r>
      <w:r>
        <w:rPr>
          <w:rFonts w:hint="eastAsia" w:ascii="宋体" w:hAnsi="宋体"/>
          <w:bCs/>
          <w:sz w:val="24"/>
        </w:rPr>
        <w:t>术招标文件。</w:t>
      </w:r>
    </w:p>
    <w:p w14:paraId="01F284D6">
      <w:pPr>
        <w:numPr>
          <w:ilvl w:val="0"/>
          <w:numId w:val="2"/>
        </w:numPr>
        <w:spacing w:line="360" w:lineRule="auto"/>
        <w:rPr>
          <w:rFonts w:ascii="宋体" w:hAnsi="宋体"/>
          <w:bCs/>
          <w:sz w:val="24"/>
        </w:rPr>
      </w:pPr>
      <w:r>
        <w:rPr>
          <w:rFonts w:hint="eastAsia" w:ascii="宋体" w:hAnsi="宋体"/>
          <w:bCs/>
          <w:sz w:val="24"/>
        </w:rPr>
        <w:t>本文件所描述的各</w:t>
      </w:r>
      <w:r>
        <w:rPr>
          <w:rFonts w:hint="eastAsia" w:hAnsi="宋体"/>
          <w:bCs/>
          <w:sz w:val="24"/>
        </w:rPr>
        <w:t>项技术要求</w:t>
      </w:r>
      <w:r>
        <w:rPr>
          <w:rFonts w:hint="eastAsia" w:ascii="宋体" w:hAnsi="宋体"/>
          <w:bCs/>
          <w:sz w:val="24"/>
        </w:rPr>
        <w:t>仅供投标方编制投标文件之用。</w:t>
      </w:r>
    </w:p>
    <w:p w14:paraId="02060FA1">
      <w:pPr>
        <w:numPr>
          <w:ilvl w:val="0"/>
          <w:numId w:val="2"/>
        </w:numPr>
        <w:spacing w:line="360" w:lineRule="auto"/>
        <w:rPr>
          <w:rFonts w:ascii="宋体" w:hAnsi="宋体"/>
          <w:bCs/>
          <w:sz w:val="24"/>
        </w:rPr>
      </w:pPr>
      <w:r>
        <w:rPr>
          <w:rFonts w:hint="eastAsia" w:ascii="宋体" w:hAnsi="宋体"/>
          <w:bCs/>
          <w:sz w:val="24"/>
        </w:rPr>
        <w:t>本标书仅描述基本的技术需求，并未对一切技术细节做出规定，也未充分引述有关标准和技术条文，投标方应根据需求目标提供进一步具体的可满足要求的</w:t>
      </w:r>
      <w:r>
        <w:rPr>
          <w:rFonts w:hint="eastAsia" w:hAnsi="宋体"/>
          <w:bCs/>
          <w:sz w:val="24"/>
        </w:rPr>
        <w:t>技术</w:t>
      </w:r>
      <w:r>
        <w:rPr>
          <w:rFonts w:hint="eastAsia" w:ascii="宋体" w:hAnsi="宋体"/>
          <w:bCs/>
          <w:sz w:val="24"/>
        </w:rPr>
        <w:t>指标。</w:t>
      </w:r>
    </w:p>
    <w:p w14:paraId="2E5E0839">
      <w:pPr>
        <w:numPr>
          <w:ilvl w:val="0"/>
          <w:numId w:val="2"/>
        </w:numPr>
        <w:spacing w:line="360" w:lineRule="auto"/>
        <w:rPr>
          <w:rFonts w:ascii="宋体" w:hAnsi="宋体"/>
          <w:bCs/>
          <w:sz w:val="24"/>
        </w:rPr>
      </w:pPr>
      <w:r>
        <w:rPr>
          <w:rFonts w:hint="eastAsia" w:ascii="宋体" w:hAnsi="宋体"/>
          <w:bCs/>
          <w:sz w:val="24"/>
        </w:rPr>
        <w:t>投标技术文件要求文字精练、数据准确、表述及图示清晰明确，具有针对性。</w:t>
      </w:r>
    </w:p>
    <w:p w14:paraId="6193B70A">
      <w:pPr>
        <w:numPr>
          <w:ilvl w:val="0"/>
          <w:numId w:val="2"/>
        </w:numPr>
        <w:spacing w:line="360" w:lineRule="auto"/>
        <w:rPr>
          <w:rFonts w:ascii="宋体" w:hAnsi="宋体"/>
          <w:bCs/>
          <w:sz w:val="24"/>
        </w:rPr>
      </w:pPr>
      <w:r>
        <w:rPr>
          <w:rFonts w:hint="eastAsia" w:ascii="宋体" w:hAnsi="宋体"/>
          <w:bCs/>
          <w:sz w:val="24"/>
          <w:szCs w:val="22"/>
        </w:rPr>
        <w:t>投标方在投标技术文件中应对本标书逐项予以说明和答复,应如实反映投标</w:t>
      </w:r>
      <w:r>
        <w:rPr>
          <w:rFonts w:hint="eastAsia" w:hAnsi="宋体"/>
          <w:bCs/>
          <w:sz w:val="24"/>
          <w:szCs w:val="22"/>
        </w:rPr>
        <w:t>服务</w:t>
      </w:r>
      <w:r>
        <w:rPr>
          <w:rFonts w:hint="eastAsia" w:ascii="宋体" w:hAnsi="宋体"/>
          <w:bCs/>
          <w:sz w:val="24"/>
          <w:szCs w:val="22"/>
        </w:rPr>
        <w:t>与本技术规范书的技术差异。如果投标方没有提出技术差异，而在执行合同的过程中，招标方发现投标方提供的</w:t>
      </w:r>
      <w:r>
        <w:rPr>
          <w:rFonts w:hint="eastAsia" w:hAnsi="宋体"/>
          <w:bCs/>
          <w:sz w:val="24"/>
          <w:szCs w:val="22"/>
        </w:rPr>
        <w:t>服务</w:t>
      </w:r>
      <w:r>
        <w:rPr>
          <w:rFonts w:hint="eastAsia" w:ascii="宋体" w:hAnsi="宋体"/>
          <w:bCs/>
          <w:sz w:val="24"/>
          <w:szCs w:val="22"/>
        </w:rPr>
        <w:t>与其投标技术文件的条文存在差异，招标方</w:t>
      </w:r>
      <w:r>
        <w:rPr>
          <w:rFonts w:hint="eastAsia" w:hAnsi="宋体"/>
          <w:bCs/>
          <w:sz w:val="24"/>
          <w:szCs w:val="22"/>
        </w:rPr>
        <w:t>将</w:t>
      </w:r>
      <w:r>
        <w:rPr>
          <w:rFonts w:hint="eastAsia" w:ascii="宋体" w:hAnsi="宋体"/>
          <w:bCs/>
          <w:sz w:val="24"/>
          <w:szCs w:val="22"/>
        </w:rPr>
        <w:t>追究投标方违约责任</w:t>
      </w:r>
      <w:r>
        <w:rPr>
          <w:rFonts w:hint="eastAsia" w:ascii="宋体" w:hAnsi="宋体"/>
          <w:bCs/>
          <w:sz w:val="24"/>
        </w:rPr>
        <w:t>。</w:t>
      </w:r>
    </w:p>
    <w:p w14:paraId="2E551549">
      <w:pPr>
        <w:numPr>
          <w:ilvl w:val="0"/>
          <w:numId w:val="2"/>
        </w:numPr>
        <w:spacing w:line="360" w:lineRule="auto"/>
        <w:rPr>
          <w:rFonts w:ascii="宋体" w:hAnsi="宋体"/>
          <w:bCs/>
          <w:sz w:val="24"/>
        </w:rPr>
      </w:pPr>
      <w:r>
        <w:rPr>
          <w:rFonts w:hint="eastAsia" w:ascii="宋体" w:hAnsi="宋体"/>
          <w:bCs/>
          <w:sz w:val="24"/>
          <w:szCs w:val="22"/>
        </w:rPr>
        <w:t>投标方应在投标技术部分按本技术规范书的要求</w:t>
      </w:r>
      <w:r>
        <w:rPr>
          <w:rFonts w:hint="eastAsia" w:hAnsi="宋体"/>
          <w:bCs/>
          <w:sz w:val="24"/>
          <w:szCs w:val="22"/>
        </w:rPr>
        <w:t>内容</w:t>
      </w:r>
      <w:r>
        <w:rPr>
          <w:rFonts w:hint="eastAsia" w:ascii="宋体" w:hAnsi="宋体"/>
          <w:bCs/>
          <w:sz w:val="24"/>
          <w:szCs w:val="22"/>
        </w:rPr>
        <w:t>如实详细填写投标</w:t>
      </w:r>
      <w:r>
        <w:rPr>
          <w:rFonts w:hint="eastAsia" w:hAnsi="宋体"/>
          <w:bCs/>
          <w:sz w:val="24"/>
          <w:szCs w:val="22"/>
        </w:rPr>
        <w:t>服务</w:t>
      </w:r>
      <w:r>
        <w:rPr>
          <w:rFonts w:hint="eastAsia" w:ascii="宋体" w:hAnsi="宋体"/>
          <w:bCs/>
          <w:sz w:val="24"/>
          <w:szCs w:val="22"/>
        </w:rPr>
        <w:t>的</w:t>
      </w:r>
      <w:r>
        <w:rPr>
          <w:rFonts w:hint="eastAsia" w:hAnsi="宋体"/>
          <w:bCs/>
          <w:sz w:val="24"/>
          <w:szCs w:val="22"/>
        </w:rPr>
        <w:t>范围及明细</w:t>
      </w:r>
      <w:r>
        <w:rPr>
          <w:rFonts w:hint="eastAsia" w:ascii="宋体" w:hAnsi="宋体"/>
          <w:bCs/>
          <w:sz w:val="24"/>
          <w:szCs w:val="22"/>
        </w:rPr>
        <w:t>，并在投标商务部分</w:t>
      </w:r>
      <w:r>
        <w:rPr>
          <w:rFonts w:hint="eastAsia" w:hAnsi="宋体"/>
          <w:bCs/>
          <w:sz w:val="24"/>
          <w:szCs w:val="22"/>
        </w:rPr>
        <w:t>（或报价部分）</w:t>
      </w:r>
      <w:r>
        <w:rPr>
          <w:rFonts w:hint="eastAsia" w:ascii="宋体" w:hAnsi="宋体"/>
          <w:bCs/>
          <w:sz w:val="24"/>
          <w:szCs w:val="22"/>
        </w:rPr>
        <w:t>按</w:t>
      </w:r>
      <w:r>
        <w:rPr>
          <w:rFonts w:hint="eastAsia" w:hAnsi="宋体"/>
          <w:bCs/>
          <w:sz w:val="24"/>
          <w:szCs w:val="22"/>
        </w:rPr>
        <w:t>此范围及明细</w:t>
      </w:r>
      <w:r>
        <w:rPr>
          <w:rFonts w:hint="eastAsia" w:ascii="宋体" w:hAnsi="宋体"/>
          <w:bCs/>
          <w:sz w:val="24"/>
          <w:szCs w:val="22"/>
        </w:rPr>
        <w:t>进行</w:t>
      </w:r>
      <w:r>
        <w:rPr>
          <w:rFonts w:hint="eastAsia" w:hAnsi="宋体"/>
          <w:bCs/>
          <w:sz w:val="24"/>
          <w:szCs w:val="22"/>
        </w:rPr>
        <w:t>分项</w:t>
      </w:r>
      <w:r>
        <w:rPr>
          <w:rFonts w:hint="eastAsia" w:ascii="宋体" w:hAnsi="宋体"/>
          <w:bCs/>
          <w:sz w:val="24"/>
          <w:szCs w:val="22"/>
        </w:rPr>
        <w:t>报价，如发现</w:t>
      </w:r>
      <w:r>
        <w:rPr>
          <w:rFonts w:hint="eastAsia" w:hAnsi="宋体"/>
          <w:bCs/>
          <w:sz w:val="24"/>
          <w:szCs w:val="22"/>
        </w:rPr>
        <w:t>总报价与分项报价</w:t>
      </w:r>
      <w:r>
        <w:rPr>
          <w:rFonts w:hint="eastAsia" w:ascii="宋体" w:hAnsi="宋体"/>
          <w:bCs/>
          <w:sz w:val="24"/>
          <w:szCs w:val="22"/>
        </w:rPr>
        <w:t>有矛盾之处，将按有利于招标方的条款执行</w:t>
      </w:r>
      <w:r>
        <w:rPr>
          <w:rFonts w:hint="eastAsia" w:hAnsi="宋体"/>
          <w:bCs/>
          <w:sz w:val="24"/>
          <w:szCs w:val="22"/>
        </w:rPr>
        <w:t>。</w:t>
      </w:r>
      <w:r>
        <w:rPr>
          <w:rFonts w:hint="eastAsia" w:ascii="宋体" w:hAnsi="宋体"/>
          <w:bCs/>
          <w:sz w:val="24"/>
          <w:szCs w:val="22"/>
        </w:rPr>
        <w:t xml:space="preserve"> </w:t>
      </w:r>
    </w:p>
    <w:p w14:paraId="43BBA626">
      <w:pPr>
        <w:numPr>
          <w:ilvl w:val="0"/>
          <w:numId w:val="2"/>
        </w:numPr>
        <w:spacing w:line="360" w:lineRule="auto"/>
        <w:rPr>
          <w:rFonts w:ascii="宋体" w:hAnsi="宋体"/>
          <w:bCs/>
          <w:sz w:val="24"/>
          <w:szCs w:val="22"/>
        </w:rPr>
      </w:pPr>
      <w:r>
        <w:rPr>
          <w:rFonts w:hint="eastAsia" w:ascii="宋体" w:hAnsi="宋体"/>
          <w:bCs/>
          <w:sz w:val="24"/>
          <w:szCs w:val="22"/>
        </w:rPr>
        <w:t>投标方必须仔细阅读采购文件的全部条款，并作出明确响应。采购文件带“★”号的条款及要求，</w:t>
      </w:r>
      <w:r>
        <w:rPr>
          <w:rFonts w:hint="eastAsia" w:ascii="宋体" w:hAnsi="宋体"/>
          <w:bCs/>
          <w:sz w:val="24"/>
          <w:szCs w:val="22"/>
          <w:lang w:val="en-US" w:eastAsia="zh-CN"/>
        </w:rPr>
        <w:t>投标</w:t>
      </w:r>
      <w:r>
        <w:rPr>
          <w:rFonts w:hint="eastAsia" w:ascii="宋体" w:hAnsi="宋体"/>
          <w:bCs/>
          <w:sz w:val="24"/>
          <w:szCs w:val="22"/>
        </w:rPr>
        <w:t>方必须满足，若有一项不满足将否决投标。</w:t>
      </w:r>
    </w:p>
    <w:p w14:paraId="72E047CF">
      <w:pPr>
        <w:numPr>
          <w:ilvl w:val="0"/>
          <w:numId w:val="2"/>
        </w:numPr>
        <w:spacing w:line="360" w:lineRule="auto"/>
        <w:rPr>
          <w:rFonts w:ascii="宋体" w:hAnsi="宋体"/>
          <w:bCs/>
          <w:sz w:val="24"/>
          <w:szCs w:val="22"/>
        </w:rPr>
      </w:pPr>
      <w:r>
        <w:rPr>
          <w:rFonts w:hint="eastAsia" w:ascii="宋体" w:hAnsi="宋体"/>
          <w:bCs/>
          <w:sz w:val="24"/>
          <w:szCs w:val="22"/>
        </w:rPr>
        <w:t>本技术规范书未尽事宜，由双方协商确定。</w:t>
      </w:r>
    </w:p>
    <w:p w14:paraId="0D1E0F13">
      <w:pPr>
        <w:numPr>
          <w:ilvl w:val="0"/>
          <w:numId w:val="2"/>
        </w:numPr>
        <w:spacing w:line="360" w:lineRule="auto"/>
        <w:rPr>
          <w:rFonts w:ascii="宋体" w:hAnsi="宋体"/>
          <w:bCs/>
          <w:sz w:val="24"/>
        </w:rPr>
      </w:pPr>
      <w:r>
        <w:rPr>
          <w:rFonts w:hint="eastAsia" w:ascii="宋体" w:hAnsi="宋体"/>
          <w:bCs/>
          <w:sz w:val="24"/>
        </w:rPr>
        <w:t>本标书的最终解释权归招标方。</w:t>
      </w:r>
    </w:p>
    <w:p w14:paraId="69B096B8">
      <w:pPr>
        <w:pStyle w:val="22"/>
        <w:spacing w:before="312"/>
        <w:rPr>
          <w:szCs w:val="22"/>
        </w:rPr>
      </w:pPr>
      <w:r>
        <w:rPr>
          <w:rFonts w:hint="eastAsia"/>
          <w:szCs w:val="22"/>
        </w:rPr>
        <w:br w:type="page"/>
      </w:r>
    </w:p>
    <w:p w14:paraId="7432BB10">
      <w:pPr>
        <w:pStyle w:val="22"/>
        <w:spacing w:before="312"/>
        <w:outlineLvl w:val="0"/>
        <w:rPr>
          <w:rFonts w:ascii="黑体" w:hAnsi="黑体" w:eastAsia="黑体" w:cs="黑体"/>
          <w:sz w:val="28"/>
          <w:szCs w:val="28"/>
        </w:rPr>
      </w:pPr>
      <w:bookmarkStart w:id="8" w:name="_Toc3738"/>
      <w:r>
        <w:rPr>
          <w:rFonts w:hint="eastAsia" w:ascii="黑体" w:hAnsi="黑体" w:eastAsia="黑体" w:cs="黑体"/>
          <w:sz w:val="28"/>
          <w:szCs w:val="28"/>
        </w:rPr>
        <w:t>1  标的概况</w:t>
      </w:r>
      <w:bookmarkEnd w:id="8"/>
    </w:p>
    <w:p w14:paraId="52559E81">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0"/>
        <w:rPr>
          <w:rFonts w:hint="eastAsia" w:asciiTheme="minorEastAsia" w:hAnsiTheme="minorEastAsia" w:eastAsiaTheme="minorEastAsia" w:cstheme="minorEastAsia"/>
          <w:color w:val="000000"/>
          <w:sz w:val="24"/>
          <w:lang w:val="en-US" w:eastAsia="zh-CN"/>
        </w:rPr>
      </w:pPr>
      <w:r>
        <w:rPr>
          <w:rFonts w:hint="eastAsia" w:asciiTheme="minorEastAsia" w:hAnsiTheme="minorEastAsia" w:eastAsiaTheme="minorEastAsia" w:cstheme="minorEastAsia"/>
          <w:color w:val="000000"/>
          <w:sz w:val="24"/>
          <w:lang w:val="en-US" w:eastAsia="zh-CN"/>
        </w:rPr>
        <w:t>标的名称：标的6：高压聚丙烯电缆附件匹配可靠性评估技术研究</w:t>
      </w:r>
      <w:bookmarkStart w:id="9" w:name="_Toc22746"/>
      <w:bookmarkStart w:id="10" w:name="_Toc30787"/>
    </w:p>
    <w:p w14:paraId="6B3D77EE">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0"/>
        <w:rPr>
          <w:rFonts w:hint="eastAsia" w:asciiTheme="minorEastAsia" w:hAnsiTheme="minorEastAsia" w:eastAsiaTheme="minorEastAsia" w:cstheme="minorEastAsia"/>
          <w:color w:val="000000"/>
          <w:sz w:val="24"/>
          <w:lang w:val="en-US" w:eastAsia="zh-CN"/>
        </w:rPr>
      </w:pPr>
      <w:r>
        <w:rPr>
          <w:rFonts w:hint="eastAsia" w:asciiTheme="minorEastAsia" w:hAnsiTheme="minorEastAsia" w:eastAsiaTheme="minorEastAsia" w:cstheme="minorEastAsia"/>
          <w:color w:val="000000"/>
          <w:sz w:val="24"/>
          <w:lang w:val="en-US" w:eastAsia="zh-CN"/>
        </w:rPr>
        <w:t>标包名称：</w:t>
      </w:r>
      <w:bookmarkEnd w:id="9"/>
      <w:bookmarkEnd w:id="10"/>
      <w:r>
        <w:rPr>
          <w:rFonts w:hint="eastAsia" w:asciiTheme="minorEastAsia" w:hAnsiTheme="minorEastAsia" w:eastAsiaTheme="minorEastAsia" w:cstheme="minorEastAsia"/>
          <w:color w:val="000000"/>
          <w:sz w:val="24"/>
          <w:lang w:val="en-US" w:eastAsia="zh-CN"/>
        </w:rPr>
        <w:t>标的6：高压聚丙烯电缆附件匹配可靠性评估技术研究</w:t>
      </w:r>
    </w:p>
    <w:p w14:paraId="0CCD385F">
      <w:pPr>
        <w:spacing w:line="360" w:lineRule="auto"/>
        <w:rPr>
          <w:rFonts w:hint="eastAsia" w:asciiTheme="minorEastAsia" w:hAnsiTheme="minorEastAsia" w:eastAsiaTheme="minorEastAsia" w:cstheme="minorEastAsia"/>
          <w:bCs/>
          <w:color w:val="C00000"/>
          <w:sz w:val="24"/>
        </w:rPr>
      </w:pPr>
      <w:r>
        <w:rPr>
          <w:rFonts w:hint="eastAsia" w:asciiTheme="minorEastAsia" w:hAnsiTheme="minorEastAsia" w:eastAsiaTheme="minorEastAsia" w:cstheme="minorEastAsia"/>
          <w:color w:val="000000"/>
          <w:sz w:val="24"/>
          <w:lang w:val="en-US" w:eastAsia="zh-CN"/>
        </w:rPr>
        <w:t>概况</w:t>
      </w:r>
      <w:r>
        <w:rPr>
          <w:rFonts w:hint="eastAsia" w:asciiTheme="minorEastAsia" w:hAnsiTheme="minorEastAsia" w:eastAsiaTheme="minorEastAsia" w:cstheme="minorEastAsia"/>
          <w:color w:val="000000"/>
          <w:sz w:val="24"/>
        </w:rPr>
        <w:t>：</w:t>
      </w:r>
      <w:r>
        <w:rPr>
          <w:color w:val="000000"/>
          <w:sz w:val="24"/>
        </w:rPr>
        <w:t>投标方应提供</w:t>
      </w:r>
      <w:r>
        <w:rPr>
          <w:rFonts w:hint="eastAsia"/>
          <w:color w:val="000000"/>
          <w:sz w:val="24"/>
        </w:rPr>
        <w:t>研究高压聚丙烯电缆接头界面匹配适应性；研究高压聚丙烯电缆终端结构与绝缘配合优化；研究高压聚丙烯电缆附件长期可靠性评价体系</w:t>
      </w:r>
      <w:r>
        <w:rPr>
          <w:color w:val="000000"/>
          <w:sz w:val="24"/>
        </w:rPr>
        <w:t>研究内容及相应成果。目的是为了掌握不同工况下高压聚丙烯电缆接头附件界面匹配特性，建立电缆终端多物理场耦合仿真模型，形成高压聚丙烯电缆终端附件结构优化设计方案。</w:t>
      </w:r>
    </w:p>
    <w:p w14:paraId="36748A10">
      <w:pPr>
        <w:pStyle w:val="22"/>
        <w:spacing w:before="312"/>
        <w:outlineLvl w:val="0"/>
        <w:rPr>
          <w:rFonts w:ascii="黑体" w:hAnsi="黑体" w:eastAsia="黑体" w:cs="黑体"/>
          <w:sz w:val="28"/>
          <w:szCs w:val="28"/>
        </w:rPr>
      </w:pPr>
      <w:bookmarkStart w:id="11" w:name="_Toc7667"/>
      <w:r>
        <w:rPr>
          <w:rFonts w:hint="eastAsia" w:ascii="黑体" w:hAnsi="黑体" w:eastAsia="黑体" w:cs="黑体"/>
          <w:sz w:val="28"/>
          <w:szCs w:val="28"/>
        </w:rPr>
        <w:t>2  研究内容及目的</w:t>
      </w:r>
      <w:bookmarkEnd w:id="11"/>
    </w:p>
    <w:p w14:paraId="73D4D04E">
      <w:pPr>
        <w:spacing w:line="360" w:lineRule="auto"/>
        <w:outlineLvl w:val="1"/>
        <w:rPr>
          <w:rFonts w:hint="eastAsia" w:ascii="黑体" w:hAnsi="黑体" w:eastAsia="黑体" w:cs="黑体"/>
          <w:bCs/>
          <w:sz w:val="24"/>
        </w:rPr>
      </w:pPr>
      <w:bookmarkStart w:id="12" w:name="_Toc29882"/>
      <w:r>
        <w:rPr>
          <w:rFonts w:hint="eastAsia" w:ascii="黑体" w:hAnsi="黑体" w:eastAsia="黑体" w:cs="黑体"/>
          <w:bCs/>
          <w:sz w:val="24"/>
        </w:rPr>
        <w:t>2.1 研究内容</w:t>
      </w:r>
      <w:bookmarkEnd w:id="12"/>
    </w:p>
    <w:p w14:paraId="269A3DFA">
      <w:pPr>
        <w:spacing w:line="360" w:lineRule="auto"/>
        <w:ind w:firstLine="480" w:firstLineChars="200"/>
        <w:rPr>
          <w:rFonts w:ascii="Times New Roman" w:hAnsi="Times New Roman" w:eastAsia="宋体" w:cs="Times New Roman"/>
          <w:color w:val="000000"/>
          <w:sz w:val="24"/>
        </w:rPr>
      </w:pPr>
      <w:r>
        <w:rPr>
          <w:rFonts w:hint="eastAsia" w:asciiTheme="minorEastAsia" w:hAnsiTheme="minorEastAsia" w:eastAsiaTheme="minorEastAsia" w:cstheme="minorEastAsia"/>
          <w:color w:val="000000"/>
          <w:sz w:val="24"/>
        </w:rPr>
        <w:t>研究内容一：</w:t>
      </w:r>
      <w:r>
        <w:rPr>
          <w:rFonts w:hint="eastAsia" w:ascii="Times New Roman" w:hAnsi="Times New Roman" w:eastAsia="宋体" w:cs="Times New Roman"/>
          <w:color w:val="000000"/>
          <w:sz w:val="24"/>
        </w:rPr>
        <w:t>研究高压聚丙烯电缆接头界面匹配适应性</w:t>
      </w:r>
    </w:p>
    <w:p w14:paraId="0E7F32AC">
      <w:pPr>
        <w:spacing w:line="360" w:lineRule="auto"/>
        <w:ind w:firstLine="480" w:firstLineChars="200"/>
        <w:rPr>
          <w:rFonts w:hint="eastAsia" w:ascii="Times New Roman" w:hAnsi="Times New Roman" w:eastAsia="宋体" w:cs="Times New Roman"/>
          <w:color w:val="000000"/>
          <w:sz w:val="24"/>
        </w:rPr>
      </w:pPr>
      <w:r>
        <w:rPr>
          <w:rFonts w:hint="eastAsia" w:ascii="Times New Roman" w:hAnsi="Times New Roman" w:eastAsia="宋体" w:cs="Times New Roman"/>
          <w:color w:val="000000"/>
          <w:sz w:val="24"/>
          <w:lang w:val="en-US" w:eastAsia="zh-CN"/>
        </w:rPr>
        <w:t>通过分析</w:t>
      </w:r>
      <w:r>
        <w:rPr>
          <w:rFonts w:hint="eastAsia" w:ascii="Times New Roman" w:hAnsi="Times New Roman" w:eastAsia="宋体" w:cs="Times New Roman"/>
          <w:color w:val="000000"/>
          <w:sz w:val="24"/>
        </w:rPr>
        <w:t>整体预制式中间接头与聚丙烯电缆本体在材料</w:t>
      </w:r>
      <w:r>
        <w:rPr>
          <w:rFonts w:hint="eastAsia" w:cs="Times New Roman"/>
          <w:color w:val="000000"/>
          <w:sz w:val="24"/>
          <w:lang w:eastAsia="zh-CN"/>
        </w:rPr>
        <w:t>结构，功能</w:t>
      </w:r>
      <w:r>
        <w:rPr>
          <w:rFonts w:hint="eastAsia" w:ascii="Times New Roman" w:hAnsi="Times New Roman" w:eastAsia="宋体" w:cs="Times New Roman"/>
          <w:color w:val="000000"/>
          <w:sz w:val="24"/>
        </w:rPr>
        <w:t>等方面的界面匹配特性，开发基于同源聚丙烯配方的绝缘线芯复合结构同位恢复技术，实现接头区域结构与电气性能的协同恢复。</w:t>
      </w:r>
    </w:p>
    <w:p w14:paraId="5D1DED0B">
      <w:pPr>
        <w:spacing w:line="360" w:lineRule="auto"/>
        <w:ind w:firstLine="480" w:firstLineChars="200"/>
        <w:rPr>
          <w:rFonts w:hint="eastAsia" w:ascii="Times New Roman" w:hAnsi="Times New Roman" w:eastAsia="宋体" w:cs="Times New Roman"/>
          <w:color w:val="000000"/>
          <w:sz w:val="24"/>
          <w:lang w:eastAsia="zh-CN"/>
        </w:rPr>
      </w:pPr>
      <w:r>
        <w:rPr>
          <w:rFonts w:hint="eastAsia" w:asciiTheme="minorEastAsia" w:hAnsiTheme="minorEastAsia" w:eastAsiaTheme="minorEastAsia" w:cstheme="minorEastAsia"/>
          <w:color w:val="000000"/>
          <w:sz w:val="24"/>
        </w:rPr>
        <w:t>研究内容二：</w:t>
      </w:r>
      <w:r>
        <w:rPr>
          <w:rFonts w:hint="eastAsia" w:ascii="Times New Roman" w:hAnsi="Times New Roman" w:eastAsia="宋体" w:cs="Times New Roman"/>
          <w:color w:val="000000"/>
          <w:sz w:val="24"/>
        </w:rPr>
        <w:t>研究高压聚丙烯电缆终端结构与绝缘配合优化</w:t>
      </w:r>
    </w:p>
    <w:p w14:paraId="7A113303">
      <w:pPr>
        <w:spacing w:line="360" w:lineRule="auto"/>
        <w:ind w:firstLine="480" w:firstLineChars="200"/>
        <w:rPr>
          <w:rFonts w:hint="eastAsia" w:ascii="Times New Roman" w:hAnsi="Times New Roman" w:eastAsia="宋体" w:cs="Times New Roman"/>
          <w:color w:val="000000"/>
          <w:sz w:val="24"/>
        </w:rPr>
      </w:pPr>
      <w:r>
        <w:rPr>
          <w:rFonts w:hint="eastAsia" w:ascii="Times New Roman" w:hAnsi="Times New Roman" w:eastAsia="宋体" w:cs="Times New Roman"/>
          <w:color w:val="000000"/>
          <w:sz w:val="24"/>
        </w:rPr>
        <w:t>基于聚丙烯材料物性参数及界面特性数据，建立非线性仿真模型，确保设计方案在特殊工况下的安全运行可靠性。</w:t>
      </w:r>
    </w:p>
    <w:p w14:paraId="5E3BCF80">
      <w:pPr>
        <w:spacing w:line="360" w:lineRule="auto"/>
        <w:ind w:firstLine="480" w:firstLineChars="200"/>
        <w:rPr>
          <w:rFonts w:ascii="Times New Roman" w:hAnsi="Times New Roman" w:eastAsia="宋体" w:cs="Times New Roman"/>
          <w:color w:val="000000"/>
          <w:sz w:val="24"/>
        </w:rPr>
      </w:pPr>
      <w:r>
        <w:rPr>
          <w:rFonts w:hint="eastAsia" w:asciiTheme="minorEastAsia" w:hAnsiTheme="minorEastAsia" w:eastAsiaTheme="minorEastAsia" w:cstheme="minorEastAsia"/>
          <w:color w:val="000000"/>
          <w:sz w:val="24"/>
        </w:rPr>
        <w:t>研究内容三：</w:t>
      </w:r>
      <w:r>
        <w:rPr>
          <w:rFonts w:hint="eastAsia" w:ascii="Times New Roman" w:hAnsi="Times New Roman" w:eastAsia="宋体" w:cs="Times New Roman"/>
          <w:color w:val="000000"/>
          <w:sz w:val="24"/>
        </w:rPr>
        <w:t>研究高压聚丙烯电缆附件长期可靠性评价体系</w:t>
      </w:r>
    </w:p>
    <w:p w14:paraId="25703677">
      <w:pPr>
        <w:spacing w:line="360" w:lineRule="auto"/>
        <w:ind w:firstLine="480" w:firstLineChars="200"/>
        <w:outlineLvl w:val="9"/>
        <w:rPr>
          <w:rFonts w:hint="eastAsia" w:ascii="黑体" w:hAnsi="黑体" w:eastAsia="黑体" w:cs="黑体"/>
          <w:bCs/>
          <w:sz w:val="24"/>
        </w:rPr>
      </w:pPr>
      <w:r>
        <w:rPr>
          <w:rFonts w:hint="eastAsia" w:ascii="Times New Roman" w:hAnsi="Times New Roman" w:eastAsia="宋体" w:cs="Times New Roman"/>
          <w:color w:val="000000"/>
          <w:sz w:val="24"/>
        </w:rPr>
        <w:t>分析电缆附件在电场、热场及环境应力耦合作用下的老化机理与失效模式，高压聚丙烯电缆系统综合性能试验回路，模拟实际运行工况下的电压、电流及热负荷条件，搭建具备长期稳定运行能力的综合试验平台。</w:t>
      </w:r>
    </w:p>
    <w:p w14:paraId="14DFDBCF">
      <w:pPr>
        <w:spacing w:line="360" w:lineRule="auto"/>
        <w:outlineLvl w:val="1"/>
        <w:rPr>
          <w:rFonts w:hint="eastAsia" w:ascii="黑体" w:hAnsi="黑体" w:eastAsia="黑体" w:cs="黑体"/>
          <w:bCs/>
          <w:sz w:val="24"/>
        </w:rPr>
      </w:pPr>
      <w:bookmarkStart w:id="13" w:name="_Toc22754"/>
      <w:r>
        <w:rPr>
          <w:rFonts w:hint="eastAsia" w:ascii="黑体" w:hAnsi="黑体" w:eastAsia="黑体" w:cs="黑体"/>
          <w:bCs/>
          <w:sz w:val="24"/>
        </w:rPr>
        <w:t>2.2 研究目的</w:t>
      </w:r>
      <w:bookmarkEnd w:id="13"/>
    </w:p>
    <w:p w14:paraId="43942D6D">
      <w:pPr>
        <w:spacing w:line="360" w:lineRule="auto"/>
        <w:ind w:firstLine="480" w:firstLineChars="200"/>
        <w:rPr>
          <w:rFonts w:hint="eastAsia" w:ascii="Times New Roman" w:hAnsi="Times New Roman" w:eastAsia="宋体" w:cs="Times New Roman"/>
          <w:color w:val="000000"/>
          <w:sz w:val="24"/>
        </w:rPr>
      </w:pPr>
      <w:r>
        <w:rPr>
          <w:rFonts w:hint="eastAsia" w:ascii="Times New Roman" w:hAnsi="Times New Roman" w:eastAsia="宋体" w:cs="Times New Roman"/>
          <w:color w:val="000000"/>
          <w:sz w:val="24"/>
          <w:lang w:val="en-US" w:eastAsia="zh-CN"/>
        </w:rPr>
        <w:t>通过</w:t>
      </w:r>
      <w:r>
        <w:rPr>
          <w:rFonts w:hint="eastAsia" w:ascii="Times New Roman" w:hAnsi="Times New Roman" w:eastAsia="宋体" w:cs="Times New Roman"/>
          <w:color w:val="000000"/>
          <w:sz w:val="24"/>
        </w:rPr>
        <w:t>研究掌握不同工况下高压聚丙烯电缆接头附件界面匹配特性，提出聚丙烯绝缘电缆接头绿色生态设计方法，建立电缆终端多物理场耦合仿真模型，形成高压聚丙烯电缆终端附件结构优化设计，构建高压聚丙烯电缆附件长期可靠性评价体系。</w:t>
      </w:r>
    </w:p>
    <w:p w14:paraId="7849DB8B">
      <w:pPr>
        <w:pStyle w:val="22"/>
        <w:spacing w:before="312"/>
        <w:outlineLvl w:val="0"/>
        <w:rPr>
          <w:rFonts w:ascii="黑体" w:hAnsi="黑体" w:eastAsia="黑体" w:cs="黑体"/>
          <w:sz w:val="28"/>
          <w:szCs w:val="28"/>
        </w:rPr>
      </w:pPr>
      <w:bookmarkStart w:id="14" w:name="_Toc20003"/>
      <w:r>
        <w:rPr>
          <w:rFonts w:hint="eastAsia" w:ascii="黑体" w:hAnsi="黑体" w:eastAsia="黑体" w:cs="黑体"/>
          <w:sz w:val="28"/>
          <w:szCs w:val="28"/>
        </w:rPr>
        <w:t>3  主要技术指标要求</w:t>
      </w:r>
      <w:bookmarkEnd w:id="14"/>
    </w:p>
    <w:p w14:paraId="0C979252">
      <w:pPr>
        <w:spacing w:line="360" w:lineRule="auto"/>
        <w:ind w:firstLine="480" w:firstLineChars="200"/>
        <w:rPr>
          <w:rFonts w:hint="eastAsia" w:ascii="Times New Roman" w:hAnsi="Times New Roman" w:eastAsia="宋体" w:cs="Times New Roman"/>
          <w:color w:val="000000"/>
          <w:sz w:val="24"/>
        </w:rPr>
      </w:pPr>
      <w:r>
        <w:rPr>
          <w:rFonts w:hint="eastAsia" w:eastAsia="宋体"/>
          <w:color w:val="000000"/>
          <w:sz w:val="24"/>
          <w:highlight w:val="none"/>
        </w:rPr>
        <w:t>高压聚丙烯电缆附件匹配可靠性评估技术研究</w:t>
      </w:r>
      <w:r>
        <w:rPr>
          <w:rFonts w:hint="eastAsia" w:ascii="Times New Roman" w:hAnsi="Times New Roman" w:eastAsia="宋体" w:cs="Times New Roman"/>
          <w:color w:val="000000"/>
          <w:sz w:val="24"/>
        </w:rPr>
        <w:t>，具体的技术指标如下：</w:t>
      </w:r>
    </w:p>
    <w:p w14:paraId="6CE28C96">
      <w:pPr>
        <w:numPr>
          <w:ilvl w:val="0"/>
          <w:numId w:val="3"/>
        </w:numPr>
        <w:adjustRightInd/>
        <w:snapToGrid/>
        <w:spacing w:line="360" w:lineRule="auto"/>
        <w:ind w:firstLine="480" w:firstLineChars="200"/>
        <w:textAlignment w:val="auto"/>
        <w:rPr>
          <w:rFonts w:hint="eastAsia" w:eastAsia="宋体"/>
          <w:color w:val="000000"/>
          <w:sz w:val="24"/>
          <w:lang w:eastAsia="zh-CN"/>
        </w:rPr>
      </w:pPr>
      <w:r>
        <w:rPr>
          <w:rFonts w:hint="eastAsia" w:eastAsia="宋体"/>
          <w:color w:val="000000"/>
          <w:sz w:val="24"/>
        </w:rPr>
        <w:t>界面性能指标</w:t>
      </w:r>
      <w:r>
        <w:rPr>
          <w:rFonts w:hint="eastAsia" w:eastAsia="宋体"/>
          <w:color w:val="000000"/>
          <w:sz w:val="24"/>
          <w:lang w:eastAsia="zh-CN"/>
        </w:rPr>
        <w:t>：</w:t>
      </w:r>
    </w:p>
    <w:p w14:paraId="3A221808">
      <w:pPr>
        <w:numPr>
          <w:ilvl w:val="0"/>
          <w:numId w:val="4"/>
        </w:numPr>
        <w:adjustRightInd/>
        <w:snapToGrid/>
        <w:spacing w:line="360" w:lineRule="auto"/>
        <w:ind w:firstLine="480" w:firstLineChars="200"/>
        <w:textAlignment w:val="auto"/>
        <w:rPr>
          <w:rFonts w:hint="eastAsia" w:eastAsia="宋体"/>
          <w:color w:val="000000"/>
          <w:sz w:val="24"/>
        </w:rPr>
      </w:pPr>
      <w:r>
        <w:rPr>
          <w:rFonts w:hint="eastAsia" w:eastAsia="宋体"/>
          <w:color w:val="000000"/>
          <w:sz w:val="24"/>
        </w:rPr>
        <w:t>绝缘界面样品体积电阻率不小于 1E12Ω·m，介电损耗不大于0.02，介电强度不小于18kV/mm；</w:t>
      </w:r>
    </w:p>
    <w:p w14:paraId="05949B5E">
      <w:pPr>
        <w:numPr>
          <w:ilvl w:val="0"/>
          <w:numId w:val="4"/>
        </w:numPr>
        <w:adjustRightInd/>
        <w:snapToGrid/>
        <w:spacing w:line="360" w:lineRule="auto"/>
        <w:ind w:firstLine="480" w:firstLineChars="200"/>
        <w:textAlignment w:val="auto"/>
        <w:rPr>
          <w:rFonts w:hint="eastAsia" w:eastAsia="宋体"/>
          <w:color w:val="000000"/>
          <w:sz w:val="24"/>
        </w:rPr>
      </w:pPr>
      <w:r>
        <w:rPr>
          <w:rFonts w:hint="eastAsia" w:eastAsia="宋体"/>
          <w:color w:val="000000"/>
          <w:sz w:val="24"/>
        </w:rPr>
        <w:t>屏蔽界面样品的体积电阻率不大于100Ω·m。</w:t>
      </w:r>
    </w:p>
    <w:p w14:paraId="7116CC4C">
      <w:pPr>
        <w:adjustRightInd/>
        <w:snapToGrid/>
        <w:spacing w:line="360" w:lineRule="auto"/>
        <w:ind w:firstLine="480" w:firstLineChars="200"/>
        <w:jc w:val="left"/>
        <w:textAlignment w:val="auto"/>
        <w:rPr>
          <w:rFonts w:hint="eastAsia" w:eastAsia="宋体"/>
          <w:color w:val="000000"/>
          <w:sz w:val="24"/>
        </w:rPr>
      </w:pPr>
      <w:r>
        <w:rPr>
          <w:rFonts w:hint="eastAsia"/>
          <w:color w:val="000000"/>
          <w:sz w:val="24"/>
          <w:lang w:val="en-US" w:eastAsia="zh-CN"/>
        </w:rPr>
        <w:t>2</w:t>
      </w:r>
      <w:r>
        <w:rPr>
          <w:rFonts w:hint="eastAsia" w:eastAsia="宋体"/>
          <w:color w:val="000000"/>
          <w:sz w:val="24"/>
        </w:rPr>
        <w:t>.电缆附件终端结构设计</w:t>
      </w:r>
      <w:r>
        <w:rPr>
          <w:rFonts w:hint="eastAsia" w:eastAsia="宋体"/>
          <w:color w:val="000000"/>
          <w:sz w:val="24"/>
          <w:lang w:val="en-US" w:eastAsia="zh-CN"/>
        </w:rPr>
        <w:t>中</w:t>
      </w:r>
      <w:r>
        <w:rPr>
          <w:rFonts w:hint="eastAsia" w:eastAsia="宋体"/>
          <w:color w:val="000000"/>
          <w:sz w:val="24"/>
        </w:rPr>
        <w:t>GIS终端充气压力不低于 0.25MPa。</w:t>
      </w:r>
    </w:p>
    <w:p w14:paraId="3FE00E20">
      <w:pPr>
        <w:adjustRightInd/>
        <w:snapToGrid/>
        <w:spacing w:line="360" w:lineRule="auto"/>
        <w:ind w:firstLine="480" w:firstLineChars="200"/>
        <w:jc w:val="left"/>
        <w:textAlignment w:val="auto"/>
        <w:rPr>
          <w:rFonts w:hint="eastAsia" w:eastAsia="宋体"/>
          <w:color w:val="000000"/>
          <w:sz w:val="24"/>
        </w:rPr>
      </w:pPr>
      <w:r>
        <w:rPr>
          <w:rFonts w:hint="eastAsia" w:cs="Times New Roman"/>
          <w:color w:val="000000"/>
          <w:sz w:val="24"/>
          <w:lang w:val="en-US" w:eastAsia="zh-CN"/>
        </w:rPr>
        <w:t>3.</w:t>
      </w:r>
      <w:r>
        <w:rPr>
          <w:rFonts w:hint="eastAsia" w:eastAsia="宋体"/>
          <w:color w:val="000000"/>
          <w:sz w:val="24"/>
        </w:rPr>
        <w:t>形成不低于5个关键参数的高压聚丙烯电缆附件长期可靠性试验评价指标集。</w:t>
      </w:r>
    </w:p>
    <w:p w14:paraId="633B0638">
      <w:pPr>
        <w:pStyle w:val="22"/>
        <w:spacing w:before="312"/>
        <w:outlineLvl w:val="0"/>
        <w:rPr>
          <w:rFonts w:hint="eastAsia" w:ascii="黑体" w:hAnsi="黑体" w:eastAsia="黑体" w:cs="黑体"/>
          <w:sz w:val="28"/>
          <w:szCs w:val="28"/>
          <w:highlight w:val="none"/>
        </w:rPr>
      </w:pPr>
      <w:bookmarkStart w:id="15" w:name="_Toc266713650"/>
      <w:bookmarkStart w:id="16" w:name="_Toc14246"/>
      <w:r>
        <w:rPr>
          <w:rFonts w:hint="eastAsia" w:ascii="黑体" w:hAnsi="黑体" w:eastAsia="黑体" w:cs="黑体"/>
          <w:sz w:val="28"/>
          <w:szCs w:val="28"/>
        </w:rPr>
        <w:t>4</w:t>
      </w:r>
      <w:r>
        <w:rPr>
          <w:rFonts w:hint="eastAsia" w:ascii="黑体" w:hAnsi="黑体" w:eastAsia="黑体" w:cs="黑体"/>
          <w:sz w:val="28"/>
          <w:szCs w:val="28"/>
          <w:highlight w:val="none"/>
        </w:rPr>
        <w:t xml:space="preserve">  时间进度要求</w:t>
      </w:r>
      <w:bookmarkEnd w:id="15"/>
      <w:bookmarkEnd w:id="16"/>
    </w:p>
    <w:tbl>
      <w:tblPr>
        <w:tblStyle w:val="13"/>
        <w:tblW w:w="8391"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62"/>
        <w:gridCol w:w="7629"/>
      </w:tblGrid>
      <w:tr w14:paraId="4CFC54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391" w:type="dxa"/>
            <w:gridSpan w:val="2"/>
            <w:tcBorders>
              <w:tl2br w:val="nil"/>
              <w:tr2bl w:val="nil"/>
            </w:tcBorders>
            <w:vAlign w:val="center"/>
          </w:tcPr>
          <w:p w14:paraId="0B865658">
            <w:pPr>
              <w:adjustRightInd w:val="0"/>
              <w:snapToGrid w:val="0"/>
              <w:jc w:val="center"/>
              <w:textAlignment w:val="center"/>
              <w:rPr>
                <w:rFonts w:ascii="宋体" w:hAnsi="宋体"/>
                <w:b w:val="0"/>
                <w:bCs/>
                <w:color w:val="000000"/>
                <w:szCs w:val="21"/>
                <w:highlight w:val="none"/>
              </w:rPr>
            </w:pPr>
            <w:r>
              <w:rPr>
                <w:rFonts w:hint="eastAsia" w:ascii="宋体" w:hAnsi="宋体"/>
                <w:b w:val="0"/>
                <w:bCs/>
                <w:color w:val="000000"/>
                <w:szCs w:val="21"/>
                <w:highlight w:val="none"/>
              </w:rPr>
              <w:t>进度计划</w:t>
            </w:r>
          </w:p>
        </w:tc>
      </w:tr>
      <w:tr w14:paraId="409B5CD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762" w:type="dxa"/>
            <w:tcBorders>
              <w:tl2br w:val="nil"/>
              <w:tr2bl w:val="nil"/>
            </w:tcBorders>
            <w:vAlign w:val="center"/>
          </w:tcPr>
          <w:p w14:paraId="10EE783D">
            <w:pPr>
              <w:adjustRightInd w:val="0"/>
              <w:snapToGrid w:val="0"/>
              <w:jc w:val="center"/>
              <w:textAlignment w:val="center"/>
              <w:rPr>
                <w:rFonts w:ascii="宋体" w:hAnsi="宋体"/>
                <w:b/>
                <w:color w:val="000000"/>
                <w:szCs w:val="21"/>
                <w:highlight w:val="none"/>
              </w:rPr>
            </w:pPr>
            <w:r>
              <w:rPr>
                <w:rFonts w:hint="eastAsia" w:ascii="宋体" w:hAnsi="宋体"/>
                <w:b/>
                <w:color w:val="000000"/>
                <w:szCs w:val="21"/>
                <w:highlight w:val="none"/>
              </w:rPr>
              <w:t>4</w:t>
            </w:r>
            <w:r>
              <w:rPr>
                <w:rFonts w:ascii="宋体" w:hAnsi="宋体"/>
                <w:b/>
                <w:color w:val="000000"/>
                <w:szCs w:val="21"/>
                <w:highlight w:val="none"/>
              </w:rPr>
              <w:t>.1</w:t>
            </w:r>
          </w:p>
        </w:tc>
        <w:tc>
          <w:tcPr>
            <w:tcW w:w="7629" w:type="dxa"/>
            <w:tcBorders>
              <w:tl2br w:val="nil"/>
              <w:tr2bl w:val="nil"/>
            </w:tcBorders>
            <w:vAlign w:val="center"/>
          </w:tcPr>
          <w:p w14:paraId="2D61A1B6">
            <w:pPr>
              <w:adjustRightInd w:val="0"/>
              <w:snapToGrid w:val="0"/>
              <w:textAlignment w:val="center"/>
              <w:rPr>
                <w:rFonts w:ascii="宋体" w:hAnsi="宋体"/>
                <w:b/>
                <w:color w:val="000000"/>
                <w:szCs w:val="21"/>
                <w:highlight w:val="none"/>
              </w:rPr>
            </w:pPr>
            <w:r>
              <w:rPr>
                <w:rFonts w:hint="eastAsia" w:ascii="宋体" w:hAnsi="宋体"/>
                <w:b/>
                <w:color w:val="000000"/>
                <w:szCs w:val="21"/>
                <w:highlight w:val="none"/>
              </w:rPr>
              <w:t>[</w:t>
            </w:r>
            <w:r>
              <w:rPr>
                <w:rFonts w:hint="eastAsia" w:ascii="宋体" w:hAnsi="宋体"/>
                <w:b/>
                <w:color w:val="000000"/>
                <w:szCs w:val="21"/>
                <w:highlight w:val="none"/>
                <w:lang w:val="en-US" w:eastAsia="zh-CN"/>
              </w:rPr>
              <w:t>自合同签订日起</w:t>
            </w:r>
            <w:r>
              <w:rPr>
                <w:rFonts w:hint="eastAsia" w:ascii="宋体" w:hAnsi="宋体"/>
                <w:b/>
                <w:color w:val="000000"/>
                <w:szCs w:val="21"/>
                <w:highlight w:val="none"/>
              </w:rPr>
              <w:t xml:space="preserve"> --</w:t>
            </w:r>
            <w:r>
              <w:rPr>
                <w:rFonts w:ascii="宋体" w:hAnsi="宋体"/>
                <w:b/>
                <w:color w:val="000000"/>
                <w:szCs w:val="21"/>
                <w:highlight w:val="none"/>
              </w:rPr>
              <w:t xml:space="preserve"> </w:t>
            </w:r>
            <w:r>
              <w:rPr>
                <w:rFonts w:hint="eastAsia" w:ascii="宋体" w:hAnsi="宋体"/>
                <w:b/>
                <w:color w:val="000000"/>
                <w:szCs w:val="21"/>
                <w:highlight w:val="none"/>
              </w:rPr>
              <w:t>202</w:t>
            </w:r>
            <w:r>
              <w:rPr>
                <w:rFonts w:hint="eastAsia" w:ascii="宋体" w:hAnsi="宋体"/>
                <w:b/>
                <w:color w:val="000000"/>
                <w:szCs w:val="21"/>
                <w:highlight w:val="none"/>
                <w:lang w:val="en-US" w:eastAsia="zh-CN"/>
              </w:rPr>
              <w:t>7</w:t>
            </w:r>
            <w:r>
              <w:rPr>
                <w:rFonts w:hint="eastAsia" w:ascii="宋体" w:hAnsi="宋体"/>
                <w:b/>
                <w:color w:val="000000"/>
                <w:szCs w:val="21"/>
                <w:highlight w:val="none"/>
              </w:rPr>
              <w:t>年</w:t>
            </w:r>
            <w:r>
              <w:rPr>
                <w:rFonts w:hint="eastAsia" w:ascii="宋体" w:hAnsi="宋体"/>
                <w:b/>
                <w:color w:val="000000"/>
                <w:szCs w:val="21"/>
                <w:highlight w:val="none"/>
                <w:lang w:val="en-US" w:eastAsia="zh-CN"/>
              </w:rPr>
              <w:t>5</w:t>
            </w:r>
            <w:r>
              <w:rPr>
                <w:rFonts w:hint="eastAsia" w:ascii="宋体" w:hAnsi="宋体"/>
                <w:b/>
                <w:color w:val="000000"/>
                <w:szCs w:val="21"/>
                <w:highlight w:val="none"/>
              </w:rPr>
              <w:t>月</w:t>
            </w:r>
            <w:r>
              <w:rPr>
                <w:rFonts w:hint="eastAsia" w:ascii="宋体" w:hAnsi="宋体"/>
                <w:b/>
                <w:color w:val="000000"/>
                <w:szCs w:val="21"/>
                <w:highlight w:val="none"/>
                <w:lang w:val="en-US" w:eastAsia="zh-CN"/>
              </w:rPr>
              <w:t>31</w:t>
            </w:r>
            <w:r>
              <w:rPr>
                <w:rFonts w:hint="eastAsia" w:ascii="宋体" w:hAnsi="宋体"/>
                <w:b/>
                <w:color w:val="000000"/>
                <w:szCs w:val="21"/>
                <w:highlight w:val="none"/>
              </w:rPr>
              <w:t>日]</w:t>
            </w:r>
          </w:p>
          <w:p w14:paraId="1766EDB8">
            <w:pPr>
              <w:adjustRightInd w:val="0"/>
              <w:snapToGrid w:val="0"/>
              <w:jc w:val="left"/>
              <w:textAlignment w:val="center"/>
              <w:rPr>
                <w:rFonts w:ascii="宋体" w:hAnsi="宋体"/>
                <w:b/>
                <w:color w:val="000000"/>
                <w:szCs w:val="21"/>
                <w:highlight w:val="none"/>
              </w:rPr>
            </w:pPr>
            <w:r>
              <w:rPr>
                <w:rFonts w:hint="eastAsia" w:ascii="宋体" w:hAnsi="宋体"/>
                <w:b/>
                <w:color w:val="000000"/>
                <w:szCs w:val="21"/>
                <w:highlight w:val="none"/>
              </w:rPr>
              <w:t>主要内容：</w:t>
            </w:r>
          </w:p>
          <w:p w14:paraId="22A10844">
            <w:pPr>
              <w:adjustRightInd w:val="0"/>
              <w:snapToGrid w:val="0"/>
              <w:spacing w:line="240" w:lineRule="auto"/>
              <w:ind w:right="0"/>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(1)</w:t>
            </w:r>
            <w:r>
              <w:rPr>
                <w:rFonts w:hint="eastAsia" w:asciiTheme="minorEastAsia" w:hAnsiTheme="minorEastAsia" w:eastAsiaTheme="minorEastAsia" w:cstheme="minorEastAsia"/>
                <w:sz w:val="21"/>
                <w:szCs w:val="21"/>
                <w:highlight w:val="none"/>
              </w:rPr>
              <w:t>启动聚丙烯材料配方参数调研，开展绿色生态设计方法研究，建立接头界面匹配的多物理场仿真模型。</w:t>
            </w:r>
          </w:p>
          <w:p w14:paraId="57079231">
            <w:pPr>
              <w:adjustRightInd w:val="0"/>
              <w:snapToGrid w:val="0"/>
              <w:spacing w:line="240" w:lineRule="auto"/>
              <w:ind w:right="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bCs/>
                <w:color w:val="auto"/>
                <w:sz w:val="21"/>
                <w:szCs w:val="21"/>
                <w:highlight w:val="none"/>
              </w:rPr>
              <w:t>(2)</w:t>
            </w:r>
            <w:r>
              <w:rPr>
                <w:rFonts w:hint="eastAsia" w:asciiTheme="minorEastAsia" w:hAnsiTheme="minorEastAsia" w:eastAsiaTheme="minorEastAsia" w:cstheme="minorEastAsia"/>
                <w:sz w:val="21"/>
                <w:szCs w:val="21"/>
                <w:highlight w:val="none"/>
              </w:rPr>
              <w:t>研发电缆绝缘线芯复合结构同位恢复技术，编制界面高温电气性能测试方法草案，制备绝缘及屏蔽界面试验样品。</w:t>
            </w:r>
          </w:p>
          <w:p w14:paraId="5D248B99">
            <w:pPr>
              <w:adjustRightInd w:val="0"/>
              <w:snapToGrid w:val="0"/>
              <w:spacing w:line="240" w:lineRule="auto"/>
              <w:ind w:right="0"/>
              <w:rPr>
                <w:rFonts w:hint="eastAsia" w:ascii="Times New Roman" w:hAnsi="Times New Roman" w:eastAsia="仿宋_GB2312" w:cs="Times New Roman"/>
                <w:sz w:val="24"/>
                <w:highlight w:val="none"/>
              </w:rPr>
            </w:pPr>
            <w:r>
              <w:rPr>
                <w:rFonts w:hint="eastAsia" w:asciiTheme="minorEastAsia" w:hAnsiTheme="minorEastAsia" w:eastAsiaTheme="minorEastAsia" w:cstheme="minorEastAsia"/>
                <w:bCs/>
                <w:color w:val="auto"/>
                <w:sz w:val="21"/>
                <w:szCs w:val="21"/>
                <w:highlight w:val="none"/>
              </w:rPr>
              <w:t>(</w:t>
            </w:r>
            <w:r>
              <w:rPr>
                <w:rFonts w:hint="eastAsia" w:asciiTheme="minorEastAsia" w:hAnsiTheme="minorEastAsia" w:eastAsiaTheme="minorEastAsia" w:cstheme="minorEastAsia"/>
                <w:bCs/>
                <w:color w:val="auto"/>
                <w:sz w:val="21"/>
                <w:szCs w:val="21"/>
                <w:highlight w:val="none"/>
                <w:lang w:val="en-US" w:eastAsia="zh-CN"/>
              </w:rPr>
              <w:t>3</w:t>
            </w:r>
            <w:r>
              <w:rPr>
                <w:rFonts w:hint="eastAsia" w:asciiTheme="minorEastAsia" w:hAnsiTheme="minorEastAsia" w:eastAsiaTheme="minorEastAsia" w:cstheme="minorEastAsia"/>
                <w:bCs/>
                <w:color w:val="auto"/>
                <w:sz w:val="21"/>
                <w:szCs w:val="21"/>
                <w:highlight w:val="none"/>
              </w:rPr>
              <w:t>)</w:t>
            </w:r>
            <w:r>
              <w:rPr>
                <w:rFonts w:hint="eastAsia" w:asciiTheme="minorEastAsia" w:hAnsiTheme="minorEastAsia" w:eastAsiaTheme="minorEastAsia" w:cstheme="minorEastAsia"/>
                <w:sz w:val="21"/>
                <w:szCs w:val="21"/>
                <w:highlight w:val="none"/>
              </w:rPr>
              <w:t>开展界面样品性能实测。验证绝缘界面体积电阻率率不小于 1E12Ω·m、屏蔽界面体积电阻率不大于100Ω·m等关键考核指标。</w:t>
            </w:r>
          </w:p>
          <w:p w14:paraId="05EE9B37">
            <w:pPr>
              <w:numPr>
                <w:ilvl w:val="0"/>
                <w:numId w:val="0"/>
              </w:numPr>
              <w:tabs>
                <w:tab w:val="left" w:pos="537"/>
                <w:tab w:val="left" w:pos="763"/>
              </w:tabs>
              <w:adjustRightInd w:val="0"/>
              <w:snapToGrid w:val="0"/>
              <w:ind w:leftChars="0"/>
              <w:jc w:val="left"/>
              <w:textAlignment w:val="center"/>
              <w:rPr>
                <w:rFonts w:hint="eastAsia" w:ascii="宋体" w:hAnsi="宋体"/>
                <w:b/>
                <w:color w:val="000000"/>
                <w:szCs w:val="21"/>
                <w:highlight w:val="none"/>
                <w:lang w:val="en-US" w:eastAsia="zh-CN"/>
              </w:rPr>
            </w:pPr>
            <w:r>
              <w:rPr>
                <w:rFonts w:hint="eastAsia" w:ascii="宋体" w:hAnsi="宋体"/>
                <w:b/>
                <w:color w:val="000000"/>
                <w:szCs w:val="21"/>
                <w:highlight w:val="none"/>
              </w:rPr>
              <w:t>交付</w:t>
            </w:r>
            <w:r>
              <w:rPr>
                <w:rFonts w:hint="eastAsia" w:ascii="宋体" w:hAnsi="宋体"/>
                <w:b/>
                <w:color w:val="000000"/>
                <w:szCs w:val="21"/>
                <w:highlight w:val="none"/>
                <w:lang w:val="en-US" w:eastAsia="zh-CN"/>
              </w:rPr>
              <w:t>物：</w:t>
            </w:r>
          </w:p>
          <w:p w14:paraId="21B4DA8F">
            <w:pPr>
              <w:numPr>
                <w:ilvl w:val="-1"/>
                <w:numId w:val="0"/>
              </w:numPr>
              <w:adjustRightInd w:val="0"/>
              <w:snapToGrid w:val="0"/>
              <w:ind w:left="0" w:leftChars="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bCs/>
                <w:color w:val="auto"/>
                <w:sz w:val="21"/>
                <w:szCs w:val="21"/>
                <w:highlight w:val="none"/>
              </w:rPr>
              <w:t>(1)</w:t>
            </w:r>
            <w:r>
              <w:rPr>
                <w:rFonts w:hint="eastAsia" w:asciiTheme="minorEastAsia" w:hAnsiTheme="minorEastAsia" w:eastAsiaTheme="minorEastAsia" w:cstheme="minorEastAsia"/>
                <w:sz w:val="21"/>
                <w:szCs w:val="21"/>
                <w:highlight w:val="none"/>
              </w:rPr>
              <w:t>《电缆附件与本体界面高温电气性能测试方法》</w:t>
            </w:r>
            <w:r>
              <w:rPr>
                <w:rFonts w:hint="eastAsia" w:asciiTheme="minorEastAsia" w:hAnsiTheme="minorEastAsia" w:eastAsiaTheme="minorEastAsia" w:cstheme="minorEastAsia"/>
                <w:sz w:val="21"/>
                <w:szCs w:val="21"/>
                <w:highlight w:val="none"/>
                <w:lang w:val="en-US" w:eastAsia="zh-CN"/>
              </w:rPr>
              <w:t>报告</w:t>
            </w:r>
            <w:r>
              <w:rPr>
                <w:rFonts w:hint="eastAsia" w:asciiTheme="minorEastAsia" w:hAnsiTheme="minorEastAsia" w:eastAsiaTheme="minorEastAsia" w:cstheme="minorEastAsia"/>
                <w:sz w:val="21"/>
                <w:szCs w:val="21"/>
                <w:highlight w:val="none"/>
              </w:rPr>
              <w:t>1份；</w:t>
            </w:r>
          </w:p>
          <w:p w14:paraId="4C312420">
            <w:pPr>
              <w:numPr>
                <w:ilvl w:val="-1"/>
                <w:numId w:val="0"/>
              </w:numPr>
              <w:adjustRightInd w:val="0"/>
              <w:snapToGrid w:val="0"/>
              <w:ind w:left="0" w:leftChars="0"/>
              <w:jc w:val="left"/>
              <w:textAlignment w:val="auto"/>
              <w:rPr>
                <w:rFonts w:hint="eastAsia" w:ascii="宋体" w:hAnsi="宋体"/>
                <w:b/>
                <w:color w:val="000000"/>
                <w:szCs w:val="21"/>
                <w:highlight w:val="none"/>
                <w:lang w:val="en-US" w:eastAsia="zh-CN"/>
              </w:rPr>
            </w:pPr>
            <w:r>
              <w:rPr>
                <w:rFonts w:hint="eastAsia" w:asciiTheme="minorEastAsia" w:hAnsiTheme="minorEastAsia" w:eastAsiaTheme="minorEastAsia" w:cstheme="minorEastAsia"/>
                <w:bCs/>
                <w:color w:val="auto"/>
                <w:sz w:val="21"/>
                <w:szCs w:val="21"/>
                <w:highlight w:val="none"/>
              </w:rPr>
              <w:t>(2)</w:t>
            </w:r>
            <w:r>
              <w:rPr>
                <w:rFonts w:hint="eastAsia" w:asciiTheme="minorEastAsia" w:hAnsiTheme="minorEastAsia" w:eastAsiaTheme="minorEastAsia" w:cstheme="minorEastAsia"/>
                <w:kern w:val="2"/>
                <w:sz w:val="21"/>
                <w:szCs w:val="21"/>
                <w:highlight w:val="none"/>
                <w:lang w:val="en-US" w:eastAsia="zh-CN" w:bidi="ar-SA"/>
              </w:rPr>
              <w:t>乙方根据甲方需求，</w:t>
            </w:r>
            <w:r>
              <w:rPr>
                <w:rFonts w:hint="eastAsia" w:asciiTheme="minorEastAsia" w:hAnsiTheme="minorEastAsia" w:eastAsiaTheme="minorEastAsia" w:cstheme="minorEastAsia"/>
                <w:sz w:val="21"/>
                <w:szCs w:val="21"/>
                <w:highlight w:val="none"/>
              </w:rPr>
              <w:t>协助完成1篇项目相关论文选题、文献检索、论证方法、数据分析、文本修改的指导服务，直至论文录用或发表</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协助提供2份项目相关发明专利选题、文献检索、论证方法、数据分析、文本修改的指导服务，直至发明专利受理。</w:t>
            </w:r>
          </w:p>
        </w:tc>
      </w:tr>
      <w:tr w14:paraId="5E571B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762" w:type="dxa"/>
            <w:tcBorders>
              <w:tl2br w:val="nil"/>
              <w:tr2bl w:val="nil"/>
            </w:tcBorders>
            <w:vAlign w:val="center"/>
          </w:tcPr>
          <w:p w14:paraId="06729814">
            <w:pPr>
              <w:widowControl/>
              <w:jc w:val="center"/>
              <w:rPr>
                <w:rFonts w:ascii="宋体" w:hAnsi="宋体"/>
                <w:b/>
                <w:color w:val="000000"/>
                <w:szCs w:val="21"/>
                <w:highlight w:val="none"/>
              </w:rPr>
            </w:pPr>
            <w:r>
              <w:rPr>
                <w:rFonts w:hint="eastAsia" w:ascii="宋体" w:hAnsi="宋体"/>
                <w:b/>
                <w:color w:val="000000"/>
                <w:szCs w:val="21"/>
                <w:highlight w:val="none"/>
              </w:rPr>
              <w:t>4</w:t>
            </w:r>
            <w:r>
              <w:rPr>
                <w:rFonts w:ascii="宋体" w:hAnsi="宋体"/>
                <w:b/>
                <w:color w:val="000000"/>
                <w:szCs w:val="21"/>
                <w:highlight w:val="none"/>
              </w:rPr>
              <w:t>.2</w:t>
            </w:r>
          </w:p>
        </w:tc>
        <w:tc>
          <w:tcPr>
            <w:tcW w:w="7629" w:type="dxa"/>
            <w:tcBorders>
              <w:tl2br w:val="nil"/>
              <w:tr2bl w:val="nil"/>
            </w:tcBorders>
            <w:vAlign w:val="center"/>
          </w:tcPr>
          <w:p w14:paraId="0036A47A">
            <w:pPr>
              <w:numPr>
                <w:ilvl w:val="0"/>
                <w:numId w:val="0"/>
              </w:numPr>
              <w:adjustRightInd w:val="0"/>
              <w:snapToGrid w:val="0"/>
              <w:jc w:val="left"/>
              <w:textAlignment w:val="auto"/>
              <w:rPr>
                <w:rFonts w:ascii="宋体" w:hAnsi="宋体"/>
                <w:b/>
                <w:color w:val="000000"/>
                <w:szCs w:val="21"/>
                <w:highlight w:val="none"/>
              </w:rPr>
            </w:pPr>
            <w:r>
              <w:rPr>
                <w:rFonts w:hint="eastAsia" w:ascii="宋体" w:hAnsi="宋体"/>
                <w:b/>
                <w:color w:val="000000"/>
                <w:szCs w:val="21"/>
                <w:highlight w:val="none"/>
              </w:rPr>
              <w:t>[202</w:t>
            </w:r>
            <w:r>
              <w:rPr>
                <w:rFonts w:hint="eastAsia" w:ascii="宋体" w:hAnsi="宋体"/>
                <w:b/>
                <w:color w:val="000000"/>
                <w:szCs w:val="21"/>
                <w:highlight w:val="none"/>
                <w:lang w:val="en-US" w:eastAsia="zh-CN"/>
              </w:rPr>
              <w:t>7</w:t>
            </w:r>
            <w:r>
              <w:rPr>
                <w:rFonts w:hint="eastAsia" w:ascii="宋体" w:hAnsi="宋体"/>
                <w:b/>
                <w:color w:val="000000"/>
                <w:szCs w:val="21"/>
                <w:highlight w:val="none"/>
              </w:rPr>
              <w:t>年</w:t>
            </w:r>
            <w:r>
              <w:rPr>
                <w:rFonts w:hint="eastAsia" w:ascii="宋体" w:hAnsi="宋体"/>
                <w:b/>
                <w:color w:val="000000"/>
                <w:szCs w:val="21"/>
                <w:highlight w:val="none"/>
                <w:lang w:val="en-US" w:eastAsia="zh-CN"/>
              </w:rPr>
              <w:t>6</w:t>
            </w:r>
            <w:r>
              <w:rPr>
                <w:rFonts w:hint="eastAsia" w:ascii="宋体" w:hAnsi="宋体"/>
                <w:b/>
                <w:color w:val="000000"/>
                <w:szCs w:val="21"/>
                <w:highlight w:val="none"/>
              </w:rPr>
              <w:t>月</w:t>
            </w:r>
            <w:r>
              <w:rPr>
                <w:rFonts w:hint="eastAsia" w:ascii="宋体" w:hAnsi="宋体"/>
                <w:b/>
                <w:color w:val="000000"/>
                <w:szCs w:val="21"/>
                <w:highlight w:val="none"/>
                <w:lang w:val="en-US" w:eastAsia="zh-CN"/>
              </w:rPr>
              <w:t>1</w:t>
            </w:r>
            <w:r>
              <w:rPr>
                <w:rFonts w:hint="eastAsia" w:ascii="宋体" w:hAnsi="宋体"/>
                <w:b/>
                <w:color w:val="000000"/>
                <w:szCs w:val="21"/>
                <w:highlight w:val="none"/>
              </w:rPr>
              <w:t>日 - 202</w:t>
            </w:r>
            <w:r>
              <w:rPr>
                <w:rFonts w:hint="eastAsia" w:ascii="宋体" w:hAnsi="宋体"/>
                <w:b/>
                <w:color w:val="000000"/>
                <w:szCs w:val="21"/>
                <w:highlight w:val="none"/>
                <w:lang w:val="en-US" w:eastAsia="zh-CN"/>
              </w:rPr>
              <w:t>7</w:t>
            </w:r>
            <w:r>
              <w:rPr>
                <w:rFonts w:hint="eastAsia" w:ascii="宋体" w:hAnsi="宋体"/>
                <w:b/>
                <w:color w:val="000000"/>
                <w:szCs w:val="21"/>
                <w:highlight w:val="none"/>
              </w:rPr>
              <w:t>年</w:t>
            </w:r>
            <w:r>
              <w:rPr>
                <w:rFonts w:hint="eastAsia" w:ascii="宋体" w:hAnsi="宋体"/>
                <w:b/>
                <w:color w:val="000000"/>
                <w:szCs w:val="21"/>
                <w:highlight w:val="none"/>
                <w:lang w:val="en-US" w:eastAsia="zh-CN"/>
              </w:rPr>
              <w:t>12</w:t>
            </w:r>
            <w:r>
              <w:rPr>
                <w:rFonts w:hint="eastAsia" w:ascii="宋体" w:hAnsi="宋体"/>
                <w:b/>
                <w:color w:val="000000"/>
                <w:szCs w:val="21"/>
                <w:highlight w:val="none"/>
              </w:rPr>
              <w:t>月31日]</w:t>
            </w:r>
          </w:p>
          <w:p w14:paraId="4FC77F31">
            <w:pPr>
              <w:numPr>
                <w:ilvl w:val="0"/>
                <w:numId w:val="0"/>
              </w:numPr>
              <w:adjustRightInd w:val="0"/>
              <w:snapToGrid w:val="0"/>
              <w:jc w:val="left"/>
              <w:textAlignment w:val="auto"/>
              <w:rPr>
                <w:rFonts w:ascii="宋体" w:hAnsi="宋体"/>
                <w:b/>
                <w:color w:val="000000"/>
                <w:szCs w:val="21"/>
                <w:highlight w:val="none"/>
              </w:rPr>
            </w:pPr>
            <w:r>
              <w:rPr>
                <w:rFonts w:hint="eastAsia" w:ascii="宋体" w:hAnsi="宋体"/>
                <w:b/>
                <w:color w:val="000000"/>
                <w:szCs w:val="21"/>
                <w:highlight w:val="none"/>
              </w:rPr>
              <w:t>主要内容：</w:t>
            </w:r>
          </w:p>
          <w:p w14:paraId="5FB35061">
            <w:pPr>
              <w:numPr>
                <w:ilvl w:val="-1"/>
                <w:numId w:val="0"/>
              </w:numPr>
              <w:adjustRightInd w:val="0"/>
              <w:snapToGrid w:val="0"/>
              <w:ind w:left="0" w:leftChars="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(1)构建GIS与户外终端附件多物理场耦合仿真模型</w:t>
            </w:r>
            <w:r>
              <w:rPr>
                <w:rFonts w:hint="eastAsia" w:asciiTheme="minorEastAsia" w:hAnsiTheme="minorEastAsia" w:eastAsiaTheme="minorEastAsia" w:cstheme="minorEastAsia"/>
                <w:sz w:val="21"/>
                <w:szCs w:val="21"/>
                <w:highlight w:val="none"/>
                <w:lang w:val="en-US" w:eastAsia="zh-CN"/>
              </w:rPr>
              <w:t>1个</w:t>
            </w:r>
            <w:r>
              <w:rPr>
                <w:rFonts w:hint="eastAsia" w:asciiTheme="minorEastAsia" w:hAnsiTheme="minorEastAsia" w:eastAsiaTheme="minorEastAsia" w:cstheme="minorEastAsia"/>
                <w:sz w:val="21"/>
                <w:szCs w:val="21"/>
                <w:highlight w:val="none"/>
              </w:rPr>
              <w:t>，研究油-固、固-固多重界面匹配特性及绝缘裕度。</w:t>
            </w:r>
          </w:p>
          <w:p w14:paraId="723AEE12">
            <w:pPr>
              <w:numPr>
                <w:ilvl w:val="-1"/>
                <w:numId w:val="0"/>
              </w:numPr>
              <w:adjustRightInd w:val="0"/>
              <w:snapToGrid w:val="0"/>
              <w:ind w:left="0" w:leftChars="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(2)开展终端结构优化设计。提出中间接头、户外终端设计方案；进行特殊工况下的结构适应性对比验证。</w:t>
            </w:r>
          </w:p>
          <w:p w14:paraId="39B1450E">
            <w:pPr>
              <w:numPr>
                <w:ilvl w:val="-1"/>
                <w:numId w:val="0"/>
              </w:numPr>
              <w:adjustRightInd w:val="0"/>
              <w:snapToGrid w:val="0"/>
              <w:ind w:left="0" w:leftChars="0"/>
              <w:jc w:val="left"/>
              <w:textAlignment w:val="auto"/>
              <w:rPr>
                <w:rFonts w:hint="eastAsia" w:ascii="Times New Roman" w:hAnsi="Times New Roman" w:eastAsia="仿宋_GB2312" w:cs="Times New Roman"/>
                <w:sz w:val="24"/>
                <w:highlight w:val="none"/>
              </w:rPr>
            </w:pPr>
            <w:r>
              <w:rPr>
                <w:rFonts w:hint="eastAsia" w:asciiTheme="minorEastAsia" w:hAnsiTheme="minorEastAsia" w:eastAsiaTheme="minorEastAsia" w:cstheme="minorEastAsia"/>
                <w:sz w:val="21"/>
                <w:szCs w:val="21"/>
                <w:highlight w:val="none"/>
              </w:rPr>
              <w:t>(3)完成GIS终端结构方案定稿。确保GIS终端充气压力不低于 0.25MPa，完成全系列附件结构设计方案汇编。</w:t>
            </w:r>
          </w:p>
          <w:p w14:paraId="1C9CC641">
            <w:pPr>
              <w:numPr>
                <w:ilvl w:val="-1"/>
                <w:numId w:val="0"/>
              </w:numPr>
              <w:adjustRightInd w:val="0"/>
              <w:snapToGrid w:val="0"/>
              <w:ind w:leftChars="0"/>
              <w:jc w:val="left"/>
              <w:textAlignment w:val="auto"/>
              <w:rPr>
                <w:rFonts w:hint="eastAsia" w:ascii="宋体" w:hAnsi="宋体"/>
                <w:b/>
                <w:color w:val="000000"/>
                <w:szCs w:val="21"/>
                <w:highlight w:val="none"/>
                <w:lang w:val="en-US" w:eastAsia="zh-CN"/>
              </w:rPr>
            </w:pPr>
            <w:r>
              <w:rPr>
                <w:rFonts w:hint="eastAsia" w:ascii="宋体" w:hAnsi="宋体"/>
                <w:b/>
                <w:color w:val="000000"/>
                <w:szCs w:val="21"/>
                <w:highlight w:val="none"/>
              </w:rPr>
              <w:t>交付</w:t>
            </w:r>
            <w:r>
              <w:rPr>
                <w:rFonts w:hint="eastAsia" w:ascii="宋体" w:hAnsi="宋体"/>
                <w:b/>
                <w:color w:val="000000"/>
                <w:szCs w:val="21"/>
                <w:highlight w:val="none"/>
                <w:lang w:val="en-US" w:eastAsia="zh-CN"/>
              </w:rPr>
              <w:t>物：</w:t>
            </w:r>
          </w:p>
          <w:p w14:paraId="3C14548A">
            <w:pPr>
              <w:numPr>
                <w:ilvl w:val="-1"/>
                <w:numId w:val="0"/>
              </w:numPr>
              <w:adjustRightInd w:val="0"/>
              <w:snapToGrid w:val="0"/>
              <w:ind w:left="0" w:leftChars="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(1)《电缆终端附件绝缘配合仿真分析报告》1份；《中间接头、户外终端结构设计方案》各1份；《GIS终端结构设计方案》1份（含压力指标验证）；</w:t>
            </w:r>
          </w:p>
          <w:p w14:paraId="5A003E98">
            <w:pPr>
              <w:numPr>
                <w:ilvl w:val="-1"/>
                <w:numId w:val="0"/>
              </w:numPr>
              <w:adjustRightInd w:val="0"/>
              <w:snapToGrid w:val="0"/>
              <w:jc w:val="left"/>
              <w:textAlignment w:val="auto"/>
              <w:rPr>
                <w:rFonts w:hint="default" w:ascii="Times New Roman" w:hAnsi="Times New Roman" w:eastAsia="仿宋_GB2312" w:cs="Times New Roman"/>
                <w:sz w:val="24"/>
                <w:highlight w:val="none"/>
                <w:lang w:val="en-US" w:eastAsia="zh-CN"/>
              </w:rPr>
            </w:pPr>
            <w:r>
              <w:rPr>
                <w:rFonts w:hint="eastAsia" w:asciiTheme="minorEastAsia" w:hAnsiTheme="minorEastAsia" w:eastAsiaTheme="minorEastAsia" w:cstheme="minorEastAsia"/>
                <w:sz w:val="21"/>
                <w:szCs w:val="21"/>
                <w:highlight w:val="none"/>
              </w:rPr>
              <w:t>(2)</w:t>
            </w:r>
            <w:r>
              <w:rPr>
                <w:rFonts w:hint="eastAsia" w:asciiTheme="minorEastAsia" w:hAnsiTheme="minorEastAsia" w:eastAsiaTheme="minorEastAsia" w:cstheme="minorEastAsia"/>
                <w:kern w:val="2"/>
                <w:sz w:val="21"/>
                <w:szCs w:val="21"/>
                <w:highlight w:val="none"/>
                <w:lang w:val="en-US" w:eastAsia="zh-CN" w:bidi="ar-SA"/>
              </w:rPr>
              <w:t>乙方根据甲方需求，</w:t>
            </w:r>
            <w:r>
              <w:rPr>
                <w:rFonts w:hint="eastAsia" w:asciiTheme="minorEastAsia" w:hAnsiTheme="minorEastAsia" w:eastAsiaTheme="minorEastAsia" w:cstheme="minorEastAsia"/>
                <w:sz w:val="21"/>
                <w:szCs w:val="21"/>
                <w:highlight w:val="none"/>
              </w:rPr>
              <w:t>协助完成</w:t>
            </w:r>
            <w:r>
              <w:rPr>
                <w:rFonts w:hint="eastAsia" w:asciiTheme="minorEastAsia" w:hAnsiTheme="minorEastAsia" w:eastAsiaTheme="minorEastAsia" w:cstheme="minorEastAsia"/>
                <w:sz w:val="21"/>
                <w:szCs w:val="21"/>
                <w:highlight w:val="none"/>
                <w:lang w:val="en-US" w:eastAsia="zh-CN"/>
              </w:rPr>
              <w:t>1</w:t>
            </w:r>
            <w:r>
              <w:rPr>
                <w:rFonts w:hint="eastAsia" w:asciiTheme="minorEastAsia" w:hAnsiTheme="minorEastAsia" w:eastAsiaTheme="minorEastAsia" w:cstheme="minorEastAsia"/>
                <w:sz w:val="21"/>
                <w:szCs w:val="21"/>
                <w:highlight w:val="none"/>
              </w:rPr>
              <w:t>篇项目相关论文选题、文献检索、论证方法、数据分析、文本修改的指导服务，直至论文录用或发表</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协助提供2份项目相关发明专利选题、文献检索、论证方法、数据分析、文本修改的指导服务，直至发明专利受理。</w:t>
            </w:r>
          </w:p>
        </w:tc>
      </w:tr>
      <w:tr w14:paraId="2B14CCA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59" w:hRule="atLeast"/>
        </w:trPr>
        <w:tc>
          <w:tcPr>
            <w:tcW w:w="762" w:type="dxa"/>
            <w:tcBorders>
              <w:tl2br w:val="nil"/>
              <w:tr2bl w:val="nil"/>
            </w:tcBorders>
            <w:vAlign w:val="center"/>
          </w:tcPr>
          <w:p w14:paraId="4B87CFEB">
            <w:pPr>
              <w:widowControl/>
              <w:jc w:val="center"/>
              <w:rPr>
                <w:rFonts w:hint="default" w:ascii="宋体" w:hAnsi="宋体" w:eastAsia="宋体"/>
                <w:b/>
                <w:color w:val="000000"/>
                <w:szCs w:val="21"/>
                <w:highlight w:val="none"/>
                <w:lang w:val="en-US" w:eastAsia="zh-CN"/>
              </w:rPr>
            </w:pPr>
            <w:r>
              <w:rPr>
                <w:rFonts w:hint="eastAsia" w:ascii="宋体" w:hAnsi="宋体"/>
                <w:b/>
                <w:color w:val="000000"/>
                <w:szCs w:val="21"/>
                <w:highlight w:val="none"/>
                <w:lang w:val="en-US" w:eastAsia="zh-CN"/>
              </w:rPr>
              <w:t>4.3</w:t>
            </w:r>
          </w:p>
        </w:tc>
        <w:tc>
          <w:tcPr>
            <w:tcW w:w="7629" w:type="dxa"/>
            <w:tcBorders>
              <w:tl2br w:val="nil"/>
              <w:tr2bl w:val="nil"/>
            </w:tcBorders>
            <w:vAlign w:val="center"/>
          </w:tcPr>
          <w:p w14:paraId="2BAE85D8">
            <w:pPr>
              <w:adjustRightInd w:val="0"/>
              <w:snapToGrid w:val="0"/>
              <w:textAlignment w:val="center"/>
              <w:rPr>
                <w:rFonts w:ascii="宋体" w:hAnsi="宋体"/>
                <w:b/>
                <w:color w:val="000000"/>
                <w:szCs w:val="21"/>
                <w:highlight w:val="none"/>
              </w:rPr>
            </w:pPr>
            <w:r>
              <w:rPr>
                <w:rFonts w:hint="eastAsia" w:ascii="宋体" w:hAnsi="宋体"/>
                <w:b/>
                <w:color w:val="000000"/>
                <w:szCs w:val="21"/>
                <w:highlight w:val="none"/>
              </w:rPr>
              <w:t>[202</w:t>
            </w:r>
            <w:r>
              <w:rPr>
                <w:rFonts w:hint="eastAsia" w:ascii="宋体" w:hAnsi="宋体"/>
                <w:b/>
                <w:color w:val="000000"/>
                <w:szCs w:val="21"/>
                <w:highlight w:val="none"/>
                <w:lang w:val="en-US" w:eastAsia="zh-CN"/>
              </w:rPr>
              <w:t>8</w:t>
            </w:r>
            <w:r>
              <w:rPr>
                <w:rFonts w:hint="eastAsia" w:ascii="宋体" w:hAnsi="宋体"/>
                <w:b/>
                <w:color w:val="000000"/>
                <w:szCs w:val="21"/>
                <w:highlight w:val="none"/>
              </w:rPr>
              <w:t>年</w:t>
            </w:r>
            <w:r>
              <w:rPr>
                <w:rFonts w:hint="eastAsia" w:ascii="宋体" w:hAnsi="宋体"/>
                <w:b/>
                <w:color w:val="000000"/>
                <w:szCs w:val="21"/>
                <w:highlight w:val="none"/>
                <w:lang w:val="en-US" w:eastAsia="zh-CN"/>
              </w:rPr>
              <w:t>1</w:t>
            </w:r>
            <w:r>
              <w:rPr>
                <w:rFonts w:hint="eastAsia" w:ascii="宋体" w:hAnsi="宋体"/>
                <w:b/>
                <w:color w:val="000000"/>
                <w:szCs w:val="21"/>
                <w:highlight w:val="none"/>
              </w:rPr>
              <w:t>月</w:t>
            </w:r>
            <w:r>
              <w:rPr>
                <w:rFonts w:hint="eastAsia" w:ascii="宋体" w:hAnsi="宋体"/>
                <w:b/>
                <w:color w:val="000000"/>
                <w:szCs w:val="21"/>
                <w:highlight w:val="none"/>
                <w:lang w:val="en-US" w:eastAsia="zh-CN"/>
              </w:rPr>
              <w:t>1</w:t>
            </w:r>
            <w:r>
              <w:rPr>
                <w:rFonts w:hint="eastAsia" w:ascii="宋体" w:hAnsi="宋体"/>
                <w:b/>
                <w:color w:val="000000"/>
                <w:szCs w:val="21"/>
                <w:highlight w:val="none"/>
              </w:rPr>
              <w:t>日 - 202</w:t>
            </w:r>
            <w:r>
              <w:rPr>
                <w:rFonts w:hint="eastAsia" w:ascii="宋体" w:hAnsi="宋体"/>
                <w:b/>
                <w:color w:val="000000"/>
                <w:szCs w:val="21"/>
                <w:highlight w:val="none"/>
                <w:lang w:val="en-US" w:eastAsia="zh-CN"/>
              </w:rPr>
              <w:t>8</w:t>
            </w:r>
            <w:r>
              <w:rPr>
                <w:rFonts w:hint="eastAsia" w:ascii="宋体" w:hAnsi="宋体"/>
                <w:b/>
                <w:color w:val="000000"/>
                <w:szCs w:val="21"/>
                <w:highlight w:val="none"/>
              </w:rPr>
              <w:t>年</w:t>
            </w:r>
            <w:r>
              <w:rPr>
                <w:rFonts w:hint="eastAsia" w:ascii="宋体" w:hAnsi="宋体"/>
                <w:b/>
                <w:color w:val="000000"/>
                <w:szCs w:val="21"/>
                <w:highlight w:val="none"/>
                <w:lang w:val="en-US" w:eastAsia="zh-CN"/>
              </w:rPr>
              <w:t>2</w:t>
            </w:r>
            <w:r>
              <w:rPr>
                <w:rFonts w:hint="eastAsia" w:ascii="宋体" w:hAnsi="宋体"/>
                <w:b/>
                <w:color w:val="000000"/>
                <w:szCs w:val="21"/>
                <w:highlight w:val="none"/>
              </w:rPr>
              <w:t>月</w:t>
            </w:r>
            <w:r>
              <w:rPr>
                <w:rFonts w:hint="eastAsia" w:ascii="宋体" w:hAnsi="宋体"/>
                <w:b/>
                <w:color w:val="000000"/>
                <w:szCs w:val="21"/>
                <w:highlight w:val="none"/>
                <w:lang w:val="en-US" w:eastAsia="zh-CN"/>
              </w:rPr>
              <w:t>28</w:t>
            </w:r>
            <w:r>
              <w:rPr>
                <w:rFonts w:hint="eastAsia" w:ascii="宋体" w:hAnsi="宋体"/>
                <w:b/>
                <w:color w:val="000000"/>
                <w:szCs w:val="21"/>
                <w:highlight w:val="none"/>
              </w:rPr>
              <w:t>日]</w:t>
            </w:r>
          </w:p>
          <w:p w14:paraId="5CC7A7CE">
            <w:pPr>
              <w:adjustRightInd w:val="0"/>
              <w:snapToGrid w:val="0"/>
              <w:jc w:val="left"/>
              <w:textAlignment w:val="center"/>
              <w:rPr>
                <w:rFonts w:hint="default" w:ascii="宋体" w:hAnsi="宋体" w:eastAsia="宋体"/>
                <w:b/>
                <w:color w:val="000000"/>
                <w:szCs w:val="21"/>
                <w:highlight w:val="none"/>
                <w:lang w:val="en-US" w:eastAsia="zh-CN"/>
              </w:rPr>
            </w:pPr>
            <w:r>
              <w:rPr>
                <w:rFonts w:hint="eastAsia" w:ascii="宋体" w:hAnsi="宋体"/>
                <w:b/>
                <w:color w:val="000000"/>
                <w:szCs w:val="21"/>
                <w:highlight w:val="none"/>
              </w:rPr>
              <w:t>主要内容：</w:t>
            </w:r>
            <w:r>
              <w:rPr>
                <w:rFonts w:hint="eastAsia" w:ascii="宋体" w:hAnsi="宋体"/>
                <w:b w:val="0"/>
                <w:bCs/>
                <w:color w:val="000000"/>
                <w:szCs w:val="21"/>
                <w:highlight w:val="none"/>
                <w:lang w:eastAsia="zh-CN"/>
              </w:rPr>
              <w:t>中期</w:t>
            </w:r>
            <w:r>
              <w:rPr>
                <w:rFonts w:hint="eastAsia" w:ascii="宋体" w:hAnsi="宋体"/>
                <w:b w:val="0"/>
                <w:bCs/>
                <w:color w:val="000000"/>
                <w:szCs w:val="21"/>
                <w:highlight w:val="none"/>
                <w:lang w:val="en-US" w:eastAsia="zh-CN"/>
              </w:rPr>
              <w:t>检查报告</w:t>
            </w:r>
          </w:p>
          <w:p w14:paraId="6947BAE8">
            <w:pPr>
              <w:numPr>
                <w:ilvl w:val="0"/>
                <w:numId w:val="0"/>
              </w:numPr>
              <w:tabs>
                <w:tab w:val="left" w:pos="537"/>
                <w:tab w:val="left" w:pos="763"/>
              </w:tabs>
              <w:adjustRightInd w:val="0"/>
              <w:snapToGrid w:val="0"/>
              <w:ind w:leftChars="0"/>
              <w:jc w:val="left"/>
              <w:textAlignment w:val="center"/>
              <w:rPr>
                <w:rFonts w:hint="default" w:ascii="Times New Roman" w:hAnsi="Times New Roman" w:eastAsia="仿宋_GB2312" w:cs="Times New Roman"/>
                <w:sz w:val="24"/>
                <w:highlight w:val="none"/>
                <w:lang w:val="en-US" w:eastAsia="zh-CN"/>
              </w:rPr>
            </w:pPr>
            <w:r>
              <w:rPr>
                <w:rFonts w:hint="eastAsia" w:ascii="宋体" w:hAnsi="宋体"/>
                <w:b/>
                <w:color w:val="000000"/>
                <w:szCs w:val="21"/>
                <w:highlight w:val="none"/>
              </w:rPr>
              <w:t>交付</w:t>
            </w:r>
            <w:r>
              <w:rPr>
                <w:rFonts w:hint="eastAsia" w:ascii="宋体" w:hAnsi="宋体"/>
                <w:b/>
                <w:color w:val="000000"/>
                <w:szCs w:val="21"/>
                <w:highlight w:val="none"/>
                <w:lang w:val="en-US" w:eastAsia="zh-CN"/>
              </w:rPr>
              <w:t>物：</w:t>
            </w:r>
            <w:r>
              <w:rPr>
                <w:rFonts w:hint="eastAsia" w:ascii="宋体" w:hAnsi="宋体"/>
                <w:b w:val="0"/>
                <w:bCs/>
                <w:color w:val="000000"/>
                <w:szCs w:val="21"/>
                <w:highlight w:val="none"/>
                <w:lang w:val="en-US" w:eastAsia="zh-CN"/>
              </w:rPr>
              <w:t>协助甲方通过中期检查</w:t>
            </w:r>
          </w:p>
        </w:tc>
      </w:tr>
      <w:tr w14:paraId="4938CB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39" w:hRule="atLeast"/>
        </w:trPr>
        <w:tc>
          <w:tcPr>
            <w:tcW w:w="762" w:type="dxa"/>
            <w:tcBorders>
              <w:tl2br w:val="nil"/>
              <w:tr2bl w:val="nil"/>
            </w:tcBorders>
            <w:vAlign w:val="center"/>
          </w:tcPr>
          <w:p w14:paraId="5D7606F5">
            <w:pPr>
              <w:widowControl/>
              <w:jc w:val="center"/>
              <w:rPr>
                <w:rFonts w:hint="default" w:ascii="宋体" w:hAnsi="宋体" w:eastAsia="宋体"/>
                <w:b/>
                <w:color w:val="000000"/>
                <w:szCs w:val="21"/>
                <w:highlight w:val="none"/>
                <w:lang w:val="en-US" w:eastAsia="zh-CN"/>
              </w:rPr>
            </w:pPr>
            <w:r>
              <w:rPr>
                <w:rFonts w:hint="eastAsia" w:ascii="宋体" w:hAnsi="宋体"/>
                <w:b/>
                <w:color w:val="000000"/>
                <w:szCs w:val="21"/>
                <w:highlight w:val="none"/>
                <w:lang w:val="en-US" w:eastAsia="zh-CN"/>
              </w:rPr>
              <w:t>4.4</w:t>
            </w:r>
          </w:p>
        </w:tc>
        <w:tc>
          <w:tcPr>
            <w:tcW w:w="7629" w:type="dxa"/>
            <w:tcBorders>
              <w:tl2br w:val="nil"/>
              <w:tr2bl w:val="nil"/>
            </w:tcBorders>
            <w:vAlign w:val="center"/>
          </w:tcPr>
          <w:p w14:paraId="46D22D0F">
            <w:pPr>
              <w:adjustRightInd w:val="0"/>
              <w:snapToGrid w:val="0"/>
              <w:textAlignment w:val="center"/>
              <w:rPr>
                <w:rFonts w:ascii="宋体" w:hAnsi="宋体"/>
                <w:b/>
                <w:color w:val="000000"/>
                <w:szCs w:val="21"/>
                <w:highlight w:val="none"/>
              </w:rPr>
            </w:pPr>
            <w:r>
              <w:rPr>
                <w:rFonts w:hint="eastAsia" w:ascii="宋体" w:hAnsi="宋体"/>
                <w:b/>
                <w:color w:val="000000"/>
                <w:szCs w:val="21"/>
                <w:highlight w:val="none"/>
              </w:rPr>
              <w:t>[202</w:t>
            </w:r>
            <w:r>
              <w:rPr>
                <w:rFonts w:hint="eastAsia" w:ascii="宋体" w:hAnsi="宋体"/>
                <w:b/>
                <w:color w:val="000000"/>
                <w:szCs w:val="21"/>
                <w:highlight w:val="none"/>
                <w:lang w:val="en-US" w:eastAsia="zh-CN"/>
              </w:rPr>
              <w:t>8</w:t>
            </w:r>
            <w:r>
              <w:rPr>
                <w:rFonts w:hint="eastAsia" w:ascii="宋体" w:hAnsi="宋体"/>
                <w:b/>
                <w:color w:val="000000"/>
                <w:szCs w:val="21"/>
                <w:highlight w:val="none"/>
              </w:rPr>
              <w:t>年</w:t>
            </w:r>
            <w:r>
              <w:rPr>
                <w:rFonts w:hint="eastAsia" w:ascii="宋体" w:hAnsi="宋体"/>
                <w:b/>
                <w:color w:val="000000"/>
                <w:szCs w:val="21"/>
                <w:highlight w:val="none"/>
                <w:lang w:val="en-US" w:eastAsia="zh-CN"/>
              </w:rPr>
              <w:t>3</w:t>
            </w:r>
            <w:r>
              <w:rPr>
                <w:rFonts w:hint="eastAsia" w:ascii="宋体" w:hAnsi="宋体"/>
                <w:b/>
                <w:color w:val="000000"/>
                <w:szCs w:val="21"/>
                <w:highlight w:val="none"/>
              </w:rPr>
              <w:t>月</w:t>
            </w:r>
            <w:r>
              <w:rPr>
                <w:rFonts w:hint="eastAsia" w:ascii="宋体" w:hAnsi="宋体"/>
                <w:b/>
                <w:color w:val="000000"/>
                <w:szCs w:val="21"/>
                <w:highlight w:val="none"/>
                <w:lang w:val="en-US" w:eastAsia="zh-CN"/>
              </w:rPr>
              <w:t>1</w:t>
            </w:r>
            <w:r>
              <w:rPr>
                <w:rFonts w:hint="eastAsia" w:ascii="宋体" w:hAnsi="宋体"/>
                <w:b/>
                <w:color w:val="000000"/>
                <w:szCs w:val="21"/>
                <w:highlight w:val="none"/>
              </w:rPr>
              <w:t>日 - 202</w:t>
            </w:r>
            <w:r>
              <w:rPr>
                <w:rFonts w:hint="eastAsia" w:ascii="宋体" w:hAnsi="宋体"/>
                <w:b/>
                <w:color w:val="000000"/>
                <w:szCs w:val="21"/>
                <w:highlight w:val="none"/>
                <w:lang w:val="en-US" w:eastAsia="zh-CN"/>
              </w:rPr>
              <w:t>8</w:t>
            </w:r>
            <w:r>
              <w:rPr>
                <w:rFonts w:hint="eastAsia" w:ascii="宋体" w:hAnsi="宋体"/>
                <w:b/>
                <w:color w:val="000000"/>
                <w:szCs w:val="21"/>
                <w:highlight w:val="none"/>
              </w:rPr>
              <w:t>年</w:t>
            </w:r>
            <w:r>
              <w:rPr>
                <w:rFonts w:hint="eastAsia" w:ascii="宋体" w:hAnsi="宋体"/>
                <w:b/>
                <w:color w:val="000000"/>
                <w:szCs w:val="21"/>
                <w:highlight w:val="none"/>
                <w:lang w:val="en-US" w:eastAsia="zh-CN"/>
              </w:rPr>
              <w:t>5</w:t>
            </w:r>
            <w:r>
              <w:rPr>
                <w:rFonts w:hint="eastAsia" w:ascii="宋体" w:hAnsi="宋体"/>
                <w:b/>
                <w:color w:val="000000"/>
                <w:szCs w:val="21"/>
                <w:highlight w:val="none"/>
              </w:rPr>
              <w:t>月31日]</w:t>
            </w:r>
          </w:p>
          <w:p w14:paraId="72E0F23C">
            <w:pPr>
              <w:numPr>
                <w:ilvl w:val="-1"/>
                <w:numId w:val="0"/>
              </w:numPr>
              <w:adjustRightInd w:val="0"/>
              <w:snapToGrid w:val="0"/>
              <w:ind w:left="0" w:leftChars="0"/>
              <w:jc w:val="left"/>
              <w:textAlignment w:val="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w:t>
            </w:r>
            <w:r>
              <w:rPr>
                <w:rFonts w:hint="eastAsia" w:asciiTheme="minorEastAsia" w:hAnsiTheme="minorEastAsia" w:eastAsiaTheme="minorEastAsia" w:cstheme="minorEastAsia"/>
                <w:sz w:val="21"/>
                <w:szCs w:val="21"/>
                <w:highlight w:val="none"/>
                <w:lang w:val="en-US" w:eastAsia="zh-CN"/>
              </w:rPr>
              <w:t>1</w:t>
            </w:r>
            <w:r>
              <w:rPr>
                <w:rFonts w:hint="eastAsia" w:asciiTheme="minorEastAsia" w:hAnsiTheme="minorEastAsia" w:eastAsiaTheme="minorEastAsia" w:cstheme="minorEastAsia"/>
                <w:sz w:val="21"/>
                <w:szCs w:val="21"/>
                <w:highlight w:val="none"/>
              </w:rPr>
              <w:t>)设计并搭建高压聚丙烯电缆系统的综合性能试验回路，配置实时状态监测系统，开展回路调试</w:t>
            </w:r>
            <w:r>
              <w:rPr>
                <w:rFonts w:hint="eastAsia" w:asciiTheme="minorEastAsia" w:hAnsiTheme="minorEastAsia" w:eastAsiaTheme="minorEastAsia" w:cstheme="minorEastAsia"/>
                <w:sz w:val="21"/>
                <w:szCs w:val="21"/>
                <w:highlight w:val="none"/>
                <w:lang w:eastAsia="zh-CN"/>
              </w:rPr>
              <w:t>；</w:t>
            </w:r>
          </w:p>
          <w:p w14:paraId="315873AA">
            <w:pPr>
              <w:numPr>
                <w:ilvl w:val="-1"/>
                <w:numId w:val="0"/>
              </w:numPr>
              <w:adjustRightInd w:val="0"/>
              <w:snapToGrid w:val="0"/>
              <w:ind w:left="0" w:leftChars="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w:t>
            </w:r>
            <w:r>
              <w:rPr>
                <w:rFonts w:hint="eastAsia" w:asciiTheme="minorEastAsia" w:hAnsiTheme="minorEastAsia" w:eastAsiaTheme="minorEastAsia" w:cstheme="minorEastAsia"/>
                <w:sz w:val="21"/>
                <w:szCs w:val="21"/>
                <w:highlight w:val="none"/>
                <w:lang w:val="en-US" w:eastAsia="zh-CN"/>
              </w:rPr>
              <w:t>2</w:t>
            </w:r>
            <w:r>
              <w:rPr>
                <w:rFonts w:hint="eastAsia" w:asciiTheme="minorEastAsia" w:hAnsiTheme="minorEastAsia" w:eastAsiaTheme="minorEastAsia" w:cstheme="minorEastAsia"/>
                <w:sz w:val="21"/>
                <w:szCs w:val="21"/>
                <w:highlight w:val="none"/>
              </w:rPr>
              <w:t>)开展长期可靠性加速老化试验，通过实时监测数据提取关键评价参数，构建评价指标体系。</w:t>
            </w:r>
          </w:p>
          <w:p w14:paraId="34CB0223">
            <w:pPr>
              <w:numPr>
                <w:ilvl w:val="-1"/>
                <w:numId w:val="0"/>
              </w:numPr>
              <w:adjustRightInd w:val="0"/>
              <w:snapToGrid w:val="0"/>
              <w:ind w:left="0" w:leftChars="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w:t>
            </w:r>
            <w:r>
              <w:rPr>
                <w:rFonts w:hint="eastAsia" w:asciiTheme="minorEastAsia" w:hAnsiTheme="minorEastAsia" w:eastAsiaTheme="minorEastAsia" w:cstheme="minorEastAsia"/>
                <w:sz w:val="21"/>
                <w:szCs w:val="21"/>
                <w:highlight w:val="none"/>
                <w:lang w:val="en-US" w:eastAsia="zh-CN"/>
              </w:rPr>
              <w:t>3</w:t>
            </w:r>
            <w:r>
              <w:rPr>
                <w:rFonts w:hint="eastAsia" w:asciiTheme="minorEastAsia" w:hAnsiTheme="minorEastAsia" w:eastAsiaTheme="minorEastAsia" w:cstheme="minorEastAsia"/>
                <w:sz w:val="21"/>
                <w:szCs w:val="21"/>
                <w:highlight w:val="none"/>
              </w:rPr>
              <w:t>)完成不低于5个关键参数的指标集定稿。汇总全周期研发数据，完成附件匹配可靠性评估研究。</w:t>
            </w:r>
          </w:p>
          <w:p w14:paraId="2E165674">
            <w:pPr>
              <w:numPr>
                <w:ilvl w:val="0"/>
                <w:numId w:val="0"/>
              </w:numPr>
              <w:tabs>
                <w:tab w:val="left" w:pos="537"/>
                <w:tab w:val="left" w:pos="763"/>
              </w:tabs>
              <w:adjustRightInd w:val="0"/>
              <w:snapToGrid w:val="0"/>
              <w:ind w:leftChars="0"/>
              <w:jc w:val="left"/>
              <w:textAlignment w:val="center"/>
              <w:rPr>
                <w:rFonts w:hint="eastAsia" w:ascii="宋体" w:hAnsi="宋体"/>
                <w:b/>
                <w:color w:val="000000"/>
                <w:szCs w:val="21"/>
                <w:highlight w:val="none"/>
                <w:lang w:val="en-US" w:eastAsia="zh-CN"/>
              </w:rPr>
            </w:pPr>
            <w:r>
              <w:rPr>
                <w:rFonts w:hint="eastAsia" w:ascii="宋体" w:hAnsi="宋体"/>
                <w:b/>
                <w:color w:val="000000"/>
                <w:szCs w:val="21"/>
                <w:highlight w:val="none"/>
              </w:rPr>
              <w:t>交付</w:t>
            </w:r>
            <w:r>
              <w:rPr>
                <w:rFonts w:hint="eastAsia" w:ascii="宋体" w:hAnsi="宋体"/>
                <w:b/>
                <w:color w:val="000000"/>
                <w:szCs w:val="21"/>
                <w:highlight w:val="none"/>
                <w:lang w:val="en-US" w:eastAsia="zh-CN"/>
              </w:rPr>
              <w:t>物：</w:t>
            </w:r>
          </w:p>
          <w:p w14:paraId="3FBA2112">
            <w:pPr>
              <w:pStyle w:val="2"/>
              <w:ind w:firstLine="0" w:firstLineChars="0"/>
              <w:rPr>
                <w:rFonts w:hint="eastAsia"/>
                <w:highlight w:val="none"/>
              </w:rPr>
            </w:pPr>
            <w:r>
              <w:rPr>
                <w:rFonts w:hint="eastAsia" w:asciiTheme="minorEastAsia" w:hAnsiTheme="minorEastAsia" w:eastAsiaTheme="minorEastAsia" w:cstheme="minorEastAsia"/>
                <w:sz w:val="21"/>
                <w:szCs w:val="21"/>
                <w:highlight w:val="none"/>
              </w:rPr>
              <w:t>(</w:t>
            </w:r>
            <w:r>
              <w:rPr>
                <w:rFonts w:hint="eastAsia" w:asciiTheme="minorEastAsia" w:hAnsiTheme="minorEastAsia" w:eastAsiaTheme="minorEastAsia" w:cstheme="minorEastAsia"/>
                <w:sz w:val="21"/>
                <w:szCs w:val="21"/>
                <w:highlight w:val="none"/>
                <w:lang w:val="en-US" w:eastAsia="zh-CN"/>
              </w:rPr>
              <w:t>1</w:t>
            </w:r>
            <w:r>
              <w:rPr>
                <w:rFonts w:hint="eastAsia" w:asciiTheme="minorEastAsia" w:hAnsiTheme="minorEastAsia" w:eastAsiaTheme="minorEastAsia" w:cstheme="minorEastAsia"/>
                <w:sz w:val="21"/>
                <w:szCs w:val="21"/>
                <w:highlight w:val="none"/>
              </w:rPr>
              <w:t>)《高压聚丙烯电缆附件长期可靠性评价指标集》1份；电缆附件与本体界面高温电气性能测试方法1套，TRL=</w:t>
            </w:r>
            <w:r>
              <w:rPr>
                <w:rFonts w:hint="eastAsia" w:asciiTheme="minorEastAsia" w:hAnsiTheme="minorEastAsia" w:eastAsiaTheme="minorEastAsia" w:cstheme="minorEastAsia"/>
                <w:sz w:val="21"/>
                <w:szCs w:val="21"/>
                <w:highlight w:val="none"/>
                <w:lang w:val="en-US" w:eastAsia="zh-CN"/>
              </w:rPr>
              <w:t>7</w:t>
            </w:r>
            <w:r>
              <w:rPr>
                <w:rFonts w:hint="eastAsia" w:asciiTheme="minorEastAsia" w:hAnsiTheme="minorEastAsia" w:eastAsiaTheme="minorEastAsia" w:cstheme="minorEastAsia"/>
                <w:sz w:val="21"/>
                <w:szCs w:val="21"/>
                <w:highlight w:val="none"/>
              </w:rPr>
              <w:t>；</w:t>
            </w:r>
          </w:p>
          <w:p w14:paraId="7C65D44B">
            <w:pPr>
              <w:numPr>
                <w:ilvl w:val="-1"/>
                <w:numId w:val="0"/>
              </w:numPr>
              <w:adjustRightInd w:val="0"/>
              <w:snapToGrid w:val="0"/>
              <w:ind w:left="0" w:leftChars="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(2)协助完成</w:t>
            </w:r>
            <w:r>
              <w:rPr>
                <w:rFonts w:hint="eastAsia" w:asciiTheme="minorEastAsia" w:hAnsiTheme="minorEastAsia" w:eastAsiaTheme="minorEastAsia" w:cstheme="minorEastAsia"/>
                <w:sz w:val="21"/>
                <w:szCs w:val="21"/>
                <w:highlight w:val="none"/>
                <w:lang w:val="en-US" w:eastAsia="zh-CN"/>
              </w:rPr>
              <w:t>1</w:t>
            </w:r>
            <w:r>
              <w:rPr>
                <w:rFonts w:hint="eastAsia" w:asciiTheme="minorEastAsia" w:hAnsiTheme="minorEastAsia" w:eastAsiaTheme="minorEastAsia" w:cstheme="minorEastAsia"/>
                <w:sz w:val="21"/>
                <w:szCs w:val="21"/>
                <w:highlight w:val="none"/>
              </w:rPr>
              <w:t>篇项目相关论文选题、文献检索、论证方法、数据分析、文本修改的指导服务，直至论文录用或发表</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协助提供2份项目相关发明专利选题、文献检索、论证方法、数据分析、文本修改的指导服务，直至发明专利受理。</w:t>
            </w:r>
          </w:p>
          <w:p w14:paraId="4F120E24">
            <w:pPr>
              <w:numPr>
                <w:ilvl w:val="0"/>
                <w:numId w:val="0"/>
              </w:numPr>
              <w:tabs>
                <w:tab w:val="left" w:pos="537"/>
              </w:tabs>
              <w:adjustRightInd w:val="0"/>
              <w:snapToGrid w:val="0"/>
              <w:jc w:val="left"/>
              <w:textAlignment w:val="center"/>
              <w:rPr>
                <w:rFonts w:hint="default" w:ascii="Times New Roman" w:hAnsi="Times New Roman" w:eastAsia="仿宋_GB2312" w:cs="Times New Roman"/>
                <w:sz w:val="24"/>
                <w:highlight w:val="none"/>
                <w:lang w:val="en-US" w:eastAsia="zh-CN"/>
              </w:rPr>
            </w:pPr>
          </w:p>
        </w:tc>
      </w:tr>
      <w:tr w14:paraId="4F319C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91" w:hRule="atLeast"/>
        </w:trPr>
        <w:tc>
          <w:tcPr>
            <w:tcW w:w="762" w:type="dxa"/>
            <w:tcBorders>
              <w:tl2br w:val="nil"/>
              <w:tr2bl w:val="nil"/>
            </w:tcBorders>
            <w:vAlign w:val="center"/>
          </w:tcPr>
          <w:p w14:paraId="4FCF69E2">
            <w:pPr>
              <w:widowControl/>
              <w:jc w:val="center"/>
              <w:rPr>
                <w:rFonts w:hint="eastAsia" w:ascii="宋体" w:hAnsi="宋体" w:eastAsia="宋体"/>
                <w:b/>
                <w:color w:val="000000"/>
                <w:szCs w:val="21"/>
                <w:highlight w:val="none"/>
                <w:lang w:eastAsia="zh-CN"/>
              </w:rPr>
            </w:pPr>
            <w:r>
              <w:rPr>
                <w:rFonts w:hint="eastAsia" w:ascii="宋体" w:hAnsi="宋体"/>
                <w:b/>
                <w:color w:val="000000"/>
                <w:szCs w:val="21"/>
                <w:highlight w:val="none"/>
              </w:rPr>
              <w:t>4</w:t>
            </w:r>
            <w:r>
              <w:rPr>
                <w:rFonts w:ascii="宋体" w:hAnsi="宋体"/>
                <w:b/>
                <w:color w:val="000000"/>
                <w:szCs w:val="21"/>
                <w:highlight w:val="none"/>
              </w:rPr>
              <w:t>.</w:t>
            </w:r>
            <w:r>
              <w:rPr>
                <w:rFonts w:hint="eastAsia" w:ascii="宋体" w:hAnsi="宋体"/>
                <w:b/>
                <w:color w:val="000000"/>
                <w:szCs w:val="21"/>
                <w:highlight w:val="none"/>
                <w:lang w:val="en-US" w:eastAsia="zh-CN"/>
              </w:rPr>
              <w:t>5</w:t>
            </w:r>
          </w:p>
        </w:tc>
        <w:tc>
          <w:tcPr>
            <w:tcW w:w="7629" w:type="dxa"/>
            <w:tcBorders>
              <w:tl2br w:val="nil"/>
              <w:tr2bl w:val="nil"/>
            </w:tcBorders>
            <w:vAlign w:val="center"/>
          </w:tcPr>
          <w:p w14:paraId="58DC9CA9">
            <w:pPr>
              <w:adjustRightInd w:val="0"/>
              <w:snapToGrid w:val="0"/>
              <w:textAlignment w:val="center"/>
              <w:rPr>
                <w:rFonts w:ascii="宋体" w:hAnsi="宋体"/>
                <w:b/>
                <w:color w:val="000000"/>
                <w:szCs w:val="21"/>
                <w:highlight w:val="none"/>
              </w:rPr>
            </w:pPr>
            <w:r>
              <w:rPr>
                <w:rFonts w:hint="eastAsia" w:ascii="宋体" w:hAnsi="宋体"/>
                <w:b/>
                <w:color w:val="000000"/>
                <w:szCs w:val="21"/>
                <w:highlight w:val="none"/>
              </w:rPr>
              <w:t>[202</w:t>
            </w:r>
            <w:r>
              <w:rPr>
                <w:rFonts w:hint="eastAsia" w:ascii="宋体" w:hAnsi="宋体"/>
                <w:b/>
                <w:color w:val="000000"/>
                <w:szCs w:val="21"/>
                <w:highlight w:val="none"/>
                <w:lang w:val="en-US" w:eastAsia="zh-CN"/>
              </w:rPr>
              <w:t>8</w:t>
            </w:r>
            <w:r>
              <w:rPr>
                <w:rFonts w:hint="eastAsia" w:ascii="宋体" w:hAnsi="宋体"/>
                <w:b/>
                <w:color w:val="000000"/>
                <w:szCs w:val="21"/>
                <w:highlight w:val="none"/>
              </w:rPr>
              <w:t>年</w:t>
            </w:r>
            <w:r>
              <w:rPr>
                <w:rFonts w:hint="eastAsia" w:ascii="宋体" w:hAnsi="宋体"/>
                <w:b/>
                <w:color w:val="000000"/>
                <w:szCs w:val="21"/>
                <w:highlight w:val="none"/>
                <w:lang w:val="en-US" w:eastAsia="zh-CN"/>
              </w:rPr>
              <w:t>6</w:t>
            </w:r>
            <w:r>
              <w:rPr>
                <w:rFonts w:hint="eastAsia" w:ascii="宋体" w:hAnsi="宋体"/>
                <w:b/>
                <w:color w:val="000000"/>
                <w:szCs w:val="21"/>
                <w:highlight w:val="none"/>
              </w:rPr>
              <w:t>月</w:t>
            </w:r>
            <w:r>
              <w:rPr>
                <w:rFonts w:hint="eastAsia" w:ascii="宋体" w:hAnsi="宋体"/>
                <w:b/>
                <w:color w:val="000000"/>
                <w:szCs w:val="21"/>
                <w:highlight w:val="none"/>
                <w:lang w:val="en-US" w:eastAsia="zh-CN"/>
              </w:rPr>
              <w:t>1</w:t>
            </w:r>
            <w:r>
              <w:rPr>
                <w:rFonts w:hint="eastAsia" w:ascii="宋体" w:hAnsi="宋体"/>
                <w:b/>
                <w:color w:val="000000"/>
                <w:szCs w:val="21"/>
                <w:highlight w:val="none"/>
              </w:rPr>
              <w:t>日 - 202</w:t>
            </w:r>
            <w:r>
              <w:rPr>
                <w:rFonts w:hint="eastAsia" w:ascii="宋体" w:hAnsi="宋体"/>
                <w:b/>
                <w:color w:val="000000"/>
                <w:szCs w:val="21"/>
                <w:highlight w:val="none"/>
                <w:lang w:val="en-US" w:eastAsia="zh-CN"/>
              </w:rPr>
              <w:t>8</w:t>
            </w:r>
            <w:r>
              <w:rPr>
                <w:rFonts w:hint="eastAsia" w:ascii="宋体" w:hAnsi="宋体"/>
                <w:b/>
                <w:color w:val="000000"/>
                <w:szCs w:val="21"/>
                <w:highlight w:val="none"/>
              </w:rPr>
              <w:t>年</w:t>
            </w:r>
            <w:r>
              <w:rPr>
                <w:rFonts w:hint="eastAsia" w:ascii="宋体" w:hAnsi="宋体"/>
                <w:b/>
                <w:color w:val="000000"/>
                <w:szCs w:val="21"/>
                <w:highlight w:val="none"/>
                <w:lang w:val="en-US" w:eastAsia="zh-CN"/>
              </w:rPr>
              <w:t>12</w:t>
            </w:r>
            <w:r>
              <w:rPr>
                <w:rFonts w:hint="eastAsia" w:ascii="宋体" w:hAnsi="宋体"/>
                <w:b/>
                <w:color w:val="000000"/>
                <w:szCs w:val="21"/>
                <w:highlight w:val="none"/>
              </w:rPr>
              <w:t>月31日]</w:t>
            </w:r>
          </w:p>
          <w:p w14:paraId="70F1E2CB">
            <w:pPr>
              <w:adjustRightInd w:val="0"/>
              <w:snapToGrid w:val="0"/>
              <w:jc w:val="left"/>
              <w:textAlignment w:val="center"/>
              <w:rPr>
                <w:rFonts w:hint="eastAsia" w:ascii="宋体" w:hAnsi="宋体"/>
                <w:b/>
                <w:color w:val="000000"/>
                <w:szCs w:val="21"/>
                <w:highlight w:val="none"/>
              </w:rPr>
            </w:pPr>
            <w:r>
              <w:rPr>
                <w:rFonts w:hint="eastAsia" w:ascii="宋体" w:hAnsi="宋体"/>
                <w:b/>
                <w:color w:val="000000"/>
                <w:szCs w:val="21"/>
                <w:highlight w:val="none"/>
              </w:rPr>
              <w:t>主要内容：</w:t>
            </w:r>
          </w:p>
          <w:p w14:paraId="22394683">
            <w:pPr>
              <w:numPr>
                <w:ilvl w:val="-1"/>
                <w:numId w:val="0"/>
              </w:numPr>
              <w:adjustRightInd w:val="0"/>
              <w:snapToGrid w:val="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w:t>
            </w:r>
            <w:r>
              <w:rPr>
                <w:rFonts w:hint="eastAsia" w:asciiTheme="minorEastAsia" w:hAnsiTheme="minorEastAsia" w:eastAsiaTheme="minorEastAsia" w:cstheme="minorEastAsia"/>
                <w:sz w:val="21"/>
                <w:szCs w:val="21"/>
                <w:highlight w:val="none"/>
                <w:lang w:val="en-US" w:eastAsia="zh-CN"/>
              </w:rPr>
              <w:t>1</w:t>
            </w:r>
            <w:r>
              <w:rPr>
                <w:rFonts w:hint="eastAsia" w:asciiTheme="minorEastAsia" w:hAnsiTheme="minorEastAsia" w:eastAsiaTheme="minorEastAsia" w:cstheme="minorEastAsia"/>
                <w:sz w:val="21"/>
                <w:szCs w:val="21"/>
                <w:highlight w:val="none"/>
              </w:rPr>
              <w:t>)开展长期可靠性加速老化试验，通过实时监测数据提取关键评价参数，构建评价指标体系。</w:t>
            </w:r>
          </w:p>
          <w:p w14:paraId="38D0538B">
            <w:pPr>
              <w:numPr>
                <w:ilvl w:val="-1"/>
                <w:numId w:val="0"/>
              </w:numPr>
              <w:adjustRightInd w:val="0"/>
              <w:snapToGrid w:val="0"/>
              <w:jc w:val="left"/>
              <w:textAlignment w:val="auto"/>
              <w:rPr>
                <w:rFonts w:hint="eastAsia" w:asciiTheme="minorEastAsia" w:hAnsiTheme="minorEastAsia" w:eastAsiaTheme="minorEastAsia" w:cstheme="minorEastAsia"/>
                <w:b w:val="0"/>
                <w:color w:val="auto"/>
                <w:szCs w:val="21"/>
                <w:highlight w:val="none"/>
              </w:rPr>
            </w:pPr>
            <w:r>
              <w:rPr>
                <w:rFonts w:hint="eastAsia" w:asciiTheme="minorEastAsia" w:hAnsiTheme="minorEastAsia" w:eastAsiaTheme="minorEastAsia" w:cstheme="minorEastAsia"/>
                <w:bCs w:val="0"/>
                <w:color w:val="auto"/>
                <w:sz w:val="21"/>
                <w:szCs w:val="21"/>
                <w:highlight w:val="none"/>
              </w:rPr>
              <w:t>(</w:t>
            </w:r>
            <w:r>
              <w:rPr>
                <w:rFonts w:hint="eastAsia" w:asciiTheme="minorEastAsia" w:hAnsiTheme="minorEastAsia" w:eastAsiaTheme="minorEastAsia" w:cstheme="minorEastAsia"/>
                <w:bCs w:val="0"/>
                <w:color w:val="auto"/>
                <w:sz w:val="21"/>
                <w:szCs w:val="21"/>
                <w:highlight w:val="none"/>
                <w:lang w:val="en-US" w:eastAsia="zh-CN"/>
              </w:rPr>
              <w:t>2</w:t>
            </w:r>
            <w:r>
              <w:rPr>
                <w:rFonts w:hint="eastAsia" w:asciiTheme="minorEastAsia" w:hAnsiTheme="minorEastAsia" w:eastAsiaTheme="minorEastAsia" w:cstheme="minorEastAsia"/>
                <w:bCs w:val="0"/>
                <w:color w:val="auto"/>
                <w:sz w:val="21"/>
                <w:szCs w:val="21"/>
                <w:highlight w:val="none"/>
              </w:rPr>
              <w:t>)</w:t>
            </w:r>
            <w:r>
              <w:rPr>
                <w:rFonts w:hint="eastAsia" w:asciiTheme="minorEastAsia" w:hAnsiTheme="minorEastAsia" w:eastAsiaTheme="minorEastAsia" w:cstheme="minorEastAsia"/>
                <w:bCs w:val="0"/>
                <w:color w:val="auto"/>
                <w:sz w:val="21"/>
                <w:szCs w:val="21"/>
                <w:highlight w:val="none"/>
                <w:lang w:val="en-US" w:eastAsia="zh-CN"/>
              </w:rPr>
              <w:t>成果应用</w:t>
            </w:r>
          </w:p>
          <w:p w14:paraId="4C7C9865">
            <w:pPr>
              <w:numPr>
                <w:ilvl w:val="0"/>
                <w:numId w:val="0"/>
              </w:numPr>
              <w:tabs>
                <w:tab w:val="left" w:pos="537"/>
                <w:tab w:val="left" w:pos="763"/>
              </w:tabs>
              <w:adjustRightInd w:val="0"/>
              <w:snapToGrid w:val="0"/>
              <w:ind w:leftChars="0"/>
              <w:jc w:val="left"/>
              <w:textAlignment w:val="center"/>
              <w:rPr>
                <w:rFonts w:hint="eastAsia" w:ascii="宋体" w:hAnsi="宋体"/>
                <w:b/>
                <w:color w:val="000000"/>
                <w:szCs w:val="21"/>
                <w:highlight w:val="none"/>
                <w:lang w:val="en-US" w:eastAsia="zh-CN"/>
              </w:rPr>
            </w:pPr>
            <w:r>
              <w:rPr>
                <w:rFonts w:hint="eastAsia" w:ascii="宋体" w:hAnsi="宋体"/>
                <w:b/>
                <w:color w:val="000000"/>
                <w:szCs w:val="21"/>
                <w:highlight w:val="none"/>
              </w:rPr>
              <w:t>交付</w:t>
            </w:r>
            <w:r>
              <w:rPr>
                <w:rFonts w:hint="eastAsia" w:ascii="宋体" w:hAnsi="宋体"/>
                <w:b/>
                <w:color w:val="000000"/>
                <w:szCs w:val="21"/>
                <w:highlight w:val="none"/>
                <w:lang w:val="en-US" w:eastAsia="zh-CN"/>
              </w:rPr>
              <w:t>物：</w:t>
            </w:r>
          </w:p>
          <w:p w14:paraId="2EFBB0C2">
            <w:pPr>
              <w:numPr>
                <w:ilvl w:val="0"/>
                <w:numId w:val="0"/>
              </w:numPr>
              <w:adjustRightInd w:val="0"/>
              <w:snapToGrid w:val="0"/>
              <w:spacing w:line="240" w:lineRule="auto"/>
              <w:ind w:right="0"/>
              <w:jc w:val="left"/>
              <w:rPr>
                <w:rFonts w:ascii="宋体" w:hAnsi="宋体"/>
                <w:color w:val="000000"/>
                <w:szCs w:val="21"/>
                <w:highlight w:val="none"/>
              </w:rPr>
            </w:pPr>
            <w:r>
              <w:rPr>
                <w:rFonts w:hint="eastAsia" w:asciiTheme="minorEastAsia" w:hAnsiTheme="minorEastAsia" w:eastAsiaTheme="minorEastAsia" w:cstheme="minorEastAsia"/>
                <w:bCs w:val="0"/>
                <w:color w:val="auto"/>
                <w:sz w:val="21"/>
                <w:szCs w:val="21"/>
                <w:highlight w:val="none"/>
              </w:rPr>
              <w:t>(</w:t>
            </w:r>
            <w:r>
              <w:rPr>
                <w:rFonts w:hint="eastAsia" w:asciiTheme="minorEastAsia" w:hAnsiTheme="minorEastAsia" w:eastAsiaTheme="minorEastAsia" w:cstheme="minorEastAsia"/>
                <w:bCs w:val="0"/>
                <w:color w:val="auto"/>
                <w:sz w:val="21"/>
                <w:szCs w:val="21"/>
                <w:highlight w:val="none"/>
                <w:lang w:val="en-US" w:eastAsia="zh-CN"/>
              </w:rPr>
              <w:t>1</w:t>
            </w:r>
            <w:r>
              <w:rPr>
                <w:rFonts w:hint="eastAsia" w:asciiTheme="minorEastAsia" w:hAnsiTheme="minorEastAsia" w:eastAsiaTheme="minorEastAsia" w:cstheme="minorEastAsia"/>
                <w:bCs w:val="0"/>
                <w:color w:val="auto"/>
                <w:sz w:val="21"/>
                <w:szCs w:val="21"/>
                <w:highlight w:val="none"/>
              </w:rPr>
              <w:t>)</w:t>
            </w:r>
            <w:r>
              <w:rPr>
                <w:rFonts w:hint="eastAsia" w:asciiTheme="minorEastAsia" w:hAnsiTheme="minorEastAsia" w:eastAsiaTheme="minorEastAsia" w:cstheme="minorEastAsia"/>
                <w:sz w:val="21"/>
                <w:szCs w:val="21"/>
                <w:highlight w:val="none"/>
              </w:rPr>
              <w:t>《高压聚丙烯电缆附件长期可靠性评价指标集》1份；《高压聚丙烯电缆附件匹配可靠性评估技术研究》技术报告1份；</w:t>
            </w:r>
          </w:p>
        </w:tc>
      </w:tr>
    </w:tbl>
    <w:p w14:paraId="049FCC72">
      <w:pPr>
        <w:pStyle w:val="22"/>
        <w:spacing w:before="312"/>
        <w:outlineLvl w:val="0"/>
        <w:rPr>
          <w:rFonts w:ascii="黑体" w:hAnsi="黑体" w:eastAsia="黑体" w:cs="黑体"/>
          <w:sz w:val="28"/>
          <w:szCs w:val="28"/>
        </w:rPr>
      </w:pPr>
      <w:bookmarkStart w:id="17" w:name="_Toc21501"/>
      <w:r>
        <w:rPr>
          <w:rFonts w:hint="eastAsia" w:ascii="黑体" w:hAnsi="黑体" w:eastAsia="黑体" w:cs="黑体"/>
          <w:sz w:val="28"/>
          <w:szCs w:val="28"/>
        </w:rPr>
        <w:t>5  成果交付与验收</w:t>
      </w:r>
      <w:bookmarkEnd w:id="17"/>
    </w:p>
    <w:p w14:paraId="1E83CBD2">
      <w:pPr>
        <w:spacing w:line="360" w:lineRule="auto"/>
        <w:outlineLvl w:val="1"/>
        <w:rPr>
          <w:rFonts w:ascii="黑体" w:hAnsi="黑体" w:eastAsia="黑体" w:cs="黑体"/>
          <w:bCs/>
          <w:sz w:val="24"/>
        </w:rPr>
      </w:pPr>
      <w:bookmarkStart w:id="18" w:name="_Toc5704"/>
      <w:r>
        <w:rPr>
          <w:rFonts w:hint="eastAsia" w:ascii="黑体" w:hAnsi="黑体" w:eastAsia="黑体" w:cs="黑体"/>
          <w:bCs/>
          <w:sz w:val="24"/>
        </w:rPr>
        <w:t>5.1 成果形式及数量要求</w:t>
      </w:r>
      <w:bookmarkEnd w:id="18"/>
    </w:p>
    <w:p w14:paraId="5C4475E1">
      <w:pPr>
        <w:spacing w:line="360" w:lineRule="auto"/>
        <w:ind w:firstLine="480" w:firstLineChars="200"/>
        <w:rPr>
          <w:rFonts w:hint="eastAsia" w:asciiTheme="minorEastAsia" w:hAnsiTheme="minorEastAsia" w:eastAsiaTheme="minorEastAsia" w:cstheme="minorEastAsia"/>
          <w:color w:val="000000"/>
          <w:sz w:val="24"/>
          <w:lang w:eastAsia="zh-CN"/>
        </w:rPr>
      </w:pPr>
      <w:bookmarkStart w:id="19" w:name="_Hlk25764254"/>
      <w:r>
        <w:rPr>
          <w:rFonts w:hint="eastAsia" w:asciiTheme="minorEastAsia" w:hAnsiTheme="minorEastAsia" w:eastAsiaTheme="minorEastAsia" w:cstheme="minorEastAsia"/>
          <w:color w:val="000000"/>
          <w:sz w:val="24"/>
        </w:rPr>
        <w:t>（1）《高压聚丙烯电缆中间接头结构设计方案》报告</w:t>
      </w:r>
      <w:r>
        <w:rPr>
          <w:rFonts w:hint="eastAsia" w:asciiTheme="minorEastAsia" w:hAnsiTheme="minorEastAsia" w:eastAsiaTheme="minorEastAsia" w:cstheme="minorEastAsia"/>
          <w:color w:val="000000"/>
          <w:sz w:val="24"/>
          <w:lang w:val="en-US" w:eastAsia="zh-CN"/>
        </w:rPr>
        <w:t>1</w:t>
      </w:r>
      <w:r>
        <w:rPr>
          <w:rFonts w:hint="eastAsia" w:asciiTheme="minorEastAsia" w:hAnsiTheme="minorEastAsia" w:eastAsiaTheme="minorEastAsia" w:cstheme="minorEastAsia"/>
          <w:color w:val="000000"/>
          <w:sz w:val="24"/>
        </w:rPr>
        <w:t>份</w:t>
      </w:r>
      <w:r>
        <w:rPr>
          <w:rFonts w:hint="eastAsia" w:asciiTheme="minorEastAsia" w:hAnsiTheme="minorEastAsia" w:eastAsiaTheme="minorEastAsia" w:cstheme="minorEastAsia"/>
          <w:color w:val="000000"/>
          <w:sz w:val="24"/>
          <w:lang w:eastAsia="zh-CN"/>
        </w:rPr>
        <w:t>；</w:t>
      </w:r>
      <w:r>
        <w:rPr>
          <w:rFonts w:hint="eastAsia" w:asciiTheme="minorEastAsia" w:hAnsiTheme="minorEastAsia" w:eastAsiaTheme="minorEastAsia" w:cstheme="minorEastAsia"/>
          <w:color w:val="000000"/>
          <w:sz w:val="24"/>
        </w:rPr>
        <w:t>《高压聚丙烯电缆户外终端结构设计方案》报告</w:t>
      </w:r>
      <w:r>
        <w:rPr>
          <w:rFonts w:hint="eastAsia" w:asciiTheme="minorEastAsia" w:hAnsiTheme="minorEastAsia" w:eastAsiaTheme="minorEastAsia" w:cstheme="minorEastAsia"/>
          <w:color w:val="000000"/>
          <w:sz w:val="24"/>
          <w:lang w:val="en-US" w:eastAsia="zh-CN"/>
        </w:rPr>
        <w:t>1</w:t>
      </w:r>
      <w:r>
        <w:rPr>
          <w:rFonts w:hint="eastAsia" w:asciiTheme="minorEastAsia" w:hAnsiTheme="minorEastAsia" w:eastAsiaTheme="minorEastAsia" w:cstheme="minorEastAsia"/>
          <w:color w:val="000000"/>
          <w:sz w:val="24"/>
        </w:rPr>
        <w:t>份</w:t>
      </w:r>
      <w:r>
        <w:rPr>
          <w:rFonts w:hint="eastAsia" w:asciiTheme="minorEastAsia" w:hAnsiTheme="minorEastAsia" w:eastAsiaTheme="minorEastAsia" w:cstheme="minorEastAsia"/>
          <w:color w:val="000000"/>
          <w:sz w:val="24"/>
          <w:lang w:eastAsia="zh-CN"/>
        </w:rPr>
        <w:t>；</w:t>
      </w:r>
      <w:r>
        <w:rPr>
          <w:rFonts w:hint="eastAsia" w:asciiTheme="minorEastAsia" w:hAnsiTheme="minorEastAsia" w:eastAsiaTheme="minorEastAsia" w:cstheme="minorEastAsia"/>
          <w:color w:val="000000"/>
          <w:sz w:val="24"/>
        </w:rPr>
        <w:t>《高压聚丙烯电缆GIS终端结构设计方案》报告</w:t>
      </w:r>
      <w:r>
        <w:rPr>
          <w:rFonts w:hint="eastAsia" w:asciiTheme="minorEastAsia" w:hAnsiTheme="minorEastAsia" w:eastAsiaTheme="minorEastAsia" w:cstheme="minorEastAsia"/>
          <w:color w:val="000000"/>
          <w:sz w:val="24"/>
          <w:lang w:val="en-US" w:eastAsia="zh-CN"/>
        </w:rPr>
        <w:t>1</w:t>
      </w:r>
      <w:r>
        <w:rPr>
          <w:rFonts w:hint="eastAsia" w:asciiTheme="minorEastAsia" w:hAnsiTheme="minorEastAsia" w:eastAsiaTheme="minorEastAsia" w:cstheme="minorEastAsia"/>
          <w:color w:val="000000"/>
          <w:sz w:val="24"/>
        </w:rPr>
        <w:t>份</w:t>
      </w:r>
      <w:r>
        <w:rPr>
          <w:rFonts w:hint="eastAsia" w:asciiTheme="minorEastAsia" w:hAnsiTheme="minorEastAsia" w:eastAsiaTheme="minorEastAsia" w:cstheme="minorEastAsia"/>
          <w:color w:val="000000"/>
          <w:sz w:val="24"/>
          <w:lang w:eastAsia="zh-CN"/>
        </w:rPr>
        <w:t>。</w:t>
      </w:r>
    </w:p>
    <w:p w14:paraId="4BED8A78">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（2）《高压聚丙烯电缆附件匹配可靠性评估技术研究》报告</w:t>
      </w:r>
      <w:r>
        <w:rPr>
          <w:rFonts w:hint="eastAsia" w:asciiTheme="minorEastAsia" w:hAnsiTheme="minorEastAsia" w:eastAsiaTheme="minorEastAsia" w:cstheme="minorEastAsia"/>
          <w:color w:val="000000"/>
          <w:sz w:val="24"/>
          <w:lang w:val="en-US" w:eastAsia="zh-CN"/>
        </w:rPr>
        <w:t>1</w:t>
      </w:r>
      <w:r>
        <w:rPr>
          <w:rFonts w:hint="eastAsia" w:asciiTheme="minorEastAsia" w:hAnsiTheme="minorEastAsia" w:eastAsiaTheme="minorEastAsia" w:cstheme="minorEastAsia"/>
          <w:color w:val="000000"/>
          <w:sz w:val="24"/>
        </w:rPr>
        <w:t>份</w:t>
      </w:r>
    </w:p>
    <w:p w14:paraId="206004DC">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（3）形成一套电缆附件与本体界面高温电气性能测试方法1套</w:t>
      </w:r>
    </w:p>
    <w:p w14:paraId="37AAEBF6">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w:t>
      </w:r>
      <w:r>
        <w:rPr>
          <w:rFonts w:hint="eastAsia" w:asciiTheme="minorEastAsia" w:hAnsiTheme="minorEastAsia" w:eastAsiaTheme="minorEastAsia" w:cstheme="minorEastAsia"/>
          <w:color w:val="000000"/>
          <w:sz w:val="24"/>
          <w:lang w:val="en-US" w:eastAsia="zh-CN"/>
        </w:rPr>
        <w:t>4</w:t>
      </w:r>
      <w:r>
        <w:rPr>
          <w:rFonts w:hint="eastAsia" w:asciiTheme="minorEastAsia" w:hAnsiTheme="minorEastAsia" w:eastAsiaTheme="minorEastAsia" w:cstheme="minorEastAsia"/>
          <w:color w:val="000000"/>
          <w:sz w:val="24"/>
        </w:rPr>
        <w:t>）</w:t>
      </w:r>
      <w:r>
        <w:rPr>
          <w:rFonts w:hint="eastAsia" w:asciiTheme="minorEastAsia" w:hAnsiTheme="minorEastAsia" w:eastAsiaTheme="minorEastAsia" w:cstheme="minorEastAsia"/>
          <w:color w:val="000000"/>
          <w:sz w:val="24"/>
          <w:lang w:val="en-US" w:eastAsia="zh-CN"/>
        </w:rPr>
        <w:t>协助提供6份项目相关发明专利选题、文献检索、论证方法、数据分析、文本修改的指导服务，直至发明专利受理；</w:t>
      </w:r>
    </w:p>
    <w:p w14:paraId="040BF9AF">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w:t>
      </w:r>
      <w:r>
        <w:rPr>
          <w:rFonts w:hint="eastAsia" w:asciiTheme="minorEastAsia" w:hAnsiTheme="minorEastAsia" w:eastAsiaTheme="minorEastAsia" w:cstheme="minorEastAsia"/>
          <w:color w:val="000000"/>
          <w:sz w:val="24"/>
          <w:lang w:val="en-US" w:eastAsia="zh-CN"/>
        </w:rPr>
        <w:t>5</w:t>
      </w:r>
      <w:r>
        <w:rPr>
          <w:rFonts w:hint="eastAsia" w:asciiTheme="minorEastAsia" w:hAnsiTheme="minorEastAsia" w:eastAsiaTheme="minorEastAsia" w:cstheme="minorEastAsia"/>
          <w:color w:val="000000"/>
          <w:sz w:val="24"/>
        </w:rPr>
        <w:t>）协助完成</w:t>
      </w:r>
      <w:r>
        <w:rPr>
          <w:rFonts w:hint="eastAsia" w:asciiTheme="minorEastAsia" w:hAnsiTheme="minorEastAsia" w:eastAsiaTheme="minorEastAsia" w:cstheme="minorEastAsia"/>
          <w:color w:val="000000"/>
          <w:sz w:val="24"/>
          <w:lang w:val="en-US" w:eastAsia="zh-CN"/>
        </w:rPr>
        <w:t>3</w:t>
      </w:r>
      <w:r>
        <w:rPr>
          <w:rFonts w:hint="eastAsia" w:asciiTheme="minorEastAsia" w:hAnsiTheme="minorEastAsia" w:eastAsiaTheme="minorEastAsia" w:cstheme="minorEastAsia"/>
          <w:color w:val="000000"/>
          <w:sz w:val="24"/>
        </w:rPr>
        <w:t>篇项目相关论文选题、文献检索、论证方法、数据分析、文本修改的指导服务，直至论文录用或发表（论文应为中文期刊论文）。</w:t>
      </w:r>
    </w:p>
    <w:p w14:paraId="3991AE75">
      <w:pPr>
        <w:spacing w:line="360" w:lineRule="auto"/>
        <w:outlineLvl w:val="1"/>
        <w:rPr>
          <w:rFonts w:ascii="黑体" w:hAnsi="黑体" w:eastAsia="黑体" w:cs="黑体"/>
          <w:bCs/>
          <w:sz w:val="24"/>
        </w:rPr>
      </w:pPr>
      <w:bookmarkStart w:id="20" w:name="_Toc25508"/>
      <w:r>
        <w:rPr>
          <w:rFonts w:hint="eastAsia" w:ascii="黑体" w:hAnsi="黑体" w:eastAsia="黑体" w:cs="黑体"/>
          <w:bCs/>
          <w:sz w:val="24"/>
        </w:rPr>
        <w:t>★5.2 成果的权属要求</w:t>
      </w:r>
      <w:bookmarkEnd w:id="20"/>
    </w:p>
    <w:bookmarkEnd w:id="19"/>
    <w:p w14:paraId="2679C4FC">
      <w:pPr>
        <w:spacing w:line="360" w:lineRule="auto"/>
        <w:ind w:firstLine="480" w:firstLineChars="200"/>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本项目形成的论文、专利等知识产权划分方法如下：</w:t>
      </w:r>
    </w:p>
    <w:p w14:paraId="4E9C15BA">
      <w:pPr>
        <w:spacing w:line="360" w:lineRule="auto"/>
        <w:ind w:firstLine="480" w:firstLineChars="200"/>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本合同项下研究成果形成的专利、软件著作权等知识产权的申请权利归甲方享有，未经甲方许可，乙方不得单独申请专利或向第三方转让专利申请权。相关知识产权申请人及专利权人不得出现广东电网有限责任公司及乙方以外的其他单位或个人。</w:t>
      </w:r>
    </w:p>
    <w:p w14:paraId="07617E82">
      <w:pPr>
        <w:spacing w:line="360" w:lineRule="auto"/>
        <w:ind w:firstLine="480" w:firstLineChars="200"/>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（1）本合同项下的研究成果申请专利的权利归甲方享有，未经甲方许可，乙方不得单独申请专利或向第三方转让专利申请权。乙方取得专利权的，未经甲方许可，不得转让专利权或许可第三方实施该专利。</w:t>
      </w:r>
    </w:p>
    <w:p w14:paraId="4B127347">
      <w:pPr>
        <w:spacing w:line="360" w:lineRule="auto"/>
        <w:ind w:firstLine="480" w:firstLineChars="200"/>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（2）甲乙双方均享有本合同项下研究成果的使用权，但乙方仅能在甲方许可的范围内使用该研究成果。因使用该研究成果所产生的效益，由甲乙双方共同协商确定分配方式。</w:t>
      </w:r>
    </w:p>
    <w:p w14:paraId="4F38F444">
      <w:pPr>
        <w:spacing w:line="360" w:lineRule="auto"/>
        <w:ind w:firstLine="480" w:firstLineChars="200"/>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（3）本合同项下的研究成果的转让权属于甲方，乙方不得向第三方转让，亦不得许可第三方实施使用，乙方擅自转让所产生的利益归甲方所有。</w:t>
      </w:r>
    </w:p>
    <w:p w14:paraId="0292CD84">
      <w:pPr>
        <w:spacing w:line="360" w:lineRule="auto"/>
        <w:ind w:firstLine="480" w:firstLineChars="200"/>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（4）本合同项下的研究成果申请奖励的权利归甲方享有。未经甲方许可，乙方不得单方申请奖励。</w:t>
      </w:r>
    </w:p>
    <w:p w14:paraId="5302707A">
      <w:pPr>
        <w:spacing w:line="360" w:lineRule="auto"/>
        <w:ind w:firstLine="480" w:firstLineChars="200"/>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（5）本合同项下的研究成果的发表权由甲乙双方共同享有。未经一方许可，另一方不得单方发表。根据项目研究成果发表论文须注明“南方电网公司科技项目资助(</w:t>
      </w:r>
      <w:r>
        <w:rPr>
          <w:rFonts w:hint="eastAsia" w:asciiTheme="minorEastAsia" w:hAnsiTheme="minorEastAsia" w:eastAsiaTheme="minorEastAsia" w:cstheme="minorEastAsia"/>
          <w:color w:val="000000"/>
          <w:sz w:val="24"/>
          <w:highlight w:val="none"/>
        </w:rPr>
        <w:t>项目编号：</w:t>
      </w:r>
      <w:r>
        <w:rPr>
          <w:rFonts w:hint="eastAsia" w:asciiTheme="minorEastAsia" w:hAnsiTheme="minorEastAsia" w:eastAsiaTheme="minorEastAsia" w:cstheme="minorEastAsia"/>
          <w:i w:val="0"/>
          <w:iCs w:val="0"/>
          <w:color w:val="000000"/>
          <w:sz w:val="24"/>
          <w:szCs w:val="24"/>
          <w:lang w:val="en-US" w:eastAsia="zh-CN"/>
        </w:rPr>
        <w:t>030100KC26030051</w:t>
      </w:r>
      <w:r>
        <w:rPr>
          <w:rFonts w:hint="eastAsia" w:asciiTheme="minorEastAsia" w:hAnsiTheme="minorEastAsia" w:eastAsiaTheme="minorEastAsia" w:cstheme="minorEastAsia"/>
          <w:color w:val="000000"/>
          <w:sz w:val="24"/>
        </w:rPr>
        <w:t>)”；项目参加人员个人发表有关项目研究内容的论文须征得甲乙双方的同意。</w:t>
      </w:r>
    </w:p>
    <w:p w14:paraId="3D3EBEE6">
      <w:pPr>
        <w:spacing w:line="360" w:lineRule="auto"/>
        <w:ind w:firstLine="480" w:firstLineChars="200"/>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（6）使用履行本合同产生的研究成果参与国际标准、国家标准或行业标准等的制定或修订工作的权利属于甲方所有，未经甲方许可，乙方不得单独参与此类工作。</w:t>
      </w:r>
    </w:p>
    <w:p w14:paraId="65BC5353">
      <w:pPr>
        <w:spacing w:line="360" w:lineRule="auto"/>
        <w:outlineLvl w:val="1"/>
        <w:rPr>
          <w:rFonts w:hint="eastAsia" w:ascii="黑体" w:hAnsi="黑体" w:eastAsia="黑体" w:cs="黑体"/>
          <w:bCs/>
          <w:sz w:val="24"/>
          <w:lang w:val="en-US" w:eastAsia="zh-CN"/>
        </w:rPr>
      </w:pPr>
      <w:bookmarkStart w:id="21" w:name="_Toc28744"/>
      <w:r>
        <w:rPr>
          <w:rFonts w:hint="eastAsia" w:ascii="黑体" w:hAnsi="黑体" w:eastAsia="黑体" w:cs="黑体"/>
          <w:bCs/>
          <w:sz w:val="24"/>
          <w:lang w:val="en-US" w:eastAsia="zh-CN"/>
        </w:rPr>
        <w:t>5.3技术架构要求</w:t>
      </w:r>
      <w:bookmarkEnd w:id="21"/>
    </w:p>
    <w:p w14:paraId="49E2A494">
      <w:pPr>
        <w:spacing w:line="360" w:lineRule="auto"/>
        <w:ind w:firstLine="480" w:firstLineChars="200"/>
        <w:rPr>
          <w:rFonts w:hint="eastAsia" w:asciiTheme="minorEastAsia" w:hAnsiTheme="minorEastAsia" w:eastAsiaTheme="minorEastAsia" w:cstheme="minorEastAsia"/>
          <w:color w:val="000000"/>
          <w:sz w:val="24"/>
          <w:lang w:eastAsia="zh-CN"/>
        </w:rPr>
      </w:pPr>
      <w:r>
        <w:rPr>
          <w:rFonts w:hint="eastAsia" w:asciiTheme="minorEastAsia" w:hAnsiTheme="minorEastAsia" w:eastAsiaTheme="minorEastAsia" w:cstheme="minorEastAsia"/>
          <w:color w:val="000000"/>
          <w:sz w:val="24"/>
          <w:lang w:val="en-US" w:eastAsia="zh-CN"/>
        </w:rPr>
        <w:t>本项目若</w:t>
      </w:r>
      <w:r>
        <w:rPr>
          <w:rFonts w:hint="eastAsia" w:asciiTheme="minorEastAsia" w:hAnsiTheme="minorEastAsia" w:eastAsiaTheme="minorEastAsia" w:cstheme="minorEastAsia"/>
          <w:color w:val="000000"/>
          <w:sz w:val="24"/>
          <w:lang w:eastAsia="zh-CN"/>
        </w:rPr>
        <w:t>涉及软硬件</w:t>
      </w:r>
      <w:r>
        <w:rPr>
          <w:rFonts w:hint="eastAsia" w:asciiTheme="minorEastAsia" w:hAnsiTheme="minorEastAsia" w:eastAsiaTheme="minorEastAsia" w:cstheme="minorEastAsia"/>
          <w:color w:val="000000"/>
          <w:sz w:val="24"/>
          <w:lang w:val="en-US" w:eastAsia="zh-CN"/>
        </w:rPr>
        <w:t>开发/试制应</w:t>
      </w:r>
      <w:r>
        <w:rPr>
          <w:rFonts w:hint="eastAsia" w:asciiTheme="minorEastAsia" w:hAnsiTheme="minorEastAsia" w:eastAsiaTheme="minorEastAsia" w:cstheme="minorEastAsia"/>
          <w:color w:val="000000"/>
          <w:sz w:val="24"/>
          <w:lang w:eastAsia="zh-CN"/>
        </w:rPr>
        <w:t>符合自主可控要求：</w:t>
      </w:r>
    </w:p>
    <w:p w14:paraId="7EFC1DB9">
      <w:pPr>
        <w:spacing w:line="360" w:lineRule="auto"/>
        <w:ind w:firstLine="480" w:firstLineChars="200"/>
        <w:rPr>
          <w:rFonts w:hint="eastAsia" w:asciiTheme="minorEastAsia" w:hAnsiTheme="minorEastAsia" w:eastAsiaTheme="minorEastAsia" w:cstheme="minorEastAsia"/>
          <w:color w:val="000000"/>
          <w:sz w:val="24"/>
          <w:lang w:val="en-US" w:eastAsia="zh-CN"/>
        </w:rPr>
      </w:pPr>
      <w:r>
        <w:rPr>
          <w:rFonts w:hint="eastAsia" w:asciiTheme="minorEastAsia" w:hAnsiTheme="minorEastAsia" w:eastAsiaTheme="minorEastAsia" w:cstheme="minorEastAsia"/>
          <w:color w:val="000000"/>
          <w:sz w:val="24"/>
          <w:lang w:eastAsia="zh-CN"/>
        </w:rPr>
        <w:t>（</w:t>
      </w:r>
      <w:r>
        <w:rPr>
          <w:rFonts w:hint="eastAsia" w:asciiTheme="minorEastAsia" w:hAnsiTheme="minorEastAsia" w:eastAsiaTheme="minorEastAsia" w:cstheme="minorEastAsia"/>
          <w:color w:val="000000"/>
          <w:sz w:val="24"/>
          <w:lang w:val="en-US" w:eastAsia="zh-CN"/>
        </w:rPr>
        <w:t>1</w:t>
      </w:r>
      <w:r>
        <w:rPr>
          <w:rFonts w:hint="eastAsia" w:asciiTheme="minorEastAsia" w:hAnsiTheme="minorEastAsia" w:eastAsiaTheme="minorEastAsia" w:cstheme="minorEastAsia"/>
          <w:color w:val="000000"/>
          <w:sz w:val="24"/>
          <w:lang w:eastAsia="zh-CN"/>
        </w:rPr>
        <w:t>）</w:t>
      </w:r>
      <w:r>
        <w:rPr>
          <w:rFonts w:hint="eastAsia" w:asciiTheme="minorEastAsia" w:hAnsiTheme="minorEastAsia" w:eastAsiaTheme="minorEastAsia" w:cstheme="minorEastAsia"/>
          <w:color w:val="000000"/>
          <w:sz w:val="24"/>
          <w:lang w:val="en-US" w:eastAsia="zh-CN"/>
        </w:rPr>
        <w:t>CPU：兼容自主可控CPU（ARM、X86、MIPS）架构。</w:t>
      </w:r>
    </w:p>
    <w:p w14:paraId="5D52963A">
      <w:pPr>
        <w:spacing w:line="360" w:lineRule="auto"/>
        <w:ind w:firstLine="480" w:firstLineChars="200"/>
        <w:rPr>
          <w:rFonts w:hint="eastAsia" w:asciiTheme="minorEastAsia" w:hAnsiTheme="minorEastAsia" w:eastAsiaTheme="minorEastAsia" w:cstheme="minorEastAsia"/>
          <w:color w:val="000000"/>
          <w:sz w:val="24"/>
          <w:lang w:val="en-US" w:eastAsia="zh-CN"/>
        </w:rPr>
      </w:pPr>
      <w:r>
        <w:rPr>
          <w:rFonts w:hint="eastAsia" w:asciiTheme="minorEastAsia" w:hAnsiTheme="minorEastAsia" w:eastAsiaTheme="minorEastAsia" w:cstheme="minorEastAsia"/>
          <w:color w:val="000000"/>
          <w:sz w:val="24"/>
          <w:lang w:eastAsia="zh-CN"/>
        </w:rPr>
        <w:t>（</w:t>
      </w:r>
      <w:r>
        <w:rPr>
          <w:rFonts w:hint="eastAsia" w:asciiTheme="minorEastAsia" w:hAnsiTheme="minorEastAsia" w:eastAsiaTheme="minorEastAsia" w:cstheme="minorEastAsia"/>
          <w:color w:val="000000"/>
          <w:sz w:val="24"/>
          <w:lang w:val="en-US" w:eastAsia="zh-CN"/>
        </w:rPr>
        <w:t>2</w:t>
      </w:r>
      <w:r>
        <w:rPr>
          <w:rFonts w:hint="eastAsia" w:asciiTheme="minorEastAsia" w:hAnsiTheme="minorEastAsia" w:eastAsiaTheme="minorEastAsia" w:cstheme="minorEastAsia"/>
          <w:color w:val="000000"/>
          <w:sz w:val="24"/>
          <w:lang w:eastAsia="zh-CN"/>
        </w:rPr>
        <w:t>）浏览器：兼容Chrome和Firefox内核浏览器。</w:t>
      </w:r>
    </w:p>
    <w:p w14:paraId="607AA7FC">
      <w:pPr>
        <w:spacing w:line="360" w:lineRule="auto"/>
        <w:ind w:firstLine="480" w:firstLineChars="200"/>
        <w:rPr>
          <w:rFonts w:hint="eastAsia" w:asciiTheme="minorEastAsia" w:hAnsiTheme="minorEastAsia" w:eastAsiaTheme="minorEastAsia" w:cstheme="minorEastAsia"/>
          <w:color w:val="000000"/>
          <w:sz w:val="24"/>
          <w:lang w:eastAsia="zh-CN"/>
        </w:rPr>
      </w:pPr>
      <w:r>
        <w:rPr>
          <w:rFonts w:hint="eastAsia" w:asciiTheme="minorEastAsia" w:hAnsiTheme="minorEastAsia" w:eastAsiaTheme="minorEastAsia" w:cstheme="minorEastAsia"/>
          <w:color w:val="000000"/>
          <w:sz w:val="24"/>
          <w:lang w:eastAsia="zh-CN"/>
        </w:rPr>
        <w:t>（</w:t>
      </w:r>
      <w:r>
        <w:rPr>
          <w:rFonts w:hint="eastAsia" w:asciiTheme="minorEastAsia" w:hAnsiTheme="minorEastAsia" w:eastAsiaTheme="minorEastAsia" w:cstheme="minorEastAsia"/>
          <w:color w:val="000000"/>
          <w:sz w:val="24"/>
          <w:lang w:val="en-US" w:eastAsia="zh-CN"/>
        </w:rPr>
        <w:t>3</w:t>
      </w:r>
      <w:r>
        <w:rPr>
          <w:rFonts w:hint="eastAsia" w:asciiTheme="minorEastAsia" w:hAnsiTheme="minorEastAsia" w:eastAsiaTheme="minorEastAsia" w:cstheme="minorEastAsia"/>
          <w:color w:val="000000"/>
          <w:sz w:val="24"/>
          <w:lang w:eastAsia="zh-CN"/>
        </w:rPr>
        <w:t>）操作系统：兼容</w:t>
      </w:r>
      <w:r>
        <w:rPr>
          <w:rFonts w:hint="eastAsia" w:asciiTheme="minorEastAsia" w:hAnsiTheme="minorEastAsia" w:eastAsiaTheme="minorEastAsia" w:cstheme="minorEastAsia"/>
          <w:color w:val="000000"/>
          <w:sz w:val="24"/>
          <w:lang w:val="en-US" w:eastAsia="zh-CN"/>
        </w:rPr>
        <w:t>UOS、麒麟等</w:t>
      </w:r>
      <w:r>
        <w:rPr>
          <w:rFonts w:hint="eastAsia" w:asciiTheme="minorEastAsia" w:hAnsiTheme="minorEastAsia" w:eastAsiaTheme="minorEastAsia" w:cstheme="minorEastAsia"/>
          <w:color w:val="000000"/>
          <w:sz w:val="24"/>
          <w:lang w:eastAsia="zh-CN"/>
        </w:rPr>
        <w:t>linux类型桌面操作系统和服务器自主可控操作系统。</w:t>
      </w:r>
    </w:p>
    <w:p w14:paraId="4E2F66DB">
      <w:pPr>
        <w:spacing w:line="360" w:lineRule="auto"/>
        <w:ind w:firstLine="480" w:firstLineChars="200"/>
        <w:rPr>
          <w:rFonts w:hint="eastAsia" w:asciiTheme="minorEastAsia" w:hAnsiTheme="minorEastAsia" w:eastAsiaTheme="minorEastAsia" w:cstheme="minorEastAsia"/>
          <w:color w:val="000000"/>
          <w:sz w:val="24"/>
          <w:lang w:eastAsia="zh-CN"/>
        </w:rPr>
      </w:pPr>
      <w:r>
        <w:rPr>
          <w:rFonts w:hint="eastAsia" w:asciiTheme="minorEastAsia" w:hAnsiTheme="minorEastAsia" w:eastAsiaTheme="minorEastAsia" w:cstheme="minorEastAsia"/>
          <w:color w:val="000000"/>
          <w:sz w:val="24"/>
          <w:lang w:eastAsia="zh-CN"/>
        </w:rPr>
        <w:t>（</w:t>
      </w:r>
      <w:r>
        <w:rPr>
          <w:rFonts w:hint="eastAsia" w:asciiTheme="minorEastAsia" w:hAnsiTheme="minorEastAsia" w:eastAsiaTheme="minorEastAsia" w:cstheme="minorEastAsia"/>
          <w:color w:val="000000"/>
          <w:sz w:val="24"/>
          <w:lang w:val="en-US" w:eastAsia="zh-CN"/>
        </w:rPr>
        <w:t>4</w:t>
      </w:r>
      <w:r>
        <w:rPr>
          <w:rFonts w:hint="eastAsia" w:asciiTheme="minorEastAsia" w:hAnsiTheme="minorEastAsia" w:eastAsiaTheme="minorEastAsia" w:cstheme="minorEastAsia"/>
          <w:color w:val="000000"/>
          <w:sz w:val="24"/>
          <w:lang w:eastAsia="zh-CN"/>
        </w:rPr>
        <w:t>）数据库中间件：可以兼容国内主流自主可控数据库、中间件。</w:t>
      </w:r>
    </w:p>
    <w:p w14:paraId="7E7401EC">
      <w:pPr>
        <w:spacing w:line="360" w:lineRule="auto"/>
        <w:ind w:firstLine="480" w:firstLineChars="200"/>
        <w:rPr>
          <w:rFonts w:hint="eastAsia" w:asciiTheme="minorEastAsia" w:hAnsiTheme="minorEastAsia" w:eastAsiaTheme="minorEastAsia" w:cstheme="minorEastAsia"/>
          <w:color w:val="000000"/>
          <w:sz w:val="24"/>
          <w:lang w:eastAsia="zh-CN"/>
        </w:rPr>
      </w:pPr>
      <w:r>
        <w:rPr>
          <w:rFonts w:hint="eastAsia" w:asciiTheme="minorEastAsia" w:hAnsiTheme="minorEastAsia" w:eastAsiaTheme="minorEastAsia" w:cstheme="minorEastAsia"/>
          <w:color w:val="000000"/>
          <w:sz w:val="24"/>
          <w:lang w:eastAsia="zh-CN"/>
        </w:rPr>
        <w:t>（</w:t>
      </w:r>
      <w:r>
        <w:rPr>
          <w:rFonts w:hint="eastAsia" w:asciiTheme="minorEastAsia" w:hAnsiTheme="minorEastAsia" w:eastAsiaTheme="minorEastAsia" w:cstheme="minorEastAsia"/>
          <w:color w:val="000000"/>
          <w:sz w:val="24"/>
          <w:lang w:val="en-US" w:eastAsia="zh-CN"/>
        </w:rPr>
        <w:t>5</w:t>
      </w:r>
      <w:r>
        <w:rPr>
          <w:rFonts w:hint="eastAsia" w:asciiTheme="minorEastAsia" w:hAnsiTheme="minorEastAsia" w:eastAsiaTheme="minorEastAsia" w:cstheme="minorEastAsia"/>
          <w:color w:val="000000"/>
          <w:sz w:val="24"/>
          <w:lang w:eastAsia="zh-CN"/>
        </w:rPr>
        <w:t>）应用架构设计：应用架构具备在多种基础环境下运行的设计；（硬件层：需要除x86架构外如ARM架构或MISP架构运行；操作系统层：需要能在Windows系列、</w:t>
      </w:r>
      <w:r>
        <w:rPr>
          <w:rFonts w:hint="eastAsia" w:asciiTheme="minorEastAsia" w:hAnsiTheme="minorEastAsia" w:eastAsiaTheme="minorEastAsia" w:cstheme="minorEastAsia"/>
          <w:color w:val="000000"/>
          <w:sz w:val="24"/>
          <w:lang w:val="en-US" w:eastAsia="zh-CN"/>
        </w:rPr>
        <w:t>Linux</w:t>
      </w:r>
      <w:r>
        <w:rPr>
          <w:rFonts w:hint="eastAsia" w:asciiTheme="minorEastAsia" w:hAnsiTheme="minorEastAsia" w:eastAsiaTheme="minorEastAsia" w:cstheme="minorEastAsia"/>
          <w:color w:val="000000"/>
          <w:sz w:val="24"/>
          <w:lang w:eastAsia="zh-CN"/>
        </w:rPr>
        <w:t>系列运行）</w:t>
      </w:r>
    </w:p>
    <w:p w14:paraId="543906E9">
      <w:pPr>
        <w:spacing w:line="360" w:lineRule="auto"/>
        <w:outlineLvl w:val="1"/>
        <w:rPr>
          <w:rFonts w:ascii="黑体" w:hAnsi="黑体" w:eastAsia="黑体" w:cs="黑体"/>
          <w:bCs/>
          <w:sz w:val="24"/>
        </w:rPr>
      </w:pPr>
      <w:bookmarkStart w:id="22" w:name="_Toc6117"/>
      <w:r>
        <w:rPr>
          <w:rFonts w:hint="eastAsia" w:ascii="黑体" w:hAnsi="黑体" w:eastAsia="黑体" w:cs="黑体"/>
          <w:bCs/>
          <w:sz w:val="24"/>
        </w:rPr>
        <w:t>5.</w:t>
      </w:r>
      <w:r>
        <w:rPr>
          <w:rFonts w:hint="eastAsia" w:ascii="黑体" w:hAnsi="黑体" w:eastAsia="黑体" w:cs="黑体"/>
          <w:bCs/>
          <w:sz w:val="24"/>
          <w:lang w:val="en-US" w:eastAsia="zh-CN"/>
        </w:rPr>
        <w:t>4</w:t>
      </w:r>
      <w:r>
        <w:rPr>
          <w:rFonts w:hint="eastAsia" w:ascii="黑体" w:hAnsi="黑体" w:eastAsia="黑体" w:cs="黑体"/>
          <w:bCs/>
          <w:sz w:val="24"/>
        </w:rPr>
        <w:t>成果验收</w:t>
      </w:r>
      <w:bookmarkEnd w:id="22"/>
    </w:p>
    <w:p w14:paraId="417B6267">
      <w:pPr>
        <w:spacing w:line="360" w:lineRule="auto"/>
        <w:ind w:firstLine="480" w:firstLineChars="200"/>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项目完成后，由甲方组织专家组对项目的主要技术指标、成果等进行验收。</w:t>
      </w:r>
    </w:p>
    <w:tbl>
      <w:tblPr>
        <w:tblStyle w:val="13"/>
        <w:tblW w:w="91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6"/>
        <w:gridCol w:w="1721"/>
        <w:gridCol w:w="2064"/>
        <w:gridCol w:w="1377"/>
        <w:gridCol w:w="2468"/>
        <w:gridCol w:w="971"/>
      </w:tblGrid>
      <w:tr w14:paraId="1D1E3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4" w:hRule="atLeast"/>
        </w:trPr>
        <w:tc>
          <w:tcPr>
            <w:tcW w:w="576" w:type="dxa"/>
            <w:vAlign w:val="center"/>
          </w:tcPr>
          <w:p w14:paraId="7CA7B9E9">
            <w:pPr>
              <w:adjustRightInd w:val="0"/>
              <w:snapToGrid w:val="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721" w:type="dxa"/>
            <w:vAlign w:val="center"/>
          </w:tcPr>
          <w:p w14:paraId="18EFC623">
            <w:pPr>
              <w:adjustRightInd w:val="0"/>
              <w:snapToGrid w:val="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考核指标名称</w:t>
            </w:r>
          </w:p>
        </w:tc>
        <w:tc>
          <w:tcPr>
            <w:tcW w:w="2064" w:type="dxa"/>
            <w:vAlign w:val="center"/>
          </w:tcPr>
          <w:p w14:paraId="690A8D7D">
            <w:pPr>
              <w:adjustRightInd w:val="0"/>
              <w:snapToGrid w:val="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考核指标定义</w:t>
            </w:r>
          </w:p>
        </w:tc>
        <w:tc>
          <w:tcPr>
            <w:tcW w:w="1377" w:type="dxa"/>
            <w:vAlign w:val="center"/>
          </w:tcPr>
          <w:p w14:paraId="2323012E">
            <w:pPr>
              <w:adjustRightInd w:val="0"/>
              <w:snapToGrid w:val="0"/>
              <w:jc w:val="center"/>
              <w:rPr>
                <w:rFonts w:hint="eastAsia" w:ascii="宋体" w:hAnsi="宋体" w:eastAsia="宋体" w:cs="宋体"/>
                <w:b/>
                <w:color w:val="auto"/>
                <w:sz w:val="24"/>
                <w:szCs w:val="24"/>
                <w:highlight w:val="none"/>
              </w:rPr>
            </w:pPr>
            <w:r>
              <w:rPr>
                <w:rFonts w:hint="eastAsia" w:ascii="宋体" w:hAnsi="宋体" w:eastAsia="宋体" w:cs="宋体"/>
                <w:color w:val="auto"/>
                <w:spacing w:val="-4"/>
                <w:sz w:val="24"/>
                <w:szCs w:val="24"/>
                <w:highlight w:val="none"/>
              </w:rPr>
              <w:t>中期指标值/状态</w:t>
            </w:r>
          </w:p>
        </w:tc>
        <w:tc>
          <w:tcPr>
            <w:tcW w:w="2468" w:type="dxa"/>
            <w:vAlign w:val="center"/>
          </w:tcPr>
          <w:p w14:paraId="162584DF">
            <w:pPr>
              <w:adjustRightInd w:val="0"/>
              <w:snapToGrid w:val="0"/>
              <w:jc w:val="center"/>
              <w:rPr>
                <w:rFonts w:hint="eastAsia" w:ascii="宋体" w:hAnsi="宋体" w:eastAsia="宋体" w:cs="宋体"/>
                <w:b/>
                <w:color w:val="auto"/>
                <w:sz w:val="24"/>
                <w:szCs w:val="24"/>
                <w:highlight w:val="none"/>
              </w:rPr>
            </w:pPr>
            <w:r>
              <w:rPr>
                <w:rFonts w:hint="eastAsia" w:ascii="宋体" w:hAnsi="宋体" w:eastAsia="宋体" w:cs="宋体"/>
                <w:color w:val="auto"/>
                <w:spacing w:val="-4"/>
                <w:sz w:val="24"/>
                <w:szCs w:val="24"/>
                <w:highlight w:val="none"/>
              </w:rPr>
              <w:t>验收指标值/状态</w:t>
            </w:r>
          </w:p>
        </w:tc>
        <w:tc>
          <w:tcPr>
            <w:tcW w:w="971" w:type="dxa"/>
            <w:vAlign w:val="center"/>
          </w:tcPr>
          <w:p w14:paraId="0C5BC5A8">
            <w:pPr>
              <w:adjustRightInd w:val="0"/>
              <w:snapToGrid w:val="0"/>
              <w:jc w:val="center"/>
              <w:textAlignment w:val="baseline"/>
              <w:rPr>
                <w:rFonts w:hint="eastAsia" w:ascii="宋体" w:hAnsi="宋体" w:eastAsia="宋体" w:cs="宋体"/>
                <w:b/>
                <w:color w:val="auto"/>
                <w:sz w:val="24"/>
                <w:szCs w:val="24"/>
                <w:highlight w:val="none"/>
              </w:rPr>
            </w:pPr>
            <w:r>
              <w:rPr>
                <w:rFonts w:hint="eastAsia" w:ascii="宋体" w:hAnsi="宋体" w:eastAsia="宋体" w:cs="宋体"/>
                <w:color w:val="auto"/>
                <w:spacing w:val="-4"/>
                <w:sz w:val="24"/>
                <w:szCs w:val="24"/>
                <w:highlight w:val="none"/>
              </w:rPr>
              <w:t>考核方式（方法）及评价手段</w:t>
            </w:r>
          </w:p>
        </w:tc>
      </w:tr>
      <w:tr w14:paraId="68A97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0" w:hRule="atLeast"/>
        </w:trPr>
        <w:tc>
          <w:tcPr>
            <w:tcW w:w="576" w:type="dxa"/>
            <w:vAlign w:val="center"/>
          </w:tcPr>
          <w:p w14:paraId="18DE5E06">
            <w:pPr>
              <w:adjustRightInd w:val="0"/>
              <w:snapToGrid w:val="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721" w:type="dxa"/>
            <w:shd w:val="clear" w:color="auto" w:fill="auto"/>
            <w:vAlign w:val="center"/>
          </w:tcPr>
          <w:p w14:paraId="73AB0352">
            <w:pPr>
              <w:adjustRightInd w:val="0"/>
              <w:snapToGrid w:val="0"/>
              <w:jc w:val="center"/>
              <w:textAlignment w:val="baseline"/>
              <w:rPr>
                <w:rFonts w:hint="eastAsia" w:ascii="宋体" w:hAnsi="宋体" w:eastAsia="宋体" w:cs="宋体"/>
                <w:kern w:val="2"/>
                <w:sz w:val="24"/>
                <w:szCs w:val="22"/>
                <w:highlight w:val="none"/>
                <w:lang w:val="en-US" w:eastAsia="zh-CN" w:bidi="ar-SA"/>
              </w:rPr>
            </w:pPr>
            <w:r>
              <w:rPr>
                <w:rFonts w:hint="eastAsia" w:ascii="宋体" w:hAnsi="宋体" w:eastAsia="宋体" w:cs="宋体"/>
                <w:sz w:val="24"/>
                <w:highlight w:val="none"/>
              </w:rPr>
              <w:t>界面性能指标</w:t>
            </w:r>
          </w:p>
        </w:tc>
        <w:tc>
          <w:tcPr>
            <w:tcW w:w="2064" w:type="dxa"/>
            <w:shd w:val="clear" w:color="auto" w:fill="auto"/>
            <w:vAlign w:val="center"/>
          </w:tcPr>
          <w:p w14:paraId="753BA216">
            <w:pPr>
              <w:adjustRightInd w:val="0"/>
              <w:snapToGrid w:val="0"/>
              <w:jc w:val="center"/>
              <w:textAlignment w:val="baseline"/>
              <w:rPr>
                <w:rFonts w:hint="eastAsia" w:ascii="宋体" w:hAnsi="宋体" w:eastAsia="宋体" w:cs="宋体"/>
                <w:kern w:val="2"/>
                <w:sz w:val="24"/>
                <w:szCs w:val="22"/>
                <w:highlight w:val="none"/>
                <w:lang w:val="en-US" w:eastAsia="zh-CN" w:bidi="ar-SA"/>
              </w:rPr>
            </w:pPr>
            <w:r>
              <w:rPr>
                <w:rFonts w:hint="eastAsia" w:ascii="宋体" w:hAnsi="宋体" w:eastAsia="宋体" w:cs="宋体"/>
                <w:sz w:val="24"/>
                <w:highlight w:val="none"/>
              </w:rPr>
              <w:t>绝缘界面及屏蔽界面样品的电气性能参数达到规定标准。</w:t>
            </w:r>
          </w:p>
        </w:tc>
        <w:tc>
          <w:tcPr>
            <w:tcW w:w="1377" w:type="dxa"/>
            <w:shd w:val="clear" w:color="auto" w:fill="auto"/>
            <w:vAlign w:val="center"/>
          </w:tcPr>
          <w:p w14:paraId="4BB04998">
            <w:pPr>
              <w:adjustRightInd w:val="0"/>
              <w:snapToGrid w:val="0"/>
              <w:jc w:val="center"/>
              <w:textAlignment w:val="baseline"/>
              <w:rPr>
                <w:rFonts w:hint="eastAsia" w:ascii="宋体" w:hAnsi="宋体" w:eastAsia="宋体" w:cs="宋体"/>
                <w:kern w:val="2"/>
                <w:sz w:val="24"/>
                <w:szCs w:val="22"/>
                <w:highlight w:val="none"/>
                <w:lang w:val="en-US" w:eastAsia="zh-CN" w:bidi="ar-SA"/>
              </w:rPr>
            </w:pPr>
            <w:r>
              <w:rPr>
                <w:rFonts w:hint="eastAsia" w:ascii="宋体" w:hAnsi="宋体" w:eastAsia="宋体" w:cs="宋体"/>
                <w:sz w:val="24"/>
                <w:highlight w:val="none"/>
              </w:rPr>
              <w:t>形成测试方法草案，完成初期样品制备与初步测试验证。</w:t>
            </w:r>
          </w:p>
        </w:tc>
        <w:tc>
          <w:tcPr>
            <w:tcW w:w="2468" w:type="dxa"/>
            <w:shd w:val="clear" w:color="auto" w:fill="auto"/>
            <w:vAlign w:val="center"/>
          </w:tcPr>
          <w:p w14:paraId="1239630E">
            <w:pPr>
              <w:adjustRightInd w:val="0"/>
              <w:snapToGrid w:val="0"/>
              <w:jc w:val="left"/>
              <w:textAlignment w:val="baseline"/>
              <w:rPr>
                <w:rFonts w:hint="eastAsia" w:ascii="宋体" w:hAnsi="宋体" w:eastAsia="宋体" w:cs="宋体"/>
                <w:sz w:val="24"/>
                <w:highlight w:val="none"/>
              </w:rPr>
            </w:pPr>
            <w:r>
              <w:rPr>
                <w:rFonts w:hint="eastAsia" w:ascii="宋体" w:hAnsi="宋体" w:eastAsia="宋体" w:cs="宋体"/>
                <w:sz w:val="24"/>
                <w:highlight w:val="none"/>
              </w:rPr>
              <w:t>1.绝缘界面样品体积电阻率不小于 1E12Ω·m，介电损耗不大于0.02，介电强度不小于18kV/mm；</w:t>
            </w:r>
          </w:p>
          <w:p w14:paraId="3A97F04C">
            <w:pPr>
              <w:adjustRightInd w:val="0"/>
              <w:snapToGrid w:val="0"/>
              <w:jc w:val="left"/>
              <w:textAlignment w:val="baseline"/>
              <w:rPr>
                <w:rFonts w:hint="eastAsia" w:ascii="宋体" w:hAnsi="宋体" w:eastAsia="宋体" w:cs="宋体"/>
                <w:kern w:val="2"/>
                <w:sz w:val="24"/>
                <w:szCs w:val="22"/>
                <w:highlight w:val="none"/>
                <w:lang w:val="en-US" w:eastAsia="zh-CN" w:bidi="ar-SA"/>
              </w:rPr>
            </w:pPr>
            <w:r>
              <w:rPr>
                <w:rFonts w:hint="eastAsia" w:ascii="宋体" w:hAnsi="宋体" w:eastAsia="宋体" w:cs="宋体"/>
                <w:sz w:val="24"/>
                <w:highlight w:val="none"/>
                <w:lang w:val="en-US" w:eastAsia="zh-CN"/>
              </w:rPr>
              <w:t>2</w:t>
            </w:r>
            <w:r>
              <w:rPr>
                <w:rFonts w:hint="eastAsia" w:ascii="宋体" w:hAnsi="宋体" w:eastAsia="宋体" w:cs="宋体"/>
                <w:sz w:val="24"/>
                <w:highlight w:val="none"/>
              </w:rPr>
              <w:t>.屏蔽界面样品的体积电阻率不大于100Ω·m。</w:t>
            </w:r>
          </w:p>
        </w:tc>
        <w:tc>
          <w:tcPr>
            <w:tcW w:w="971" w:type="dxa"/>
            <w:shd w:val="clear" w:color="auto" w:fill="auto"/>
            <w:vAlign w:val="center"/>
          </w:tcPr>
          <w:p w14:paraId="76DD9F48">
            <w:pPr>
              <w:adjustRightInd w:val="0"/>
              <w:snapToGrid w:val="0"/>
              <w:jc w:val="center"/>
              <w:textAlignment w:val="baseline"/>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第三方测试</w:t>
            </w:r>
          </w:p>
          <w:p w14:paraId="0CC25E6E">
            <w:pPr>
              <w:adjustRightInd w:val="0"/>
              <w:snapToGrid w:val="0"/>
              <w:jc w:val="center"/>
              <w:textAlignment w:val="baseline"/>
              <w:rPr>
                <w:rFonts w:hint="eastAsia" w:ascii="宋体" w:hAnsi="宋体" w:eastAsia="宋体" w:cs="宋体"/>
                <w:kern w:val="2"/>
                <w:sz w:val="24"/>
                <w:szCs w:val="22"/>
                <w:highlight w:val="none"/>
                <w:lang w:val="en-US" w:eastAsia="zh-CN" w:bidi="ar-SA"/>
              </w:rPr>
            </w:pPr>
          </w:p>
        </w:tc>
      </w:tr>
      <w:tr w14:paraId="1544D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trPr>
        <w:tc>
          <w:tcPr>
            <w:tcW w:w="576" w:type="dxa"/>
            <w:vAlign w:val="center"/>
          </w:tcPr>
          <w:p w14:paraId="767B8BAC">
            <w:pPr>
              <w:adjustRightInd w:val="0"/>
              <w:snapToGrid w:val="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1721" w:type="dxa"/>
            <w:shd w:val="clear" w:color="auto" w:fill="auto"/>
            <w:vAlign w:val="center"/>
          </w:tcPr>
          <w:p w14:paraId="31EE1531">
            <w:pPr>
              <w:adjustRightInd w:val="0"/>
              <w:snapToGrid w:val="0"/>
              <w:jc w:val="center"/>
              <w:textAlignment w:val="baseline"/>
              <w:rPr>
                <w:rFonts w:hint="eastAsia" w:ascii="宋体" w:hAnsi="宋体" w:eastAsia="宋体" w:cs="宋体"/>
                <w:kern w:val="2"/>
                <w:sz w:val="24"/>
                <w:szCs w:val="22"/>
                <w:highlight w:val="none"/>
                <w:lang w:val="en-US" w:eastAsia="zh-CN" w:bidi="ar-SA"/>
              </w:rPr>
            </w:pPr>
            <w:r>
              <w:rPr>
                <w:rFonts w:hint="eastAsia" w:ascii="宋体" w:hAnsi="宋体" w:eastAsia="宋体" w:cs="宋体"/>
                <w:sz w:val="24"/>
                <w:highlight w:val="none"/>
              </w:rPr>
              <w:t>GIS终端充气压力</w:t>
            </w:r>
          </w:p>
        </w:tc>
        <w:tc>
          <w:tcPr>
            <w:tcW w:w="2064" w:type="dxa"/>
            <w:shd w:val="clear" w:color="auto" w:fill="auto"/>
            <w:vAlign w:val="center"/>
          </w:tcPr>
          <w:p w14:paraId="68A3AE56">
            <w:pPr>
              <w:adjustRightInd w:val="0"/>
              <w:snapToGrid w:val="0"/>
              <w:jc w:val="left"/>
              <w:textAlignment w:val="baseline"/>
              <w:rPr>
                <w:rFonts w:hint="eastAsia" w:ascii="宋体" w:hAnsi="宋体" w:eastAsia="宋体" w:cs="宋体"/>
                <w:kern w:val="2"/>
                <w:sz w:val="24"/>
                <w:szCs w:val="22"/>
                <w:highlight w:val="none"/>
                <w:lang w:val="en-US" w:eastAsia="zh-CN" w:bidi="ar-SA"/>
              </w:rPr>
            </w:pPr>
            <w:r>
              <w:rPr>
                <w:rFonts w:hint="eastAsia" w:ascii="宋体" w:hAnsi="宋体" w:eastAsia="宋体" w:cs="宋体"/>
                <w:sz w:val="24"/>
                <w:highlight w:val="none"/>
              </w:rPr>
              <w:t>提出GIS终端结构设计方案，充气压力不低于 0.25MPa。</w:t>
            </w:r>
          </w:p>
        </w:tc>
        <w:tc>
          <w:tcPr>
            <w:tcW w:w="1377" w:type="dxa"/>
            <w:shd w:val="clear" w:color="auto" w:fill="auto"/>
            <w:vAlign w:val="center"/>
          </w:tcPr>
          <w:p w14:paraId="03CF12E3">
            <w:pPr>
              <w:adjustRightInd w:val="0"/>
              <w:snapToGrid w:val="0"/>
              <w:jc w:val="center"/>
              <w:textAlignment w:val="baseline"/>
              <w:rPr>
                <w:rFonts w:hint="eastAsia" w:ascii="宋体" w:hAnsi="宋体" w:eastAsia="宋体" w:cs="宋体"/>
                <w:kern w:val="2"/>
                <w:sz w:val="24"/>
                <w:szCs w:val="22"/>
                <w:highlight w:val="none"/>
                <w:lang w:val="en-US" w:eastAsia="zh-CN" w:bidi="ar-SA"/>
              </w:rPr>
            </w:pPr>
            <w:r>
              <w:rPr>
                <w:rFonts w:hint="eastAsia" w:ascii="宋体" w:hAnsi="宋体" w:eastAsia="宋体" w:cs="宋体"/>
                <w:sz w:val="24"/>
                <w:highlight w:val="none"/>
                <w:lang w:val="en-US" w:eastAsia="zh-CN"/>
              </w:rPr>
              <w:t>完成</w:t>
            </w:r>
            <w:bookmarkStart w:id="33" w:name="_GoBack"/>
            <w:bookmarkEnd w:id="33"/>
            <w:r>
              <w:rPr>
                <w:rFonts w:hint="eastAsia" w:ascii="宋体" w:hAnsi="宋体" w:eastAsia="宋体" w:cs="宋体"/>
                <w:sz w:val="24"/>
                <w:highlight w:val="none"/>
                <w:lang w:val="en-US" w:eastAsia="zh-CN"/>
              </w:rPr>
              <w:t>GIS终端设计方案</w:t>
            </w:r>
          </w:p>
        </w:tc>
        <w:tc>
          <w:tcPr>
            <w:tcW w:w="2468" w:type="dxa"/>
            <w:shd w:val="clear" w:color="auto" w:fill="auto"/>
            <w:vAlign w:val="center"/>
          </w:tcPr>
          <w:p w14:paraId="17CCD528">
            <w:pPr>
              <w:adjustRightInd w:val="0"/>
              <w:snapToGrid w:val="0"/>
              <w:jc w:val="left"/>
              <w:textAlignment w:val="baseline"/>
              <w:rPr>
                <w:rFonts w:hint="eastAsia" w:ascii="宋体" w:hAnsi="宋体" w:eastAsia="宋体" w:cs="宋体"/>
                <w:kern w:val="2"/>
                <w:sz w:val="24"/>
                <w:szCs w:val="22"/>
                <w:highlight w:val="none"/>
                <w:lang w:val="en-US" w:eastAsia="zh-CN" w:bidi="ar-SA"/>
              </w:rPr>
            </w:pPr>
            <w:r>
              <w:rPr>
                <w:rFonts w:hint="eastAsia" w:ascii="宋体" w:hAnsi="宋体" w:eastAsia="宋体" w:cs="宋体"/>
                <w:sz w:val="24"/>
                <w:highlight w:val="none"/>
              </w:rPr>
              <w:t>电缆附件终端结构设计</w:t>
            </w:r>
            <w:r>
              <w:rPr>
                <w:rFonts w:hint="eastAsia" w:ascii="宋体" w:hAnsi="宋体" w:eastAsia="宋体" w:cs="宋体"/>
                <w:sz w:val="24"/>
                <w:highlight w:val="none"/>
                <w:lang w:val="en-US" w:eastAsia="zh-CN"/>
              </w:rPr>
              <w:t>中</w:t>
            </w:r>
            <w:r>
              <w:rPr>
                <w:rFonts w:hint="eastAsia" w:ascii="宋体" w:hAnsi="宋体" w:eastAsia="宋体" w:cs="宋体"/>
                <w:sz w:val="24"/>
                <w:highlight w:val="none"/>
              </w:rPr>
              <w:t>GIS终端充气压力不低于0.25MPa</w:t>
            </w:r>
          </w:p>
        </w:tc>
        <w:tc>
          <w:tcPr>
            <w:tcW w:w="971" w:type="dxa"/>
            <w:shd w:val="clear" w:color="auto" w:fill="auto"/>
            <w:vAlign w:val="center"/>
          </w:tcPr>
          <w:p w14:paraId="28647559">
            <w:pPr>
              <w:adjustRightInd w:val="0"/>
              <w:snapToGrid w:val="0"/>
              <w:jc w:val="center"/>
              <w:textAlignment w:val="baseline"/>
              <w:rPr>
                <w:rFonts w:hint="eastAsia" w:ascii="宋体" w:hAnsi="宋体" w:eastAsia="宋体" w:cs="宋体"/>
                <w:kern w:val="2"/>
                <w:sz w:val="24"/>
                <w:szCs w:val="22"/>
                <w:highlight w:val="none"/>
                <w:lang w:val="en-US" w:eastAsia="zh-CN" w:bidi="ar-SA"/>
              </w:rPr>
            </w:pPr>
            <w:r>
              <w:rPr>
                <w:rFonts w:hint="eastAsia" w:ascii="宋体" w:hAnsi="宋体" w:eastAsia="宋体" w:cs="宋体"/>
                <w:sz w:val="24"/>
                <w:highlight w:val="none"/>
                <w:lang w:val="en-US" w:eastAsia="zh-CN"/>
              </w:rPr>
              <w:t>第三方测试</w:t>
            </w:r>
          </w:p>
        </w:tc>
      </w:tr>
      <w:tr w14:paraId="54BDB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1" w:hRule="atLeast"/>
        </w:trPr>
        <w:tc>
          <w:tcPr>
            <w:tcW w:w="576" w:type="dxa"/>
            <w:vAlign w:val="center"/>
          </w:tcPr>
          <w:p w14:paraId="695AE765">
            <w:pPr>
              <w:adjustRightInd w:val="0"/>
              <w:snapToGrid w:val="0"/>
              <w:jc w:val="center"/>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w:t>
            </w:r>
          </w:p>
        </w:tc>
        <w:tc>
          <w:tcPr>
            <w:tcW w:w="1721" w:type="dxa"/>
            <w:shd w:val="clear" w:color="auto" w:fill="auto"/>
            <w:vAlign w:val="center"/>
          </w:tcPr>
          <w:p w14:paraId="2F385C8F">
            <w:pPr>
              <w:adjustRightInd w:val="0"/>
              <w:snapToGrid w:val="0"/>
              <w:jc w:val="center"/>
              <w:textAlignment w:val="baseline"/>
              <w:rPr>
                <w:rFonts w:hint="eastAsia" w:ascii="宋体" w:hAnsi="宋体" w:eastAsia="宋体" w:cs="宋体"/>
                <w:kern w:val="2"/>
                <w:sz w:val="24"/>
                <w:szCs w:val="22"/>
                <w:highlight w:val="none"/>
                <w:lang w:val="en-US" w:eastAsia="zh-CN" w:bidi="ar-SA"/>
              </w:rPr>
            </w:pPr>
            <w:r>
              <w:rPr>
                <w:rFonts w:hint="eastAsia" w:ascii="宋体" w:hAnsi="宋体" w:eastAsia="宋体" w:cs="宋体"/>
                <w:sz w:val="24"/>
                <w:highlight w:val="none"/>
              </w:rPr>
              <w:t>高压聚丙烯电缆附件长期可靠性试验评价指标</w:t>
            </w:r>
            <w:r>
              <w:rPr>
                <w:rFonts w:hint="eastAsia" w:ascii="宋体" w:hAnsi="宋体" w:eastAsia="宋体" w:cs="宋体"/>
                <w:sz w:val="24"/>
                <w:highlight w:val="none"/>
                <w:lang w:val="en-US" w:eastAsia="zh-CN"/>
              </w:rPr>
              <w:t>数量</w:t>
            </w:r>
          </w:p>
        </w:tc>
        <w:tc>
          <w:tcPr>
            <w:tcW w:w="2064" w:type="dxa"/>
            <w:shd w:val="clear" w:color="auto" w:fill="auto"/>
            <w:vAlign w:val="center"/>
          </w:tcPr>
          <w:p w14:paraId="31D6924F">
            <w:pPr>
              <w:adjustRightInd w:val="0"/>
              <w:snapToGrid w:val="0"/>
              <w:jc w:val="center"/>
              <w:textAlignment w:val="baseline"/>
              <w:rPr>
                <w:rFonts w:hint="eastAsia" w:ascii="宋体" w:hAnsi="宋体" w:eastAsia="宋体" w:cs="宋体"/>
                <w:kern w:val="2"/>
                <w:sz w:val="24"/>
                <w:szCs w:val="22"/>
                <w:highlight w:val="none"/>
                <w:lang w:val="en-US" w:eastAsia="zh-CN" w:bidi="ar-SA"/>
              </w:rPr>
            </w:pPr>
            <w:r>
              <w:rPr>
                <w:rFonts w:hint="eastAsia" w:ascii="宋体" w:hAnsi="宋体" w:eastAsia="宋体" w:cs="宋体"/>
                <w:sz w:val="24"/>
                <w:highlight w:val="none"/>
              </w:rPr>
              <w:t>搭建综合试验回路，提出长期可靠性评价指标集。</w:t>
            </w:r>
          </w:p>
        </w:tc>
        <w:tc>
          <w:tcPr>
            <w:tcW w:w="1377" w:type="dxa"/>
            <w:shd w:val="clear" w:color="auto" w:fill="auto"/>
            <w:vAlign w:val="center"/>
          </w:tcPr>
          <w:p w14:paraId="74BA0342">
            <w:pPr>
              <w:adjustRightInd w:val="0"/>
              <w:snapToGrid w:val="0"/>
              <w:jc w:val="center"/>
              <w:textAlignment w:val="baseline"/>
              <w:rPr>
                <w:rFonts w:hint="eastAsia" w:ascii="宋体" w:hAnsi="宋体" w:eastAsia="宋体" w:cs="宋体"/>
                <w:kern w:val="2"/>
                <w:sz w:val="24"/>
                <w:szCs w:val="22"/>
                <w:highlight w:val="none"/>
                <w:lang w:val="en-US" w:eastAsia="zh-CN" w:bidi="ar-SA"/>
              </w:rPr>
            </w:pPr>
            <w:r>
              <w:rPr>
                <w:rFonts w:hint="eastAsia" w:ascii="宋体" w:hAnsi="宋体" w:eastAsia="宋体" w:cs="宋体"/>
                <w:sz w:val="24"/>
                <w:highlight w:val="none"/>
              </w:rPr>
              <w:t>完成综合性试验回路设计与搭建。</w:t>
            </w:r>
          </w:p>
        </w:tc>
        <w:tc>
          <w:tcPr>
            <w:tcW w:w="2468" w:type="dxa"/>
            <w:shd w:val="clear" w:color="auto" w:fill="auto"/>
            <w:vAlign w:val="center"/>
          </w:tcPr>
          <w:p w14:paraId="29587B9A">
            <w:pPr>
              <w:adjustRightInd w:val="0"/>
              <w:snapToGrid w:val="0"/>
              <w:jc w:val="left"/>
              <w:textAlignment w:val="baseline"/>
              <w:rPr>
                <w:rFonts w:hint="eastAsia" w:ascii="宋体" w:hAnsi="宋体" w:eastAsia="宋体" w:cs="宋体"/>
                <w:kern w:val="2"/>
                <w:sz w:val="24"/>
                <w:szCs w:val="22"/>
                <w:highlight w:val="none"/>
                <w:lang w:val="en-US" w:eastAsia="zh-CN" w:bidi="ar-SA"/>
              </w:rPr>
            </w:pPr>
            <w:r>
              <w:rPr>
                <w:rFonts w:hint="eastAsia" w:ascii="宋体" w:hAnsi="宋体" w:eastAsia="宋体" w:cs="宋体"/>
                <w:sz w:val="24"/>
                <w:highlight w:val="none"/>
              </w:rPr>
              <w:t>形成不低于5个关键参数的高压聚丙烯电缆附件长期可靠性试验评价指标集</w:t>
            </w:r>
          </w:p>
        </w:tc>
        <w:tc>
          <w:tcPr>
            <w:tcW w:w="971" w:type="dxa"/>
            <w:shd w:val="clear" w:color="auto" w:fill="auto"/>
            <w:vAlign w:val="center"/>
          </w:tcPr>
          <w:p w14:paraId="7C08375F">
            <w:pPr>
              <w:adjustRightInd w:val="0"/>
              <w:snapToGrid w:val="0"/>
              <w:jc w:val="center"/>
              <w:textAlignment w:val="baseline"/>
              <w:rPr>
                <w:rFonts w:hint="eastAsia" w:ascii="宋体" w:hAnsi="宋体" w:eastAsia="宋体" w:cs="宋体"/>
                <w:kern w:val="2"/>
                <w:sz w:val="24"/>
                <w:szCs w:val="22"/>
                <w:highlight w:val="none"/>
                <w:lang w:val="en-US" w:eastAsia="zh-CN" w:bidi="ar-SA"/>
              </w:rPr>
            </w:pPr>
            <w:r>
              <w:rPr>
                <w:rFonts w:hint="eastAsia" w:ascii="宋体" w:hAnsi="宋体" w:eastAsia="宋体" w:cs="宋体"/>
                <w:sz w:val="24"/>
                <w:highlight w:val="none"/>
              </w:rPr>
              <w:t>专家评审</w:t>
            </w:r>
          </w:p>
        </w:tc>
      </w:tr>
    </w:tbl>
    <w:p w14:paraId="1B5BEC35">
      <w:pPr>
        <w:spacing w:line="360" w:lineRule="auto"/>
        <w:outlineLvl w:val="1"/>
        <w:rPr>
          <w:rFonts w:hint="eastAsia" w:ascii="黑体" w:hAnsi="黑体" w:eastAsia="黑体" w:cs="黑体"/>
          <w:bCs/>
          <w:sz w:val="24"/>
        </w:rPr>
      </w:pPr>
    </w:p>
    <w:p w14:paraId="4A88D2CE">
      <w:pPr>
        <w:pStyle w:val="22"/>
        <w:spacing w:before="312"/>
        <w:outlineLvl w:val="0"/>
        <w:rPr>
          <w:rFonts w:ascii="黑体" w:hAnsi="黑体" w:eastAsia="黑体" w:cs="黑体"/>
          <w:sz w:val="28"/>
          <w:szCs w:val="28"/>
        </w:rPr>
      </w:pPr>
      <w:bookmarkStart w:id="23" w:name="_Toc30047"/>
      <w:r>
        <w:rPr>
          <w:rFonts w:hint="eastAsia" w:ascii="黑体" w:hAnsi="黑体" w:eastAsia="黑体" w:cs="黑体"/>
          <w:sz w:val="28"/>
          <w:szCs w:val="28"/>
        </w:rPr>
        <w:t>6  投标技术文件要求</w:t>
      </w:r>
      <w:bookmarkEnd w:id="23"/>
    </w:p>
    <w:p w14:paraId="7F6EEF78">
      <w:pPr>
        <w:spacing w:line="360" w:lineRule="auto"/>
        <w:outlineLvl w:val="1"/>
        <w:rPr>
          <w:rFonts w:ascii="黑体" w:hAnsi="黑体" w:eastAsia="黑体" w:cs="黑体"/>
          <w:bCs/>
          <w:sz w:val="24"/>
        </w:rPr>
      </w:pPr>
      <w:bookmarkStart w:id="24" w:name="_Toc26928"/>
      <w:r>
        <w:rPr>
          <w:rFonts w:hint="eastAsia" w:ascii="黑体" w:hAnsi="黑体" w:eastAsia="黑体" w:cs="黑体"/>
          <w:bCs/>
          <w:sz w:val="24"/>
        </w:rPr>
        <w:t>6.1 研究方案</w:t>
      </w:r>
      <w:bookmarkEnd w:id="24"/>
    </w:p>
    <w:p w14:paraId="4748FC3E">
      <w:pPr>
        <w:spacing w:line="360" w:lineRule="auto"/>
        <w:outlineLvl w:val="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（1）项目技术路线</w:t>
      </w:r>
    </w:p>
    <w:p w14:paraId="67C947BE">
      <w:pPr>
        <w:spacing w:line="360" w:lineRule="auto"/>
        <w:ind w:firstLine="480" w:firstLineChars="200"/>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项目实施的总体研究思路和总体框架。</w:t>
      </w:r>
    </w:p>
    <w:p w14:paraId="4AFDF46A">
      <w:pPr>
        <w:spacing w:line="360" w:lineRule="auto"/>
        <w:outlineLvl w:val="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（2）技术方案</w:t>
      </w:r>
    </w:p>
    <w:p w14:paraId="19305AA3">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投标方应针对每项研究内容提供详尽的技术解决方案。</w:t>
      </w:r>
    </w:p>
    <w:p w14:paraId="67FEEFF3">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1）基于材料结构与界面电场理论，对整体预制式中间接头与聚丙烯电缆本体的界面匹配特性开展系统分析。</w:t>
      </w:r>
    </w:p>
    <w:p w14:paraId="574FE211">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2）开发基于同源聚丙烯配方的绝缘线芯复合结构同位恢复技术，通过优化界面过渡结构和材料配比，实现接头区域电气与结构性能的协同恢复。</w:t>
      </w:r>
    </w:p>
    <w:p w14:paraId="6036040F">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3）基于有限元分析方法构建高压聚丙烯电缆GIS终端与户外终端附件多物理场耦合模型，综合考虑电场、温度场与机械应力场，建立材料电导率、介电常数与温度相关的参数模型，模拟不同运行工况下终端内部场分布特性。</w:t>
      </w:r>
    </w:p>
    <w:p w14:paraId="6EB70C60">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4）设计高压聚丙烯电缆系统试验回路，搭建长期可靠性平台，集成温度、局放、电压电流等在线监测单元，实现电-热耦合运行模拟。</w:t>
      </w:r>
    </w:p>
    <w:p w14:paraId="2FF23D66">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lang w:val="en-US" w:eastAsia="zh-CN"/>
        </w:rPr>
        <w:t>5</w:t>
      </w:r>
      <w:r>
        <w:rPr>
          <w:rFonts w:hint="eastAsia" w:asciiTheme="minorEastAsia" w:hAnsiTheme="minorEastAsia" w:eastAsiaTheme="minorEastAsia" w:cstheme="minorEastAsia"/>
          <w:color w:val="000000"/>
          <w:sz w:val="24"/>
        </w:rPr>
        <w:t>）基于试验数据，利用统计与可靠性模型分析退化规律，构建长期可靠性评价方法，最终形成适用于工程验证的试验与评价技术体系。</w:t>
      </w:r>
    </w:p>
    <w:p w14:paraId="23A50B2B">
      <w:pPr>
        <w:numPr>
          <w:ilvl w:val="0"/>
          <w:numId w:val="0"/>
        </w:numPr>
        <w:spacing w:line="360" w:lineRule="auto"/>
        <w:ind w:left="0" w:leftChars="0" w:firstLine="0" w:firstLineChars="0"/>
        <w:outlineLvl w:val="2"/>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kern w:val="2"/>
          <w:sz w:val="24"/>
          <w:szCs w:val="24"/>
          <w:lang w:val="en-US" w:eastAsia="zh-CN" w:bidi="ar-SA"/>
        </w:rPr>
        <w:t>（3）</w:t>
      </w:r>
      <w:r>
        <w:rPr>
          <w:rFonts w:hint="eastAsia" w:asciiTheme="minorEastAsia" w:hAnsiTheme="minorEastAsia" w:eastAsiaTheme="minorEastAsia" w:cstheme="minorEastAsia"/>
          <w:sz w:val="24"/>
        </w:rPr>
        <w:t>重点解决的技术难题</w:t>
      </w:r>
    </w:p>
    <w:p w14:paraId="7E42D5DD">
      <w:pPr>
        <w:spacing w:line="360" w:lineRule="auto"/>
        <w:ind w:firstLine="480" w:firstLineChars="200"/>
        <w:rPr>
          <w:rFonts w:hint="eastAsia" w:asciiTheme="minorEastAsia" w:hAnsiTheme="minorEastAsia" w:eastAsiaTheme="minorEastAsia" w:cstheme="minorEastAsia"/>
          <w:color w:val="000000"/>
          <w:sz w:val="24"/>
          <w:lang w:val="en-US" w:eastAsia="zh-CN"/>
        </w:rPr>
      </w:pPr>
      <w:r>
        <w:rPr>
          <w:rFonts w:hint="eastAsia" w:asciiTheme="minorEastAsia" w:hAnsiTheme="minorEastAsia" w:eastAsiaTheme="minorEastAsia" w:cstheme="minorEastAsia"/>
          <w:color w:val="000000"/>
          <w:sz w:val="24"/>
          <w:lang w:val="en-US" w:eastAsia="zh-CN"/>
        </w:rPr>
        <w:t>1）本研究拟解决高压聚丙烯电缆终端在复杂运行工况下结构设计与绝缘配合优化的关键问题。核心技术难点在于多物理场耦合条件下多界面电场调控与结构协同优化。</w:t>
      </w:r>
    </w:p>
    <w:p w14:paraId="2D1F539F">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2）本研究拟重点解决聚丙烯电缆接头与电缆本体之间的界面匹配机理问题，揭示界面材料、结构及电场分布之间的耦合关系；突破同源聚丙烯绝缘线芯复合结构同位恢复关键技术，实现接头在复杂运行工况下与电缆本体绝缘性能的协同匹配与稳定运行。</w:t>
      </w:r>
    </w:p>
    <w:p w14:paraId="33FBB84E">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3）重点突破在电场—热场—环境应力多因素耦合作用下，聚丙烯绝缘电缆附件老化机理及性能演变规律不清晰的科学问题；解决长期可靠性试验中工况模拟精度不足、试验周期长及状态信息获取困难等关键技术难题。</w:t>
      </w:r>
    </w:p>
    <w:p w14:paraId="3852FD79">
      <w:pPr>
        <w:spacing w:line="360" w:lineRule="auto"/>
        <w:outlineLvl w:val="2"/>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sz w:val="24"/>
        </w:rPr>
        <w:t>（4）主要技术指标实现的可行性</w:t>
      </w:r>
    </w:p>
    <w:p w14:paraId="65078BB5">
      <w:pPr>
        <w:spacing w:line="360" w:lineRule="auto"/>
        <w:outlineLvl w:val="1"/>
        <w:rPr>
          <w:rFonts w:ascii="黑体" w:hAnsi="黑体" w:eastAsia="黑体" w:cs="黑体"/>
          <w:bCs/>
          <w:sz w:val="24"/>
        </w:rPr>
      </w:pPr>
      <w:bookmarkStart w:id="25" w:name="_Toc3443"/>
      <w:bookmarkStart w:id="26" w:name="_Toc12714"/>
      <w:r>
        <w:rPr>
          <w:rFonts w:hint="eastAsia" w:ascii="黑体" w:hAnsi="黑体" w:eastAsia="黑体" w:cs="黑体"/>
          <w:bCs/>
          <w:sz w:val="24"/>
        </w:rPr>
        <w:t>6.2 项目管理实施</w:t>
      </w:r>
      <w:bookmarkEnd w:id="25"/>
      <w:bookmarkEnd w:id="26"/>
    </w:p>
    <w:p w14:paraId="6C7DB897">
      <w:pPr>
        <w:spacing w:line="360" w:lineRule="auto"/>
        <w:outlineLvl w:val="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（1）项目人员组织</w:t>
      </w:r>
    </w:p>
    <w:p w14:paraId="13D48C1D">
      <w:pPr>
        <w:spacing w:line="360" w:lineRule="auto"/>
        <w:ind w:firstLine="480" w:firstLineChars="200"/>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介绍项目人员组织情况、职责分工。</w:t>
      </w:r>
    </w:p>
    <w:p w14:paraId="353EC129">
      <w:pPr>
        <w:spacing w:line="360" w:lineRule="auto"/>
        <w:outlineLvl w:val="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（2）项目进度</w:t>
      </w:r>
    </w:p>
    <w:p w14:paraId="7B6F409B">
      <w:pPr>
        <w:spacing w:line="360" w:lineRule="auto"/>
        <w:ind w:firstLine="480" w:firstLineChars="200"/>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提交详细的项目实施计划，明确里程碑。</w:t>
      </w:r>
    </w:p>
    <w:p w14:paraId="2A6D8BBF">
      <w:pPr>
        <w:spacing w:line="360" w:lineRule="auto"/>
        <w:outlineLvl w:val="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（3）项目交付项</w:t>
      </w:r>
    </w:p>
    <w:p w14:paraId="0C68F220">
      <w:pPr>
        <w:spacing w:line="360" w:lineRule="auto"/>
        <w:ind w:firstLine="480" w:firstLineChars="200"/>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说明项目阶段任务完成后，投标方根据成果交付与验收要求应提交给招标方的产品、服务以及交接文件等，并附上相应的交付时间计划表。</w:t>
      </w:r>
    </w:p>
    <w:p w14:paraId="51B9C2B5">
      <w:pPr>
        <w:spacing w:line="360" w:lineRule="auto"/>
        <w:outlineLvl w:val="1"/>
        <w:rPr>
          <w:rFonts w:ascii="黑体" w:hAnsi="黑体" w:eastAsia="黑体" w:cs="黑体"/>
          <w:bCs/>
          <w:sz w:val="24"/>
        </w:rPr>
      </w:pPr>
      <w:bookmarkStart w:id="27" w:name="_Toc29755"/>
      <w:r>
        <w:rPr>
          <w:rFonts w:hint="eastAsia" w:ascii="黑体" w:hAnsi="黑体" w:eastAsia="黑体" w:cs="黑体"/>
          <w:bCs/>
          <w:sz w:val="24"/>
        </w:rPr>
        <w:t>6.3 项目技术支撑能力</w:t>
      </w:r>
      <w:bookmarkEnd w:id="27"/>
    </w:p>
    <w:p w14:paraId="74F91315">
      <w:pPr>
        <w:keepNext w:val="0"/>
        <w:keepLines w:val="0"/>
        <w:pageBreakBefore w:val="0"/>
        <w:widowControl w:val="0"/>
        <w:kinsoku/>
        <w:wordWrap/>
        <w:overflowPunct/>
        <w:topLinePunct w:val="0"/>
        <w:autoSpaceDE/>
        <w:autoSpaceDN/>
        <w:bidi w:val="0"/>
        <w:adjustRightInd/>
        <w:snapToGrid/>
        <w:spacing w:line="360" w:lineRule="auto"/>
        <w:textAlignment w:val="auto"/>
        <w:outlineLvl w:val="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（1）项目经验</w:t>
      </w:r>
    </w:p>
    <w:p w14:paraId="18832B3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该部分填写与标的物相关的项目研究经验、合同情况、论文专利和获奖情况。</w:t>
      </w:r>
    </w:p>
    <w:p w14:paraId="358FDB44">
      <w:pPr>
        <w:keepNext w:val="0"/>
        <w:keepLines w:val="0"/>
        <w:pageBreakBefore w:val="0"/>
        <w:widowControl w:val="0"/>
        <w:kinsoku/>
        <w:wordWrap/>
        <w:overflowPunct/>
        <w:topLinePunct w:val="0"/>
        <w:autoSpaceDE/>
        <w:autoSpaceDN/>
        <w:bidi w:val="0"/>
        <w:adjustRightInd/>
        <w:snapToGrid/>
        <w:spacing w:line="360" w:lineRule="auto"/>
        <w:textAlignment w:val="auto"/>
        <w:outlineLvl w:val="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（2）人员支撑能力</w:t>
      </w:r>
    </w:p>
    <w:p w14:paraId="11F679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该部分填写与标的物相关的本项目研究成员详细资料（包括学历、资质、研究方向/工作经验等），提供</w:t>
      </w:r>
      <w:r>
        <w:rPr>
          <w:rFonts w:hint="eastAsia" w:asciiTheme="minorEastAsia" w:hAnsiTheme="minorEastAsia" w:eastAsiaTheme="minorEastAsia" w:cstheme="minorEastAsia"/>
          <w:color w:val="000000"/>
          <w:sz w:val="24"/>
          <w:lang w:val="en-US" w:eastAsia="zh-CN"/>
        </w:rPr>
        <w:t>相关支撑材料</w:t>
      </w:r>
      <w:r>
        <w:rPr>
          <w:rFonts w:hint="eastAsia" w:asciiTheme="minorEastAsia" w:hAnsiTheme="minorEastAsia" w:eastAsiaTheme="minorEastAsia" w:cstheme="minorEastAsia"/>
          <w:color w:val="000000"/>
          <w:sz w:val="24"/>
        </w:rPr>
        <w:t>。</w:t>
      </w:r>
    </w:p>
    <w:p w14:paraId="040F82F8">
      <w:pPr>
        <w:keepNext w:val="0"/>
        <w:keepLines w:val="0"/>
        <w:pageBreakBefore w:val="0"/>
        <w:widowControl w:val="0"/>
        <w:kinsoku/>
        <w:wordWrap/>
        <w:overflowPunct/>
        <w:topLinePunct w:val="0"/>
        <w:autoSpaceDE/>
        <w:autoSpaceDN/>
        <w:bidi w:val="0"/>
        <w:adjustRightInd/>
        <w:snapToGrid/>
        <w:spacing w:line="360" w:lineRule="auto"/>
        <w:textAlignment w:val="auto"/>
        <w:outlineLvl w:val="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（3）设备支撑能力</w:t>
      </w:r>
    </w:p>
    <w:p w14:paraId="315AC60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该部分填写与标的物相关的、支撑该项目研究的设备、平台、实验室等。</w:t>
      </w:r>
    </w:p>
    <w:p w14:paraId="327F9E3E">
      <w:pPr>
        <w:spacing w:line="360" w:lineRule="auto"/>
        <w:outlineLvl w:val="1"/>
        <w:rPr>
          <w:rFonts w:ascii="黑体" w:hAnsi="黑体" w:eastAsia="黑体" w:cs="黑体"/>
          <w:bCs/>
          <w:sz w:val="24"/>
        </w:rPr>
      </w:pPr>
      <w:bookmarkStart w:id="28" w:name="_Toc3357"/>
      <w:bookmarkStart w:id="29" w:name="_Toc25058"/>
      <w:r>
        <w:rPr>
          <w:rFonts w:hint="eastAsia" w:ascii="黑体" w:hAnsi="黑体" w:eastAsia="黑体" w:cs="黑体"/>
          <w:bCs/>
          <w:sz w:val="24"/>
        </w:rPr>
        <w:t>6.4 技术支持与售后服务</w:t>
      </w:r>
      <w:bookmarkEnd w:id="28"/>
      <w:bookmarkEnd w:id="29"/>
    </w:p>
    <w:p w14:paraId="33C764F6">
      <w:pPr>
        <w:spacing w:line="360" w:lineRule="auto"/>
        <w:ind w:firstLine="480" w:firstLineChars="200"/>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投标方要明确所能提供的服务内容，服务方式，服务承诺和售后服务等情况。</w:t>
      </w:r>
    </w:p>
    <w:p w14:paraId="22317C31">
      <w:pPr>
        <w:spacing w:line="360" w:lineRule="auto"/>
        <w:outlineLvl w:val="1"/>
        <w:rPr>
          <w:rFonts w:ascii="黑体" w:hAnsi="黑体" w:eastAsia="黑体" w:cs="黑体"/>
          <w:bCs/>
          <w:sz w:val="24"/>
        </w:rPr>
      </w:pPr>
      <w:bookmarkStart w:id="30" w:name="_Toc17138"/>
      <w:r>
        <w:rPr>
          <w:rFonts w:hint="eastAsia" w:ascii="黑体" w:hAnsi="黑体" w:eastAsia="黑体" w:cs="黑体"/>
          <w:bCs/>
          <w:sz w:val="24"/>
        </w:rPr>
        <w:t>6.5 技术差异表</w:t>
      </w:r>
      <w:bookmarkEnd w:id="30"/>
    </w:p>
    <w:p w14:paraId="4E7621A9">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投标方应针对主要技术指标要求、成果交付数量要求等填写响应的差异情况。</w:t>
      </w:r>
    </w:p>
    <w:p w14:paraId="1CC1F294">
      <w:pPr>
        <w:spacing w:line="360" w:lineRule="auto"/>
        <w:jc w:val="center"/>
        <w:rPr>
          <w:rFonts w:ascii="黑体" w:hAnsi="黑体" w:eastAsia="黑体" w:cs="黑体"/>
          <w:bCs/>
          <w:color w:val="000000"/>
          <w:szCs w:val="21"/>
        </w:rPr>
      </w:pPr>
      <w:r>
        <w:rPr>
          <w:rFonts w:hint="eastAsia" w:ascii="黑体" w:hAnsi="黑体" w:eastAsia="黑体" w:cs="黑体"/>
          <w:bCs/>
          <w:color w:val="000000"/>
          <w:szCs w:val="21"/>
        </w:rPr>
        <w:t>表6.1 技术指标差异表（投标方填写）</w:t>
      </w:r>
    </w:p>
    <w:tbl>
      <w:tblPr>
        <w:tblStyle w:val="14"/>
        <w:tblW w:w="839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86"/>
        <w:gridCol w:w="1782"/>
        <w:gridCol w:w="1574"/>
        <w:gridCol w:w="1485"/>
        <w:gridCol w:w="1713"/>
        <w:gridCol w:w="1351"/>
      </w:tblGrid>
      <w:tr w14:paraId="4EC66B4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6" w:hRule="atLeast"/>
          <w:jc w:val="center"/>
        </w:trPr>
        <w:tc>
          <w:tcPr>
            <w:tcW w:w="486" w:type="dxa"/>
            <w:tcBorders>
              <w:tl2br w:val="nil"/>
              <w:tr2bl w:val="nil"/>
            </w:tcBorders>
            <w:vAlign w:val="center"/>
          </w:tcPr>
          <w:p w14:paraId="1FC9C81D">
            <w:pPr>
              <w:widowControl/>
              <w:jc w:val="center"/>
              <w:textAlignment w:val="center"/>
              <w:rPr>
                <w:rFonts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序号</w:t>
            </w:r>
          </w:p>
        </w:tc>
        <w:tc>
          <w:tcPr>
            <w:tcW w:w="1782" w:type="dxa"/>
            <w:tcBorders>
              <w:tl2br w:val="nil"/>
              <w:tr2bl w:val="nil"/>
            </w:tcBorders>
            <w:vAlign w:val="center"/>
          </w:tcPr>
          <w:p w14:paraId="48FDCD57">
            <w:pPr>
              <w:widowControl/>
              <w:jc w:val="center"/>
              <w:textAlignment w:val="center"/>
              <w:rPr>
                <w:rFonts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名称</w:t>
            </w:r>
          </w:p>
          <w:p w14:paraId="598A80F2">
            <w:pPr>
              <w:widowControl/>
              <w:jc w:val="center"/>
              <w:textAlignment w:val="center"/>
              <w:rPr>
                <w:rFonts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（技术指标/成果要求）</w:t>
            </w:r>
          </w:p>
        </w:tc>
        <w:tc>
          <w:tcPr>
            <w:tcW w:w="1574" w:type="dxa"/>
            <w:tcBorders>
              <w:tl2br w:val="nil"/>
              <w:tr2bl w:val="nil"/>
            </w:tcBorders>
            <w:vAlign w:val="center"/>
          </w:tcPr>
          <w:p w14:paraId="22803072">
            <w:pPr>
              <w:widowControl/>
              <w:jc w:val="center"/>
              <w:textAlignment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kern w:val="0"/>
                <w:szCs w:val="21"/>
                <w:lang w:bidi="ar"/>
              </w:rPr>
              <w:t>招标方要求值</w:t>
            </w:r>
          </w:p>
        </w:tc>
        <w:tc>
          <w:tcPr>
            <w:tcW w:w="1485" w:type="dxa"/>
            <w:tcBorders>
              <w:tl2br w:val="nil"/>
              <w:tr2bl w:val="nil"/>
            </w:tcBorders>
            <w:vAlign w:val="center"/>
          </w:tcPr>
          <w:p w14:paraId="588A404F">
            <w:pPr>
              <w:widowControl/>
              <w:jc w:val="center"/>
              <w:textAlignment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kern w:val="0"/>
                <w:szCs w:val="21"/>
                <w:lang w:bidi="ar"/>
              </w:rPr>
              <w:t>投标方保证值</w:t>
            </w:r>
          </w:p>
        </w:tc>
        <w:tc>
          <w:tcPr>
            <w:tcW w:w="1713" w:type="dxa"/>
            <w:tcBorders>
              <w:tl2br w:val="nil"/>
              <w:tr2bl w:val="nil"/>
            </w:tcBorders>
            <w:vAlign w:val="center"/>
          </w:tcPr>
          <w:p w14:paraId="079BB909">
            <w:pPr>
              <w:widowControl/>
              <w:jc w:val="center"/>
              <w:textAlignment w:val="center"/>
              <w:rPr>
                <w:rFonts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关键指标允许响应情况（正偏差/负偏差/无偏差）</w:t>
            </w:r>
          </w:p>
        </w:tc>
        <w:tc>
          <w:tcPr>
            <w:tcW w:w="1351" w:type="dxa"/>
            <w:tcBorders>
              <w:tl2br w:val="nil"/>
              <w:tr2bl w:val="nil"/>
            </w:tcBorders>
            <w:vAlign w:val="center"/>
          </w:tcPr>
          <w:p w14:paraId="1BBA8BC9">
            <w:pPr>
              <w:widowControl/>
              <w:jc w:val="center"/>
              <w:textAlignment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kern w:val="0"/>
                <w:szCs w:val="21"/>
                <w:lang w:bidi="ar"/>
              </w:rPr>
              <w:t>技术方案或保障措施所在的页码</w:t>
            </w:r>
          </w:p>
        </w:tc>
      </w:tr>
      <w:tr w14:paraId="1D5FE3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486" w:type="dxa"/>
            <w:tcBorders>
              <w:tl2br w:val="nil"/>
              <w:tr2bl w:val="nil"/>
            </w:tcBorders>
            <w:vAlign w:val="center"/>
          </w:tcPr>
          <w:p w14:paraId="2BA1922B">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w:t>
            </w:r>
          </w:p>
        </w:tc>
        <w:tc>
          <w:tcPr>
            <w:tcW w:w="1782" w:type="dxa"/>
            <w:tcBorders>
              <w:tl2br w:val="nil"/>
              <w:tr2bl w:val="nil"/>
            </w:tcBorders>
            <w:shd w:val="clear" w:color="auto" w:fill="auto"/>
            <w:vAlign w:val="center"/>
          </w:tcPr>
          <w:p w14:paraId="2C66E8DC">
            <w:pPr>
              <w:adjustRightInd w:val="0"/>
              <w:snapToGrid w:val="0"/>
              <w:textAlignment w:val="baseline"/>
              <w:rPr>
                <w:rFonts w:hint="eastAsia" w:ascii="Times New Roman" w:hAnsi="Times New Roman" w:eastAsia="仿宋_GB2312" w:cs="Times New Roman"/>
                <w:kern w:val="2"/>
                <w:sz w:val="24"/>
                <w:szCs w:val="24"/>
                <w:lang w:val="en-US" w:eastAsia="zh-CN" w:bidi="ar-SA"/>
              </w:rPr>
            </w:pPr>
          </w:p>
        </w:tc>
        <w:tc>
          <w:tcPr>
            <w:tcW w:w="1574" w:type="dxa"/>
            <w:tcBorders>
              <w:tl2br w:val="nil"/>
              <w:tr2bl w:val="nil"/>
            </w:tcBorders>
            <w:shd w:val="clear" w:color="auto" w:fill="auto"/>
            <w:vAlign w:val="center"/>
          </w:tcPr>
          <w:p w14:paraId="2644A2FB">
            <w:pPr>
              <w:adjustRightInd w:val="0"/>
              <w:snapToGrid w:val="0"/>
              <w:jc w:val="center"/>
              <w:textAlignment w:val="baseline"/>
              <w:rPr>
                <w:rFonts w:hint="eastAsia" w:ascii="Times New Roman" w:hAnsi="Times New Roman" w:eastAsia="仿宋_GB2312" w:cs="Times New Roman"/>
                <w:kern w:val="2"/>
                <w:sz w:val="24"/>
                <w:szCs w:val="24"/>
                <w:lang w:val="en-US" w:eastAsia="zh-CN" w:bidi="ar-SA"/>
              </w:rPr>
            </w:pPr>
          </w:p>
        </w:tc>
        <w:tc>
          <w:tcPr>
            <w:tcW w:w="1485" w:type="dxa"/>
            <w:tcBorders>
              <w:tl2br w:val="nil"/>
              <w:tr2bl w:val="nil"/>
            </w:tcBorders>
            <w:vAlign w:val="center"/>
          </w:tcPr>
          <w:p w14:paraId="6A2E1E04">
            <w:pPr>
              <w:jc w:val="center"/>
              <w:rPr>
                <w:rFonts w:asciiTheme="minorEastAsia" w:hAnsiTheme="minorEastAsia" w:eastAsiaTheme="minorEastAsia" w:cstheme="minorEastAsia"/>
                <w:color w:val="000000"/>
                <w:szCs w:val="21"/>
                <w:highlight w:val="yellow"/>
              </w:rPr>
            </w:pPr>
          </w:p>
        </w:tc>
        <w:tc>
          <w:tcPr>
            <w:tcW w:w="1713" w:type="dxa"/>
            <w:tcBorders>
              <w:tl2br w:val="nil"/>
              <w:tr2bl w:val="nil"/>
            </w:tcBorders>
            <w:vAlign w:val="center"/>
          </w:tcPr>
          <w:p w14:paraId="1D7DF3EC">
            <w:pPr>
              <w:widowControl/>
              <w:jc w:val="center"/>
              <w:textAlignment w:val="center"/>
              <w:rPr>
                <w:rFonts w:asciiTheme="minorEastAsia" w:hAnsiTheme="minorEastAsia" w:eastAsiaTheme="minorEastAsia" w:cstheme="minorEastAsia"/>
                <w:color w:val="000000"/>
                <w:szCs w:val="21"/>
                <w:highlight w:val="yellow"/>
              </w:rPr>
            </w:pPr>
          </w:p>
        </w:tc>
        <w:tc>
          <w:tcPr>
            <w:tcW w:w="1351" w:type="dxa"/>
            <w:tcBorders>
              <w:tl2br w:val="nil"/>
              <w:tr2bl w:val="nil"/>
            </w:tcBorders>
            <w:vAlign w:val="center"/>
          </w:tcPr>
          <w:p w14:paraId="40026A1E">
            <w:pPr>
              <w:jc w:val="center"/>
              <w:rPr>
                <w:rFonts w:asciiTheme="minorEastAsia" w:hAnsiTheme="minorEastAsia" w:eastAsiaTheme="minorEastAsia" w:cstheme="minorEastAsia"/>
                <w:color w:val="000000"/>
                <w:szCs w:val="21"/>
                <w:highlight w:val="yellow"/>
              </w:rPr>
            </w:pPr>
          </w:p>
        </w:tc>
      </w:tr>
      <w:tr w14:paraId="629B9A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486" w:type="dxa"/>
            <w:tcBorders>
              <w:tl2br w:val="nil"/>
              <w:tr2bl w:val="nil"/>
            </w:tcBorders>
            <w:vAlign w:val="center"/>
          </w:tcPr>
          <w:p w14:paraId="23DAC941">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w:t>
            </w:r>
          </w:p>
        </w:tc>
        <w:tc>
          <w:tcPr>
            <w:tcW w:w="1782" w:type="dxa"/>
            <w:tcBorders>
              <w:tl2br w:val="nil"/>
              <w:tr2bl w:val="nil"/>
            </w:tcBorders>
            <w:shd w:val="clear" w:color="auto" w:fill="auto"/>
            <w:vAlign w:val="center"/>
          </w:tcPr>
          <w:p w14:paraId="009D5D56">
            <w:pPr>
              <w:adjustRightInd w:val="0"/>
              <w:snapToGrid w:val="0"/>
              <w:textAlignment w:val="baseline"/>
              <w:rPr>
                <w:rFonts w:hint="default" w:ascii="Times New Roman" w:hAnsi="Times New Roman" w:eastAsia="仿宋_GB2312" w:cs="Times New Roman"/>
                <w:kern w:val="2"/>
                <w:sz w:val="24"/>
                <w:szCs w:val="24"/>
                <w:lang w:val="en-US" w:eastAsia="zh-CN" w:bidi="ar-SA"/>
              </w:rPr>
            </w:pPr>
          </w:p>
        </w:tc>
        <w:tc>
          <w:tcPr>
            <w:tcW w:w="1574" w:type="dxa"/>
            <w:tcBorders>
              <w:tl2br w:val="nil"/>
              <w:tr2bl w:val="nil"/>
            </w:tcBorders>
            <w:shd w:val="clear" w:color="auto" w:fill="auto"/>
            <w:vAlign w:val="center"/>
          </w:tcPr>
          <w:p w14:paraId="2E880E2F">
            <w:pPr>
              <w:adjustRightInd w:val="0"/>
              <w:snapToGrid w:val="0"/>
              <w:jc w:val="center"/>
              <w:textAlignment w:val="baseline"/>
              <w:rPr>
                <w:rFonts w:hint="eastAsia" w:ascii="Times New Roman" w:hAnsi="Times New Roman" w:eastAsia="仿宋_GB2312" w:cs="Times New Roman"/>
                <w:kern w:val="2"/>
                <w:sz w:val="24"/>
                <w:szCs w:val="24"/>
                <w:lang w:val="en-US" w:eastAsia="zh-CN" w:bidi="ar-SA"/>
              </w:rPr>
            </w:pPr>
          </w:p>
        </w:tc>
        <w:tc>
          <w:tcPr>
            <w:tcW w:w="1485" w:type="dxa"/>
            <w:tcBorders>
              <w:tl2br w:val="nil"/>
              <w:tr2bl w:val="nil"/>
            </w:tcBorders>
            <w:vAlign w:val="center"/>
          </w:tcPr>
          <w:p w14:paraId="4DE839CA">
            <w:pPr>
              <w:jc w:val="center"/>
              <w:rPr>
                <w:rFonts w:asciiTheme="minorEastAsia" w:hAnsiTheme="minorEastAsia" w:eastAsiaTheme="minorEastAsia" w:cstheme="minorEastAsia"/>
                <w:color w:val="000000"/>
                <w:szCs w:val="21"/>
                <w:highlight w:val="yellow"/>
              </w:rPr>
            </w:pPr>
          </w:p>
        </w:tc>
        <w:tc>
          <w:tcPr>
            <w:tcW w:w="1713" w:type="dxa"/>
            <w:tcBorders>
              <w:tl2br w:val="nil"/>
              <w:tr2bl w:val="nil"/>
            </w:tcBorders>
            <w:vAlign w:val="center"/>
          </w:tcPr>
          <w:p w14:paraId="39AA86CD">
            <w:pPr>
              <w:jc w:val="center"/>
              <w:rPr>
                <w:rFonts w:asciiTheme="minorEastAsia" w:hAnsiTheme="minorEastAsia" w:eastAsiaTheme="minorEastAsia" w:cstheme="minorEastAsia"/>
                <w:color w:val="000000"/>
                <w:szCs w:val="21"/>
                <w:highlight w:val="yellow"/>
              </w:rPr>
            </w:pPr>
          </w:p>
        </w:tc>
        <w:tc>
          <w:tcPr>
            <w:tcW w:w="1351" w:type="dxa"/>
            <w:tcBorders>
              <w:tl2br w:val="nil"/>
              <w:tr2bl w:val="nil"/>
            </w:tcBorders>
            <w:vAlign w:val="center"/>
          </w:tcPr>
          <w:p w14:paraId="59B8E104">
            <w:pPr>
              <w:jc w:val="center"/>
              <w:rPr>
                <w:rFonts w:asciiTheme="minorEastAsia" w:hAnsiTheme="minorEastAsia" w:eastAsiaTheme="minorEastAsia" w:cstheme="minorEastAsia"/>
                <w:color w:val="000000"/>
                <w:szCs w:val="21"/>
                <w:highlight w:val="yellow"/>
              </w:rPr>
            </w:pPr>
          </w:p>
        </w:tc>
      </w:tr>
      <w:tr w14:paraId="6006F8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486" w:type="dxa"/>
            <w:tcBorders>
              <w:tl2br w:val="nil"/>
              <w:tr2bl w:val="nil"/>
            </w:tcBorders>
            <w:vAlign w:val="center"/>
          </w:tcPr>
          <w:p w14:paraId="7FD03BA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3</w:t>
            </w:r>
          </w:p>
        </w:tc>
        <w:tc>
          <w:tcPr>
            <w:tcW w:w="1782" w:type="dxa"/>
            <w:tcBorders>
              <w:tl2br w:val="nil"/>
              <w:tr2bl w:val="nil"/>
            </w:tcBorders>
            <w:shd w:val="clear" w:color="auto" w:fill="auto"/>
            <w:vAlign w:val="center"/>
          </w:tcPr>
          <w:p w14:paraId="2813B73E">
            <w:pPr>
              <w:adjustRightInd w:val="0"/>
              <w:snapToGrid w:val="0"/>
              <w:textAlignment w:val="baseline"/>
              <w:rPr>
                <w:rFonts w:hint="eastAsia" w:ascii="Times New Roman" w:hAnsi="Times New Roman" w:eastAsia="仿宋_GB2312" w:cs="Times New Roman"/>
                <w:kern w:val="2"/>
                <w:sz w:val="24"/>
                <w:szCs w:val="24"/>
                <w:lang w:val="en-US" w:eastAsia="zh-CN" w:bidi="ar-SA"/>
              </w:rPr>
            </w:pPr>
          </w:p>
        </w:tc>
        <w:tc>
          <w:tcPr>
            <w:tcW w:w="1574" w:type="dxa"/>
            <w:tcBorders>
              <w:tl2br w:val="nil"/>
              <w:tr2bl w:val="nil"/>
            </w:tcBorders>
            <w:shd w:val="clear" w:color="auto" w:fill="auto"/>
            <w:vAlign w:val="center"/>
          </w:tcPr>
          <w:p w14:paraId="57F64882">
            <w:pPr>
              <w:adjustRightInd w:val="0"/>
              <w:snapToGrid w:val="0"/>
              <w:jc w:val="center"/>
              <w:textAlignment w:val="baseline"/>
              <w:rPr>
                <w:rFonts w:hint="eastAsia" w:ascii="Times New Roman" w:hAnsi="Times New Roman" w:eastAsia="仿宋_GB2312" w:cs="Times New Roman"/>
                <w:kern w:val="2"/>
                <w:sz w:val="24"/>
                <w:szCs w:val="24"/>
                <w:lang w:val="en-US" w:eastAsia="zh-CN" w:bidi="ar-SA"/>
              </w:rPr>
            </w:pPr>
          </w:p>
        </w:tc>
        <w:tc>
          <w:tcPr>
            <w:tcW w:w="1485" w:type="dxa"/>
            <w:tcBorders>
              <w:tl2br w:val="nil"/>
              <w:tr2bl w:val="nil"/>
            </w:tcBorders>
            <w:vAlign w:val="center"/>
          </w:tcPr>
          <w:p w14:paraId="0E93E947">
            <w:pPr>
              <w:jc w:val="center"/>
              <w:rPr>
                <w:rFonts w:asciiTheme="minorEastAsia" w:hAnsiTheme="minorEastAsia" w:eastAsiaTheme="minorEastAsia" w:cstheme="minorEastAsia"/>
                <w:color w:val="000000"/>
                <w:szCs w:val="21"/>
                <w:highlight w:val="yellow"/>
              </w:rPr>
            </w:pPr>
          </w:p>
        </w:tc>
        <w:tc>
          <w:tcPr>
            <w:tcW w:w="1713" w:type="dxa"/>
            <w:tcBorders>
              <w:tl2br w:val="nil"/>
              <w:tr2bl w:val="nil"/>
            </w:tcBorders>
            <w:vAlign w:val="center"/>
          </w:tcPr>
          <w:p w14:paraId="4CBBD92D">
            <w:pPr>
              <w:jc w:val="center"/>
              <w:rPr>
                <w:rFonts w:asciiTheme="minorEastAsia" w:hAnsiTheme="minorEastAsia" w:eastAsiaTheme="minorEastAsia" w:cstheme="minorEastAsia"/>
                <w:color w:val="000000"/>
                <w:szCs w:val="21"/>
                <w:highlight w:val="yellow"/>
              </w:rPr>
            </w:pPr>
          </w:p>
        </w:tc>
        <w:tc>
          <w:tcPr>
            <w:tcW w:w="1351" w:type="dxa"/>
            <w:tcBorders>
              <w:tl2br w:val="nil"/>
              <w:tr2bl w:val="nil"/>
            </w:tcBorders>
            <w:vAlign w:val="center"/>
          </w:tcPr>
          <w:p w14:paraId="451172C6">
            <w:pPr>
              <w:jc w:val="center"/>
              <w:rPr>
                <w:rFonts w:asciiTheme="minorEastAsia" w:hAnsiTheme="minorEastAsia" w:eastAsiaTheme="minorEastAsia" w:cstheme="minorEastAsia"/>
                <w:color w:val="000000"/>
                <w:szCs w:val="21"/>
                <w:highlight w:val="yellow"/>
              </w:rPr>
            </w:pPr>
          </w:p>
        </w:tc>
      </w:tr>
      <w:tr w14:paraId="5FF677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486" w:type="dxa"/>
            <w:tcBorders>
              <w:tl2br w:val="nil"/>
              <w:tr2bl w:val="nil"/>
            </w:tcBorders>
            <w:vAlign w:val="center"/>
          </w:tcPr>
          <w:p w14:paraId="5F1980D5">
            <w:pPr>
              <w:jc w:val="center"/>
              <w:rPr>
                <w:rFonts w:hint="eastAsia" w:asciiTheme="minorEastAsia" w:hAnsiTheme="minorEastAsia" w:eastAsiaTheme="minorEastAsia" w:cstheme="minorEastAsia"/>
                <w:color w:val="000000"/>
                <w:szCs w:val="21"/>
                <w:lang w:val="en-US" w:eastAsia="zh-CN"/>
              </w:rPr>
            </w:pPr>
            <w:bookmarkStart w:id="31" w:name="_Toc226362579"/>
            <w:r>
              <w:rPr>
                <w:rFonts w:hint="eastAsia" w:asciiTheme="minorEastAsia" w:hAnsiTheme="minorEastAsia" w:eastAsiaTheme="minorEastAsia" w:cstheme="minorEastAsia"/>
                <w:color w:val="000000"/>
                <w:szCs w:val="21"/>
                <w:lang w:val="en-US" w:eastAsia="zh-CN"/>
              </w:rPr>
              <w:t>4</w:t>
            </w:r>
          </w:p>
        </w:tc>
        <w:tc>
          <w:tcPr>
            <w:tcW w:w="1782" w:type="dxa"/>
            <w:tcBorders>
              <w:tl2br w:val="nil"/>
              <w:tr2bl w:val="nil"/>
            </w:tcBorders>
            <w:shd w:val="clear" w:color="auto" w:fill="auto"/>
            <w:vAlign w:val="center"/>
          </w:tcPr>
          <w:p w14:paraId="6F74026E">
            <w:pPr>
              <w:adjustRightInd w:val="0"/>
              <w:snapToGrid w:val="0"/>
              <w:textAlignment w:val="baseline"/>
              <w:rPr>
                <w:rFonts w:hint="eastAsia" w:ascii="Times New Roman" w:hAnsi="Times New Roman" w:eastAsia="仿宋_GB2312" w:cs="Times New Roman"/>
                <w:kern w:val="2"/>
                <w:sz w:val="24"/>
                <w:szCs w:val="24"/>
                <w:lang w:val="en-US" w:eastAsia="zh-CN" w:bidi="ar-SA"/>
              </w:rPr>
            </w:pPr>
          </w:p>
        </w:tc>
        <w:tc>
          <w:tcPr>
            <w:tcW w:w="1574" w:type="dxa"/>
            <w:tcBorders>
              <w:tl2br w:val="nil"/>
              <w:tr2bl w:val="nil"/>
            </w:tcBorders>
            <w:shd w:val="clear" w:color="auto" w:fill="auto"/>
            <w:vAlign w:val="center"/>
          </w:tcPr>
          <w:p w14:paraId="1A0CFAB8">
            <w:pPr>
              <w:adjustRightInd w:val="0"/>
              <w:snapToGrid w:val="0"/>
              <w:jc w:val="center"/>
              <w:textAlignment w:val="baseline"/>
              <w:rPr>
                <w:rFonts w:hint="default" w:ascii="Times New Roman" w:hAnsi="Times New Roman" w:eastAsia="仿宋_GB2312" w:cs="Times New Roman"/>
                <w:kern w:val="2"/>
                <w:sz w:val="24"/>
                <w:szCs w:val="24"/>
                <w:lang w:val="en-US" w:eastAsia="zh-CN" w:bidi="ar-SA"/>
              </w:rPr>
            </w:pPr>
          </w:p>
        </w:tc>
        <w:tc>
          <w:tcPr>
            <w:tcW w:w="1485" w:type="dxa"/>
            <w:tcBorders>
              <w:tl2br w:val="nil"/>
              <w:tr2bl w:val="nil"/>
            </w:tcBorders>
            <w:vAlign w:val="center"/>
          </w:tcPr>
          <w:p w14:paraId="66C408AD">
            <w:pPr>
              <w:jc w:val="center"/>
              <w:rPr>
                <w:rFonts w:asciiTheme="minorEastAsia" w:hAnsiTheme="minorEastAsia" w:eastAsiaTheme="minorEastAsia" w:cstheme="minorEastAsia"/>
                <w:color w:val="000000"/>
                <w:szCs w:val="21"/>
                <w:highlight w:val="yellow"/>
              </w:rPr>
            </w:pPr>
          </w:p>
        </w:tc>
        <w:tc>
          <w:tcPr>
            <w:tcW w:w="1713" w:type="dxa"/>
            <w:tcBorders>
              <w:tl2br w:val="nil"/>
              <w:tr2bl w:val="nil"/>
            </w:tcBorders>
            <w:vAlign w:val="center"/>
          </w:tcPr>
          <w:p w14:paraId="13A21D13">
            <w:pPr>
              <w:jc w:val="center"/>
              <w:rPr>
                <w:rFonts w:asciiTheme="minorEastAsia" w:hAnsiTheme="minorEastAsia" w:eastAsiaTheme="minorEastAsia" w:cstheme="minorEastAsia"/>
                <w:color w:val="000000"/>
                <w:szCs w:val="21"/>
                <w:highlight w:val="yellow"/>
              </w:rPr>
            </w:pPr>
          </w:p>
        </w:tc>
        <w:tc>
          <w:tcPr>
            <w:tcW w:w="1351" w:type="dxa"/>
            <w:tcBorders>
              <w:tl2br w:val="nil"/>
              <w:tr2bl w:val="nil"/>
            </w:tcBorders>
            <w:vAlign w:val="center"/>
          </w:tcPr>
          <w:p w14:paraId="2ACBF275">
            <w:pPr>
              <w:jc w:val="center"/>
              <w:rPr>
                <w:rFonts w:asciiTheme="minorEastAsia" w:hAnsiTheme="minorEastAsia" w:eastAsiaTheme="minorEastAsia" w:cstheme="minorEastAsia"/>
                <w:color w:val="000000"/>
                <w:szCs w:val="21"/>
                <w:highlight w:val="yellow"/>
              </w:rPr>
            </w:pPr>
          </w:p>
        </w:tc>
      </w:tr>
      <w:tr w14:paraId="194AB4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486" w:type="dxa"/>
            <w:tcBorders>
              <w:tl2br w:val="nil"/>
              <w:tr2bl w:val="nil"/>
            </w:tcBorders>
            <w:vAlign w:val="center"/>
          </w:tcPr>
          <w:p w14:paraId="6AA72D26">
            <w:pPr>
              <w:jc w:val="center"/>
              <w:rPr>
                <w:rFonts w:hint="eastAsia" w:asciiTheme="minorEastAsia" w:hAnsiTheme="minorEastAsia" w:eastAsiaTheme="minorEastAsia" w:cstheme="minorEastAsia"/>
                <w:color w:val="000000"/>
                <w:szCs w:val="21"/>
                <w:lang w:val="en-US" w:eastAsia="zh-CN"/>
              </w:rPr>
            </w:pPr>
            <w:r>
              <w:rPr>
                <w:rFonts w:hint="eastAsia" w:asciiTheme="minorEastAsia" w:hAnsiTheme="minorEastAsia" w:eastAsiaTheme="minorEastAsia" w:cstheme="minorEastAsia"/>
                <w:color w:val="000000"/>
                <w:szCs w:val="21"/>
                <w:lang w:val="en-US" w:eastAsia="zh-CN"/>
              </w:rPr>
              <w:t>5</w:t>
            </w:r>
          </w:p>
        </w:tc>
        <w:tc>
          <w:tcPr>
            <w:tcW w:w="1782" w:type="dxa"/>
            <w:tcBorders>
              <w:tl2br w:val="nil"/>
              <w:tr2bl w:val="nil"/>
            </w:tcBorders>
            <w:shd w:val="clear" w:color="auto" w:fill="auto"/>
            <w:vAlign w:val="center"/>
          </w:tcPr>
          <w:p w14:paraId="361C8BF5">
            <w:pPr>
              <w:adjustRightInd w:val="0"/>
              <w:snapToGrid w:val="0"/>
              <w:textAlignment w:val="baseline"/>
              <w:rPr>
                <w:rFonts w:hint="eastAsia" w:ascii="Times New Roman" w:hAnsi="Times New Roman" w:eastAsia="仿宋_GB2312" w:cs="Times New Roman"/>
                <w:kern w:val="2"/>
                <w:sz w:val="24"/>
                <w:szCs w:val="24"/>
                <w:lang w:val="en-US" w:eastAsia="zh-CN" w:bidi="ar-SA"/>
              </w:rPr>
            </w:pPr>
          </w:p>
        </w:tc>
        <w:tc>
          <w:tcPr>
            <w:tcW w:w="1574" w:type="dxa"/>
            <w:tcBorders>
              <w:tl2br w:val="nil"/>
              <w:tr2bl w:val="nil"/>
            </w:tcBorders>
            <w:shd w:val="clear" w:color="auto" w:fill="auto"/>
            <w:vAlign w:val="center"/>
          </w:tcPr>
          <w:p w14:paraId="6659C616">
            <w:pPr>
              <w:adjustRightInd w:val="0"/>
              <w:snapToGrid w:val="0"/>
              <w:jc w:val="center"/>
              <w:textAlignment w:val="baseline"/>
              <w:rPr>
                <w:rFonts w:hint="default" w:ascii="Times New Roman" w:hAnsi="Times New Roman" w:eastAsia="仿宋_GB2312" w:cs="Times New Roman"/>
                <w:kern w:val="2"/>
                <w:sz w:val="24"/>
                <w:szCs w:val="24"/>
                <w:lang w:val="en-US" w:eastAsia="zh-CN" w:bidi="ar-SA"/>
              </w:rPr>
            </w:pPr>
          </w:p>
        </w:tc>
        <w:tc>
          <w:tcPr>
            <w:tcW w:w="1485" w:type="dxa"/>
            <w:tcBorders>
              <w:tl2br w:val="nil"/>
              <w:tr2bl w:val="nil"/>
            </w:tcBorders>
            <w:vAlign w:val="center"/>
          </w:tcPr>
          <w:p w14:paraId="037EECFF">
            <w:pPr>
              <w:jc w:val="center"/>
              <w:rPr>
                <w:rFonts w:asciiTheme="minorEastAsia" w:hAnsiTheme="minorEastAsia" w:eastAsiaTheme="minorEastAsia" w:cstheme="minorEastAsia"/>
                <w:color w:val="000000"/>
                <w:szCs w:val="21"/>
                <w:highlight w:val="yellow"/>
              </w:rPr>
            </w:pPr>
          </w:p>
        </w:tc>
        <w:tc>
          <w:tcPr>
            <w:tcW w:w="1713" w:type="dxa"/>
            <w:tcBorders>
              <w:tl2br w:val="nil"/>
              <w:tr2bl w:val="nil"/>
            </w:tcBorders>
            <w:vAlign w:val="center"/>
          </w:tcPr>
          <w:p w14:paraId="1C13FD8B">
            <w:pPr>
              <w:jc w:val="center"/>
              <w:rPr>
                <w:rFonts w:asciiTheme="minorEastAsia" w:hAnsiTheme="minorEastAsia" w:eastAsiaTheme="minorEastAsia" w:cstheme="minorEastAsia"/>
                <w:color w:val="000000"/>
                <w:szCs w:val="21"/>
                <w:highlight w:val="yellow"/>
              </w:rPr>
            </w:pPr>
          </w:p>
        </w:tc>
        <w:tc>
          <w:tcPr>
            <w:tcW w:w="1351" w:type="dxa"/>
            <w:tcBorders>
              <w:tl2br w:val="nil"/>
              <w:tr2bl w:val="nil"/>
            </w:tcBorders>
            <w:vAlign w:val="center"/>
          </w:tcPr>
          <w:p w14:paraId="6EBB6661">
            <w:pPr>
              <w:jc w:val="center"/>
              <w:rPr>
                <w:rFonts w:asciiTheme="minorEastAsia" w:hAnsiTheme="minorEastAsia" w:eastAsiaTheme="minorEastAsia" w:cstheme="minorEastAsia"/>
                <w:color w:val="000000"/>
                <w:szCs w:val="21"/>
                <w:highlight w:val="yellow"/>
              </w:rPr>
            </w:pPr>
          </w:p>
        </w:tc>
      </w:tr>
    </w:tbl>
    <w:p w14:paraId="15D92AD8">
      <w:pPr>
        <w:spacing w:line="360" w:lineRule="auto"/>
        <w:ind w:firstLine="480" w:firstLineChars="200"/>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投标方应将所提供服务与本技术规范书有差异之处，无论优于或劣于本技术规范书要求，均汇集成下表。</w:t>
      </w:r>
    </w:p>
    <w:p w14:paraId="63508589">
      <w:pPr>
        <w:spacing w:line="360" w:lineRule="auto"/>
        <w:jc w:val="center"/>
        <w:rPr>
          <w:rFonts w:ascii="黑体" w:hAnsi="黑体" w:eastAsia="黑体" w:cs="黑体"/>
          <w:bCs/>
          <w:color w:val="000000"/>
          <w:szCs w:val="21"/>
        </w:rPr>
      </w:pPr>
      <w:r>
        <w:rPr>
          <w:rFonts w:hint="eastAsia" w:ascii="黑体" w:hAnsi="黑体" w:eastAsia="黑体" w:cs="黑体"/>
          <w:bCs/>
          <w:color w:val="000000"/>
          <w:szCs w:val="21"/>
        </w:rPr>
        <w:t>表6.2 技术差异汇总表</w:t>
      </w:r>
      <w:bookmarkEnd w:id="31"/>
      <w:r>
        <w:rPr>
          <w:rFonts w:hint="eastAsia" w:ascii="黑体" w:hAnsi="黑体" w:eastAsia="黑体" w:cs="黑体"/>
          <w:bCs/>
          <w:color w:val="000000"/>
          <w:szCs w:val="21"/>
        </w:rPr>
        <w:t>（投标方填写）</w:t>
      </w:r>
    </w:p>
    <w:tbl>
      <w:tblPr>
        <w:tblStyle w:val="13"/>
        <w:tblW w:w="838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9"/>
        <w:gridCol w:w="1163"/>
        <w:gridCol w:w="2713"/>
        <w:gridCol w:w="1258"/>
        <w:gridCol w:w="2575"/>
      </w:tblGrid>
      <w:tr w14:paraId="70CC85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79" w:type="dxa"/>
            <w:vMerge w:val="restart"/>
            <w:tcBorders>
              <w:tl2br w:val="nil"/>
              <w:tr2bl w:val="nil"/>
            </w:tcBorders>
            <w:vAlign w:val="center"/>
          </w:tcPr>
          <w:p w14:paraId="6D004816">
            <w:pPr>
              <w:widowControl/>
              <w:jc w:val="center"/>
              <w:textAlignment w:val="center"/>
              <w:rPr>
                <w:rFonts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序</w:t>
            </w:r>
          </w:p>
          <w:p w14:paraId="634CDAD6">
            <w:pPr>
              <w:widowControl/>
              <w:jc w:val="center"/>
              <w:textAlignment w:val="center"/>
              <w:rPr>
                <w:rFonts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号</w:t>
            </w:r>
          </w:p>
        </w:tc>
        <w:tc>
          <w:tcPr>
            <w:tcW w:w="3876" w:type="dxa"/>
            <w:gridSpan w:val="2"/>
            <w:tcBorders>
              <w:tl2br w:val="nil"/>
              <w:tr2bl w:val="nil"/>
            </w:tcBorders>
            <w:vAlign w:val="center"/>
          </w:tcPr>
          <w:p w14:paraId="4FE8794A">
            <w:pPr>
              <w:widowControl/>
              <w:jc w:val="center"/>
              <w:textAlignment w:val="center"/>
              <w:rPr>
                <w:rFonts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招 标 文 件</w:t>
            </w:r>
          </w:p>
        </w:tc>
        <w:tc>
          <w:tcPr>
            <w:tcW w:w="3833" w:type="dxa"/>
            <w:gridSpan w:val="2"/>
            <w:tcBorders>
              <w:tl2br w:val="nil"/>
              <w:tr2bl w:val="nil"/>
            </w:tcBorders>
            <w:vAlign w:val="center"/>
          </w:tcPr>
          <w:p w14:paraId="60835E28">
            <w:pPr>
              <w:widowControl/>
              <w:jc w:val="center"/>
              <w:textAlignment w:val="center"/>
              <w:rPr>
                <w:rFonts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投  标  文  件</w:t>
            </w:r>
          </w:p>
        </w:tc>
      </w:tr>
      <w:tr w14:paraId="69F7BB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79" w:type="dxa"/>
            <w:vMerge w:val="continue"/>
            <w:tcBorders>
              <w:tl2br w:val="nil"/>
              <w:tr2bl w:val="nil"/>
            </w:tcBorders>
            <w:vAlign w:val="center"/>
          </w:tcPr>
          <w:p w14:paraId="46179BBC">
            <w:pPr>
              <w:widowControl/>
              <w:jc w:val="center"/>
              <w:textAlignment w:val="center"/>
              <w:rPr>
                <w:rFonts w:asciiTheme="minorEastAsia" w:hAnsiTheme="minorEastAsia" w:eastAsiaTheme="minorEastAsia" w:cstheme="minorEastAsia"/>
                <w:color w:val="000000"/>
                <w:kern w:val="0"/>
                <w:szCs w:val="21"/>
                <w:lang w:bidi="ar"/>
              </w:rPr>
            </w:pPr>
          </w:p>
        </w:tc>
        <w:tc>
          <w:tcPr>
            <w:tcW w:w="1163" w:type="dxa"/>
            <w:tcBorders>
              <w:tl2br w:val="nil"/>
              <w:tr2bl w:val="nil"/>
            </w:tcBorders>
            <w:vAlign w:val="center"/>
          </w:tcPr>
          <w:p w14:paraId="349BC5CA">
            <w:pPr>
              <w:widowControl/>
              <w:jc w:val="center"/>
              <w:textAlignment w:val="center"/>
              <w:rPr>
                <w:rFonts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条  目</w:t>
            </w:r>
          </w:p>
        </w:tc>
        <w:tc>
          <w:tcPr>
            <w:tcW w:w="2713" w:type="dxa"/>
            <w:tcBorders>
              <w:tl2br w:val="nil"/>
              <w:tr2bl w:val="nil"/>
            </w:tcBorders>
            <w:vAlign w:val="center"/>
          </w:tcPr>
          <w:p w14:paraId="5D1E35B7">
            <w:pPr>
              <w:widowControl/>
              <w:jc w:val="center"/>
              <w:textAlignment w:val="center"/>
              <w:rPr>
                <w:rFonts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简  要  内  容</w:t>
            </w:r>
          </w:p>
        </w:tc>
        <w:tc>
          <w:tcPr>
            <w:tcW w:w="1258" w:type="dxa"/>
            <w:tcBorders>
              <w:tl2br w:val="nil"/>
              <w:tr2bl w:val="nil"/>
            </w:tcBorders>
            <w:vAlign w:val="center"/>
          </w:tcPr>
          <w:p w14:paraId="06EFF779">
            <w:pPr>
              <w:widowControl/>
              <w:jc w:val="center"/>
              <w:textAlignment w:val="center"/>
              <w:rPr>
                <w:rFonts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条  目</w:t>
            </w:r>
          </w:p>
        </w:tc>
        <w:tc>
          <w:tcPr>
            <w:tcW w:w="2575" w:type="dxa"/>
            <w:tcBorders>
              <w:tl2br w:val="nil"/>
              <w:tr2bl w:val="nil"/>
            </w:tcBorders>
            <w:vAlign w:val="center"/>
          </w:tcPr>
          <w:p w14:paraId="08993F86">
            <w:pPr>
              <w:widowControl/>
              <w:jc w:val="center"/>
              <w:textAlignment w:val="center"/>
              <w:rPr>
                <w:rFonts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简  要  内  容</w:t>
            </w:r>
          </w:p>
        </w:tc>
      </w:tr>
      <w:tr w14:paraId="5A158F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79" w:type="dxa"/>
            <w:tcBorders>
              <w:tl2br w:val="nil"/>
              <w:tr2bl w:val="nil"/>
            </w:tcBorders>
            <w:vAlign w:val="center"/>
          </w:tcPr>
          <w:p w14:paraId="4BFAD750">
            <w:pPr>
              <w:widowControl/>
              <w:jc w:val="center"/>
              <w:textAlignment w:val="center"/>
              <w:rPr>
                <w:rFonts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1</w:t>
            </w:r>
          </w:p>
        </w:tc>
        <w:tc>
          <w:tcPr>
            <w:tcW w:w="1163" w:type="dxa"/>
            <w:tcBorders>
              <w:tl2br w:val="nil"/>
              <w:tr2bl w:val="nil"/>
            </w:tcBorders>
            <w:vAlign w:val="center"/>
          </w:tcPr>
          <w:p w14:paraId="31F02CBA">
            <w:pPr>
              <w:widowControl/>
              <w:jc w:val="center"/>
              <w:textAlignment w:val="center"/>
              <w:rPr>
                <w:rFonts w:asciiTheme="minorEastAsia" w:hAnsiTheme="minorEastAsia" w:eastAsiaTheme="minorEastAsia" w:cstheme="minorEastAsia"/>
                <w:color w:val="000000"/>
                <w:kern w:val="0"/>
                <w:szCs w:val="21"/>
                <w:lang w:bidi="ar"/>
              </w:rPr>
            </w:pPr>
          </w:p>
        </w:tc>
        <w:tc>
          <w:tcPr>
            <w:tcW w:w="2713" w:type="dxa"/>
            <w:tcBorders>
              <w:tl2br w:val="nil"/>
              <w:tr2bl w:val="nil"/>
            </w:tcBorders>
            <w:vAlign w:val="center"/>
          </w:tcPr>
          <w:p w14:paraId="47DEFB35">
            <w:pPr>
              <w:widowControl/>
              <w:jc w:val="center"/>
              <w:textAlignment w:val="center"/>
              <w:rPr>
                <w:rFonts w:asciiTheme="minorEastAsia" w:hAnsiTheme="minorEastAsia" w:eastAsiaTheme="minorEastAsia" w:cstheme="minorEastAsia"/>
                <w:color w:val="000000"/>
                <w:kern w:val="0"/>
                <w:szCs w:val="21"/>
                <w:lang w:bidi="ar"/>
              </w:rPr>
            </w:pPr>
          </w:p>
        </w:tc>
        <w:tc>
          <w:tcPr>
            <w:tcW w:w="1258" w:type="dxa"/>
            <w:tcBorders>
              <w:tl2br w:val="nil"/>
              <w:tr2bl w:val="nil"/>
            </w:tcBorders>
            <w:vAlign w:val="center"/>
          </w:tcPr>
          <w:p w14:paraId="7BC8C4C6">
            <w:pPr>
              <w:widowControl/>
              <w:jc w:val="center"/>
              <w:textAlignment w:val="center"/>
              <w:rPr>
                <w:rFonts w:asciiTheme="minorEastAsia" w:hAnsiTheme="minorEastAsia" w:eastAsiaTheme="minorEastAsia" w:cstheme="minorEastAsia"/>
                <w:color w:val="000000"/>
                <w:kern w:val="0"/>
                <w:szCs w:val="21"/>
                <w:lang w:bidi="ar"/>
              </w:rPr>
            </w:pPr>
          </w:p>
        </w:tc>
        <w:tc>
          <w:tcPr>
            <w:tcW w:w="2575" w:type="dxa"/>
            <w:tcBorders>
              <w:tl2br w:val="nil"/>
              <w:tr2bl w:val="nil"/>
            </w:tcBorders>
            <w:vAlign w:val="center"/>
          </w:tcPr>
          <w:p w14:paraId="5EC59467">
            <w:pPr>
              <w:widowControl/>
              <w:jc w:val="center"/>
              <w:textAlignment w:val="center"/>
              <w:rPr>
                <w:rFonts w:asciiTheme="minorEastAsia" w:hAnsiTheme="minorEastAsia" w:eastAsiaTheme="minorEastAsia" w:cstheme="minorEastAsia"/>
                <w:color w:val="000000"/>
                <w:kern w:val="0"/>
                <w:szCs w:val="21"/>
                <w:lang w:bidi="ar"/>
              </w:rPr>
            </w:pPr>
          </w:p>
        </w:tc>
      </w:tr>
      <w:tr w14:paraId="4B098A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79" w:type="dxa"/>
            <w:tcBorders>
              <w:tl2br w:val="nil"/>
              <w:tr2bl w:val="nil"/>
            </w:tcBorders>
            <w:vAlign w:val="center"/>
          </w:tcPr>
          <w:p w14:paraId="5E712F56">
            <w:pPr>
              <w:widowControl/>
              <w:jc w:val="center"/>
              <w:textAlignment w:val="center"/>
              <w:rPr>
                <w:rFonts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2</w:t>
            </w:r>
          </w:p>
        </w:tc>
        <w:tc>
          <w:tcPr>
            <w:tcW w:w="1163" w:type="dxa"/>
            <w:tcBorders>
              <w:tl2br w:val="nil"/>
              <w:tr2bl w:val="nil"/>
            </w:tcBorders>
            <w:vAlign w:val="center"/>
          </w:tcPr>
          <w:p w14:paraId="5C81D737">
            <w:pPr>
              <w:widowControl/>
              <w:jc w:val="center"/>
              <w:textAlignment w:val="center"/>
              <w:rPr>
                <w:rFonts w:asciiTheme="minorEastAsia" w:hAnsiTheme="minorEastAsia" w:eastAsiaTheme="minorEastAsia" w:cstheme="minorEastAsia"/>
                <w:color w:val="000000"/>
                <w:kern w:val="0"/>
                <w:szCs w:val="21"/>
                <w:lang w:bidi="ar"/>
              </w:rPr>
            </w:pPr>
          </w:p>
        </w:tc>
        <w:tc>
          <w:tcPr>
            <w:tcW w:w="2713" w:type="dxa"/>
            <w:tcBorders>
              <w:tl2br w:val="nil"/>
              <w:tr2bl w:val="nil"/>
            </w:tcBorders>
            <w:vAlign w:val="center"/>
          </w:tcPr>
          <w:p w14:paraId="2CCA28DA">
            <w:pPr>
              <w:widowControl/>
              <w:jc w:val="center"/>
              <w:textAlignment w:val="center"/>
              <w:rPr>
                <w:rFonts w:asciiTheme="minorEastAsia" w:hAnsiTheme="minorEastAsia" w:eastAsiaTheme="minorEastAsia" w:cstheme="minorEastAsia"/>
                <w:color w:val="000000"/>
                <w:kern w:val="0"/>
                <w:szCs w:val="21"/>
                <w:lang w:bidi="ar"/>
              </w:rPr>
            </w:pPr>
          </w:p>
        </w:tc>
        <w:tc>
          <w:tcPr>
            <w:tcW w:w="1258" w:type="dxa"/>
            <w:tcBorders>
              <w:tl2br w:val="nil"/>
              <w:tr2bl w:val="nil"/>
            </w:tcBorders>
            <w:vAlign w:val="center"/>
          </w:tcPr>
          <w:p w14:paraId="5A17B9BC">
            <w:pPr>
              <w:widowControl/>
              <w:jc w:val="center"/>
              <w:textAlignment w:val="center"/>
              <w:rPr>
                <w:rFonts w:asciiTheme="minorEastAsia" w:hAnsiTheme="minorEastAsia" w:eastAsiaTheme="minorEastAsia" w:cstheme="minorEastAsia"/>
                <w:color w:val="000000"/>
                <w:kern w:val="0"/>
                <w:szCs w:val="21"/>
                <w:lang w:bidi="ar"/>
              </w:rPr>
            </w:pPr>
          </w:p>
        </w:tc>
        <w:tc>
          <w:tcPr>
            <w:tcW w:w="2575" w:type="dxa"/>
            <w:tcBorders>
              <w:tl2br w:val="nil"/>
              <w:tr2bl w:val="nil"/>
            </w:tcBorders>
            <w:vAlign w:val="center"/>
          </w:tcPr>
          <w:p w14:paraId="79CC783B">
            <w:pPr>
              <w:widowControl/>
              <w:jc w:val="center"/>
              <w:textAlignment w:val="center"/>
              <w:rPr>
                <w:rFonts w:asciiTheme="minorEastAsia" w:hAnsiTheme="minorEastAsia" w:eastAsiaTheme="minorEastAsia" w:cstheme="minorEastAsia"/>
                <w:color w:val="000000"/>
                <w:kern w:val="0"/>
                <w:szCs w:val="21"/>
                <w:lang w:bidi="ar"/>
              </w:rPr>
            </w:pPr>
          </w:p>
        </w:tc>
      </w:tr>
      <w:tr w14:paraId="331D30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79" w:type="dxa"/>
            <w:tcBorders>
              <w:tl2br w:val="nil"/>
              <w:tr2bl w:val="nil"/>
            </w:tcBorders>
            <w:vAlign w:val="center"/>
          </w:tcPr>
          <w:p w14:paraId="46852455">
            <w:pPr>
              <w:widowControl/>
              <w:jc w:val="center"/>
              <w:textAlignment w:val="center"/>
              <w:rPr>
                <w:rFonts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3</w:t>
            </w:r>
          </w:p>
        </w:tc>
        <w:tc>
          <w:tcPr>
            <w:tcW w:w="1163" w:type="dxa"/>
            <w:tcBorders>
              <w:tl2br w:val="nil"/>
              <w:tr2bl w:val="nil"/>
            </w:tcBorders>
            <w:vAlign w:val="center"/>
          </w:tcPr>
          <w:p w14:paraId="07383F4A">
            <w:pPr>
              <w:widowControl/>
              <w:jc w:val="center"/>
              <w:textAlignment w:val="center"/>
              <w:rPr>
                <w:rFonts w:asciiTheme="minorEastAsia" w:hAnsiTheme="minorEastAsia" w:eastAsiaTheme="minorEastAsia" w:cstheme="minorEastAsia"/>
                <w:color w:val="000000"/>
                <w:kern w:val="0"/>
                <w:szCs w:val="21"/>
                <w:lang w:bidi="ar"/>
              </w:rPr>
            </w:pPr>
          </w:p>
        </w:tc>
        <w:tc>
          <w:tcPr>
            <w:tcW w:w="2713" w:type="dxa"/>
            <w:tcBorders>
              <w:tl2br w:val="nil"/>
              <w:tr2bl w:val="nil"/>
            </w:tcBorders>
            <w:vAlign w:val="center"/>
          </w:tcPr>
          <w:p w14:paraId="567B0E8F">
            <w:pPr>
              <w:widowControl/>
              <w:jc w:val="center"/>
              <w:textAlignment w:val="center"/>
              <w:rPr>
                <w:rFonts w:asciiTheme="minorEastAsia" w:hAnsiTheme="minorEastAsia" w:eastAsiaTheme="minorEastAsia" w:cstheme="minorEastAsia"/>
                <w:color w:val="000000"/>
                <w:kern w:val="0"/>
                <w:szCs w:val="21"/>
                <w:lang w:bidi="ar"/>
              </w:rPr>
            </w:pPr>
          </w:p>
        </w:tc>
        <w:tc>
          <w:tcPr>
            <w:tcW w:w="1258" w:type="dxa"/>
            <w:tcBorders>
              <w:tl2br w:val="nil"/>
              <w:tr2bl w:val="nil"/>
            </w:tcBorders>
            <w:vAlign w:val="center"/>
          </w:tcPr>
          <w:p w14:paraId="2ECD3853">
            <w:pPr>
              <w:widowControl/>
              <w:jc w:val="center"/>
              <w:textAlignment w:val="center"/>
              <w:rPr>
                <w:rFonts w:asciiTheme="minorEastAsia" w:hAnsiTheme="minorEastAsia" w:eastAsiaTheme="minorEastAsia" w:cstheme="minorEastAsia"/>
                <w:color w:val="000000"/>
                <w:kern w:val="0"/>
                <w:szCs w:val="21"/>
                <w:lang w:bidi="ar"/>
              </w:rPr>
            </w:pPr>
          </w:p>
        </w:tc>
        <w:tc>
          <w:tcPr>
            <w:tcW w:w="2575" w:type="dxa"/>
            <w:tcBorders>
              <w:tl2br w:val="nil"/>
              <w:tr2bl w:val="nil"/>
            </w:tcBorders>
            <w:vAlign w:val="center"/>
          </w:tcPr>
          <w:p w14:paraId="50D32A29">
            <w:pPr>
              <w:widowControl/>
              <w:jc w:val="center"/>
              <w:textAlignment w:val="center"/>
              <w:rPr>
                <w:rFonts w:asciiTheme="minorEastAsia" w:hAnsiTheme="minorEastAsia" w:eastAsiaTheme="minorEastAsia" w:cstheme="minorEastAsia"/>
                <w:color w:val="000000"/>
                <w:kern w:val="0"/>
                <w:szCs w:val="21"/>
                <w:lang w:bidi="ar"/>
              </w:rPr>
            </w:pPr>
          </w:p>
        </w:tc>
      </w:tr>
      <w:tr w14:paraId="46AD4A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79" w:type="dxa"/>
            <w:tcBorders>
              <w:tl2br w:val="nil"/>
              <w:tr2bl w:val="nil"/>
            </w:tcBorders>
            <w:vAlign w:val="center"/>
          </w:tcPr>
          <w:p w14:paraId="73738D80">
            <w:pPr>
              <w:widowControl/>
              <w:jc w:val="center"/>
              <w:textAlignment w:val="center"/>
              <w:rPr>
                <w:rFonts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4</w:t>
            </w:r>
          </w:p>
        </w:tc>
        <w:tc>
          <w:tcPr>
            <w:tcW w:w="1163" w:type="dxa"/>
            <w:tcBorders>
              <w:tl2br w:val="nil"/>
              <w:tr2bl w:val="nil"/>
            </w:tcBorders>
            <w:vAlign w:val="center"/>
          </w:tcPr>
          <w:p w14:paraId="2629B046">
            <w:pPr>
              <w:widowControl/>
              <w:jc w:val="center"/>
              <w:textAlignment w:val="center"/>
              <w:rPr>
                <w:rFonts w:asciiTheme="minorEastAsia" w:hAnsiTheme="minorEastAsia" w:eastAsiaTheme="minorEastAsia" w:cstheme="minorEastAsia"/>
                <w:color w:val="000000"/>
                <w:kern w:val="0"/>
                <w:szCs w:val="21"/>
                <w:lang w:bidi="ar"/>
              </w:rPr>
            </w:pPr>
          </w:p>
        </w:tc>
        <w:tc>
          <w:tcPr>
            <w:tcW w:w="2713" w:type="dxa"/>
            <w:tcBorders>
              <w:tl2br w:val="nil"/>
              <w:tr2bl w:val="nil"/>
            </w:tcBorders>
            <w:vAlign w:val="center"/>
          </w:tcPr>
          <w:p w14:paraId="47F75431">
            <w:pPr>
              <w:widowControl/>
              <w:jc w:val="center"/>
              <w:textAlignment w:val="center"/>
              <w:rPr>
                <w:rFonts w:asciiTheme="minorEastAsia" w:hAnsiTheme="minorEastAsia" w:eastAsiaTheme="minorEastAsia" w:cstheme="minorEastAsia"/>
                <w:color w:val="000000"/>
                <w:kern w:val="0"/>
                <w:szCs w:val="21"/>
                <w:lang w:bidi="ar"/>
              </w:rPr>
            </w:pPr>
          </w:p>
        </w:tc>
        <w:tc>
          <w:tcPr>
            <w:tcW w:w="1258" w:type="dxa"/>
            <w:tcBorders>
              <w:tl2br w:val="nil"/>
              <w:tr2bl w:val="nil"/>
            </w:tcBorders>
            <w:vAlign w:val="center"/>
          </w:tcPr>
          <w:p w14:paraId="40634AB3">
            <w:pPr>
              <w:widowControl/>
              <w:jc w:val="center"/>
              <w:textAlignment w:val="center"/>
              <w:rPr>
                <w:rFonts w:asciiTheme="minorEastAsia" w:hAnsiTheme="minorEastAsia" w:eastAsiaTheme="minorEastAsia" w:cstheme="minorEastAsia"/>
                <w:color w:val="000000"/>
                <w:kern w:val="0"/>
                <w:szCs w:val="21"/>
                <w:lang w:bidi="ar"/>
              </w:rPr>
            </w:pPr>
          </w:p>
        </w:tc>
        <w:tc>
          <w:tcPr>
            <w:tcW w:w="2575" w:type="dxa"/>
            <w:tcBorders>
              <w:tl2br w:val="nil"/>
              <w:tr2bl w:val="nil"/>
            </w:tcBorders>
            <w:vAlign w:val="center"/>
          </w:tcPr>
          <w:p w14:paraId="7C971855">
            <w:pPr>
              <w:widowControl/>
              <w:jc w:val="center"/>
              <w:textAlignment w:val="center"/>
              <w:rPr>
                <w:rFonts w:asciiTheme="minorEastAsia" w:hAnsiTheme="minorEastAsia" w:eastAsiaTheme="minorEastAsia" w:cstheme="minorEastAsia"/>
                <w:color w:val="000000"/>
                <w:kern w:val="0"/>
                <w:szCs w:val="21"/>
                <w:lang w:bidi="ar"/>
              </w:rPr>
            </w:pPr>
          </w:p>
        </w:tc>
      </w:tr>
    </w:tbl>
    <w:p w14:paraId="21777505">
      <w:pPr>
        <w:spacing w:before="156" w:beforeLines="50" w:line="360" w:lineRule="auto"/>
        <w:outlineLvl w:val="1"/>
        <w:rPr>
          <w:rFonts w:ascii="黑体" w:hAnsi="黑体" w:eastAsia="黑体" w:cs="黑体"/>
          <w:sz w:val="24"/>
        </w:rPr>
      </w:pPr>
      <w:bookmarkStart w:id="32" w:name="_Toc10100"/>
      <w:r>
        <w:rPr>
          <w:rFonts w:hint="eastAsia" w:ascii="黑体" w:hAnsi="黑体" w:eastAsia="黑体" w:cs="黑体"/>
          <w:sz w:val="24"/>
        </w:rPr>
        <w:t>6.6 其它补充说明</w:t>
      </w:r>
      <w:bookmarkEnd w:id="32"/>
    </w:p>
    <w:p w14:paraId="1E5159DC">
      <w:pPr>
        <w:spacing w:line="360" w:lineRule="auto"/>
        <w:ind w:firstLine="480" w:firstLineChars="200"/>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投标方认为实现本文件的相关内容存在技术类或其它类风险，请详细说明，并提供相应的对策。</w:t>
      </w:r>
    </w:p>
    <w:sectPr>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隶书">
    <w:altName w:val="微软雅黑"/>
    <w:panose1 w:val="0201050906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2C290B"/>
    <w:multiLevelType w:val="singleLevel"/>
    <w:tmpl w:val="D12C290B"/>
    <w:lvl w:ilvl="0" w:tentative="0">
      <w:start w:val="1"/>
      <w:numFmt w:val="decimal"/>
      <w:pStyle w:val="17"/>
      <w:lvlText w:val="%1."/>
      <w:lvlJc w:val="left"/>
      <w:pPr>
        <w:ind w:left="425" w:hanging="425"/>
      </w:pPr>
      <w:rPr>
        <w:rFonts w:hint="default"/>
      </w:rPr>
    </w:lvl>
  </w:abstractNum>
  <w:abstractNum w:abstractNumId="1">
    <w:nsid w:val="339E7368"/>
    <w:multiLevelType w:val="singleLevel"/>
    <w:tmpl w:val="339E7368"/>
    <w:lvl w:ilvl="0" w:tentative="0">
      <w:start w:val="1"/>
      <w:numFmt w:val="decimal"/>
      <w:lvlText w:val="%1."/>
      <w:lvlJc w:val="left"/>
      <w:pPr>
        <w:tabs>
          <w:tab w:val="left" w:pos="312"/>
        </w:tabs>
      </w:pPr>
    </w:lvl>
  </w:abstractNum>
  <w:abstractNum w:abstractNumId="2">
    <w:nsid w:val="48EEF508"/>
    <w:multiLevelType w:val="singleLevel"/>
    <w:tmpl w:val="48EEF508"/>
    <w:lvl w:ilvl="0" w:tentative="0">
      <w:start w:val="1"/>
      <w:numFmt w:val="decimal"/>
      <w:suff w:val="nothing"/>
      <w:lvlText w:val="（%1）"/>
      <w:lvlJc w:val="left"/>
    </w:lvl>
  </w:abstractNum>
  <w:abstractNum w:abstractNumId="3">
    <w:nsid w:val="5E537055"/>
    <w:multiLevelType w:val="singleLevel"/>
    <w:tmpl w:val="5E537055"/>
    <w:lvl w:ilvl="0" w:tentative="0">
      <w:start w:val="1"/>
      <w:numFmt w:val="decimal"/>
      <w:lvlText w:val="%1."/>
      <w:lvlJc w:val="left"/>
      <w:pPr>
        <w:ind w:left="425" w:hanging="425"/>
      </w:pPr>
      <w:rPr>
        <w:rFont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112EA9"/>
    <w:rsid w:val="0000270B"/>
    <w:rsid w:val="00113C97"/>
    <w:rsid w:val="00920102"/>
    <w:rsid w:val="00A20B78"/>
    <w:rsid w:val="027C11FC"/>
    <w:rsid w:val="0295401A"/>
    <w:rsid w:val="0303051E"/>
    <w:rsid w:val="034E11A4"/>
    <w:rsid w:val="047B7BC4"/>
    <w:rsid w:val="04BF0B83"/>
    <w:rsid w:val="04FE4EAD"/>
    <w:rsid w:val="05312146"/>
    <w:rsid w:val="05330E8B"/>
    <w:rsid w:val="056D4E14"/>
    <w:rsid w:val="05FD7391"/>
    <w:rsid w:val="07DC3C63"/>
    <w:rsid w:val="08115868"/>
    <w:rsid w:val="08E1744F"/>
    <w:rsid w:val="0900633E"/>
    <w:rsid w:val="09F078C2"/>
    <w:rsid w:val="0A9773AF"/>
    <w:rsid w:val="0B715FA9"/>
    <w:rsid w:val="0BB17874"/>
    <w:rsid w:val="0BD1033B"/>
    <w:rsid w:val="0BFD7548"/>
    <w:rsid w:val="0C8C1EEF"/>
    <w:rsid w:val="0D0C14ED"/>
    <w:rsid w:val="0D6039E5"/>
    <w:rsid w:val="0DDE0C6E"/>
    <w:rsid w:val="0F573D98"/>
    <w:rsid w:val="0FBF064C"/>
    <w:rsid w:val="10011F66"/>
    <w:rsid w:val="10972384"/>
    <w:rsid w:val="110F2EEB"/>
    <w:rsid w:val="11402C86"/>
    <w:rsid w:val="117229AE"/>
    <w:rsid w:val="13566E57"/>
    <w:rsid w:val="14421D4B"/>
    <w:rsid w:val="147F0C66"/>
    <w:rsid w:val="1558413F"/>
    <w:rsid w:val="155E4129"/>
    <w:rsid w:val="15B259A5"/>
    <w:rsid w:val="160351CB"/>
    <w:rsid w:val="16F77748"/>
    <w:rsid w:val="17213AFE"/>
    <w:rsid w:val="17610576"/>
    <w:rsid w:val="1A316175"/>
    <w:rsid w:val="1A830B36"/>
    <w:rsid w:val="1ADD4B0E"/>
    <w:rsid w:val="1BF021DF"/>
    <w:rsid w:val="1BFA3C82"/>
    <w:rsid w:val="1C672B50"/>
    <w:rsid w:val="1CCE54EB"/>
    <w:rsid w:val="1D7B5A38"/>
    <w:rsid w:val="1DA01B05"/>
    <w:rsid w:val="1DFC3E5E"/>
    <w:rsid w:val="1EA43205"/>
    <w:rsid w:val="1FBD1E67"/>
    <w:rsid w:val="1FDE0E64"/>
    <w:rsid w:val="1FEA734E"/>
    <w:rsid w:val="20D855DF"/>
    <w:rsid w:val="22015C0D"/>
    <w:rsid w:val="234277A0"/>
    <w:rsid w:val="234B187D"/>
    <w:rsid w:val="23817433"/>
    <w:rsid w:val="23FC7BFC"/>
    <w:rsid w:val="24EA7C79"/>
    <w:rsid w:val="250F564D"/>
    <w:rsid w:val="252B1EB7"/>
    <w:rsid w:val="256870E0"/>
    <w:rsid w:val="25E42BF8"/>
    <w:rsid w:val="265249D6"/>
    <w:rsid w:val="275D5D26"/>
    <w:rsid w:val="275F7D29"/>
    <w:rsid w:val="28403FE5"/>
    <w:rsid w:val="28BE48E2"/>
    <w:rsid w:val="29695A4F"/>
    <w:rsid w:val="29D92A9C"/>
    <w:rsid w:val="2A441357"/>
    <w:rsid w:val="2AFA0631"/>
    <w:rsid w:val="2B6721B0"/>
    <w:rsid w:val="2C191EA0"/>
    <w:rsid w:val="2C6E0BE4"/>
    <w:rsid w:val="2CA3124A"/>
    <w:rsid w:val="2CE51BB8"/>
    <w:rsid w:val="2D8B5047"/>
    <w:rsid w:val="2D8F39A1"/>
    <w:rsid w:val="2DAC4578"/>
    <w:rsid w:val="2DB36870"/>
    <w:rsid w:val="2DEA6350"/>
    <w:rsid w:val="2E260032"/>
    <w:rsid w:val="2E380045"/>
    <w:rsid w:val="2EB749D2"/>
    <w:rsid w:val="2EFA1D2E"/>
    <w:rsid w:val="2F2E6BFF"/>
    <w:rsid w:val="2FC241F2"/>
    <w:rsid w:val="2FEF2882"/>
    <w:rsid w:val="2FF63C0D"/>
    <w:rsid w:val="30045C2F"/>
    <w:rsid w:val="30DF2B6C"/>
    <w:rsid w:val="313E1E7A"/>
    <w:rsid w:val="330E4E8B"/>
    <w:rsid w:val="33161353"/>
    <w:rsid w:val="334E3954"/>
    <w:rsid w:val="335E270E"/>
    <w:rsid w:val="33EF38DD"/>
    <w:rsid w:val="34255CC8"/>
    <w:rsid w:val="358A1AD4"/>
    <w:rsid w:val="358B06A1"/>
    <w:rsid w:val="35E41FA9"/>
    <w:rsid w:val="360B40D3"/>
    <w:rsid w:val="3661221B"/>
    <w:rsid w:val="37A433E0"/>
    <w:rsid w:val="37AE0477"/>
    <w:rsid w:val="37DE7164"/>
    <w:rsid w:val="38004B22"/>
    <w:rsid w:val="39140E3A"/>
    <w:rsid w:val="395F40DB"/>
    <w:rsid w:val="398C2739"/>
    <w:rsid w:val="39E974DB"/>
    <w:rsid w:val="3A1938D6"/>
    <w:rsid w:val="3BEE6259"/>
    <w:rsid w:val="3C4C5078"/>
    <w:rsid w:val="3CE875EB"/>
    <w:rsid w:val="3DC862F7"/>
    <w:rsid w:val="3DDE3626"/>
    <w:rsid w:val="401C5798"/>
    <w:rsid w:val="40794199"/>
    <w:rsid w:val="408A19B3"/>
    <w:rsid w:val="40CF0453"/>
    <w:rsid w:val="40D6289B"/>
    <w:rsid w:val="40F0643B"/>
    <w:rsid w:val="41414714"/>
    <w:rsid w:val="419C13AE"/>
    <w:rsid w:val="41A73FEA"/>
    <w:rsid w:val="41B40E40"/>
    <w:rsid w:val="42DF02D2"/>
    <w:rsid w:val="44C917FC"/>
    <w:rsid w:val="45AD67D6"/>
    <w:rsid w:val="45CF1EF0"/>
    <w:rsid w:val="45E20A8C"/>
    <w:rsid w:val="467609A9"/>
    <w:rsid w:val="47097B32"/>
    <w:rsid w:val="47382C50"/>
    <w:rsid w:val="473A0E5B"/>
    <w:rsid w:val="476617B8"/>
    <w:rsid w:val="48205CF0"/>
    <w:rsid w:val="48AE5D4E"/>
    <w:rsid w:val="49162EBF"/>
    <w:rsid w:val="4A4B4604"/>
    <w:rsid w:val="4A566A25"/>
    <w:rsid w:val="4A7A1254"/>
    <w:rsid w:val="4B18258B"/>
    <w:rsid w:val="4B2A3103"/>
    <w:rsid w:val="4B3522B4"/>
    <w:rsid w:val="4B5E6BA8"/>
    <w:rsid w:val="4C3F54C3"/>
    <w:rsid w:val="4CE147A6"/>
    <w:rsid w:val="4CEE40EF"/>
    <w:rsid w:val="4DBF3FC8"/>
    <w:rsid w:val="4E287A4C"/>
    <w:rsid w:val="50E83C80"/>
    <w:rsid w:val="50E84976"/>
    <w:rsid w:val="50FC03FC"/>
    <w:rsid w:val="52400ADE"/>
    <w:rsid w:val="52AB3BAD"/>
    <w:rsid w:val="52D27864"/>
    <w:rsid w:val="536B3F5C"/>
    <w:rsid w:val="53CD308F"/>
    <w:rsid w:val="54C17E31"/>
    <w:rsid w:val="54E75E4E"/>
    <w:rsid w:val="54EC5F00"/>
    <w:rsid w:val="55BB08CE"/>
    <w:rsid w:val="56112EA9"/>
    <w:rsid w:val="56634F6B"/>
    <w:rsid w:val="56794219"/>
    <w:rsid w:val="56FE5647"/>
    <w:rsid w:val="572004CE"/>
    <w:rsid w:val="576E3E36"/>
    <w:rsid w:val="57BC5768"/>
    <w:rsid w:val="57D62605"/>
    <w:rsid w:val="59BD7DED"/>
    <w:rsid w:val="5AE252E1"/>
    <w:rsid w:val="5CBC1717"/>
    <w:rsid w:val="5D196F37"/>
    <w:rsid w:val="5D560B25"/>
    <w:rsid w:val="5DED07F7"/>
    <w:rsid w:val="5E0B23A4"/>
    <w:rsid w:val="5E311346"/>
    <w:rsid w:val="5E7F2B1D"/>
    <w:rsid w:val="5E9479C8"/>
    <w:rsid w:val="5EFF55AD"/>
    <w:rsid w:val="5FFA163D"/>
    <w:rsid w:val="60446F8A"/>
    <w:rsid w:val="60A8111F"/>
    <w:rsid w:val="60B802FB"/>
    <w:rsid w:val="60DE536F"/>
    <w:rsid w:val="61633BDA"/>
    <w:rsid w:val="61B23647"/>
    <w:rsid w:val="61E33B45"/>
    <w:rsid w:val="63FE5340"/>
    <w:rsid w:val="64132F2C"/>
    <w:rsid w:val="64F92069"/>
    <w:rsid w:val="650664D0"/>
    <w:rsid w:val="652A6814"/>
    <w:rsid w:val="65355760"/>
    <w:rsid w:val="673113AB"/>
    <w:rsid w:val="67593ED7"/>
    <w:rsid w:val="678C7059"/>
    <w:rsid w:val="68AC152E"/>
    <w:rsid w:val="695323C7"/>
    <w:rsid w:val="69EA7D86"/>
    <w:rsid w:val="6B023115"/>
    <w:rsid w:val="6D401C96"/>
    <w:rsid w:val="6E06100F"/>
    <w:rsid w:val="6E5B1FD7"/>
    <w:rsid w:val="708F1B04"/>
    <w:rsid w:val="70E237AF"/>
    <w:rsid w:val="710C1A65"/>
    <w:rsid w:val="71FF19B7"/>
    <w:rsid w:val="731458B8"/>
    <w:rsid w:val="73FA6E86"/>
    <w:rsid w:val="74572EAA"/>
    <w:rsid w:val="74E106B7"/>
    <w:rsid w:val="756C6735"/>
    <w:rsid w:val="75700D85"/>
    <w:rsid w:val="75715F41"/>
    <w:rsid w:val="76497732"/>
    <w:rsid w:val="76890F73"/>
    <w:rsid w:val="770F4753"/>
    <w:rsid w:val="795E2CE3"/>
    <w:rsid w:val="79EB43CD"/>
    <w:rsid w:val="79EC4D1A"/>
    <w:rsid w:val="7A126AE1"/>
    <w:rsid w:val="7ABE2378"/>
    <w:rsid w:val="7AFB3926"/>
    <w:rsid w:val="7BA41111"/>
    <w:rsid w:val="7BFC3589"/>
    <w:rsid w:val="7C185614"/>
    <w:rsid w:val="7CD02D3B"/>
    <w:rsid w:val="7D2B397D"/>
    <w:rsid w:val="7E352FE9"/>
    <w:rsid w:val="7EB61EE5"/>
    <w:rsid w:val="7FCE0606"/>
    <w:rsid w:val="7FF132BA"/>
    <w:rsid w:val="BD7E10BC"/>
    <w:rsid w:val="DF7DC2ED"/>
    <w:rsid w:val="ECFFFC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6" w:lineRule="auto"/>
      <w:outlineLvl w:val="0"/>
    </w:pPr>
    <w:rPr>
      <w:b/>
      <w:kern w:val="44"/>
      <w:sz w:val="44"/>
    </w:rPr>
  </w:style>
  <w:style w:type="paragraph" w:styleId="4">
    <w:name w:val="heading 2"/>
    <w:basedOn w:val="1"/>
    <w:next w:val="1"/>
    <w:unhideWhenUsed/>
    <w:qFormat/>
    <w:uiPriority w:val="0"/>
    <w:pPr>
      <w:keepNext/>
      <w:keepLines/>
      <w:tabs>
        <w:tab w:val="left" w:pos="720"/>
      </w:tabs>
      <w:adjustRightInd w:val="0"/>
      <w:spacing w:line="320" w:lineRule="atLeast"/>
      <w:ind w:left="720" w:hanging="720"/>
      <w:outlineLvl w:val="1"/>
    </w:pPr>
    <w:rPr>
      <w:rFonts w:ascii="黑体" w:hAnsi="Arial" w:eastAsia="黑体" w:cs="宋体"/>
      <w:kern w:val="0"/>
      <w:sz w:val="28"/>
    </w:rPr>
  </w:style>
  <w:style w:type="paragraph" w:styleId="5">
    <w:name w:val="heading 3"/>
    <w:basedOn w:val="1"/>
    <w:next w:val="1"/>
    <w:unhideWhenUsed/>
    <w:qFormat/>
    <w:uiPriority w:val="0"/>
    <w:pPr>
      <w:keepNext/>
      <w:keepLines/>
      <w:spacing w:before="260" w:after="260" w:line="413" w:lineRule="auto"/>
      <w:outlineLvl w:val="2"/>
    </w:pPr>
    <w:rPr>
      <w:b/>
      <w:sz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ind w:firstLine="880" w:firstLineChars="200"/>
    </w:pPr>
    <w:rPr>
      <w:rFonts w:ascii="仿宋_GB2312" w:hAnsi="仿宋_GB2312" w:eastAsia="仿宋_GB2312" w:cs="Arial"/>
      <w:sz w:val="32"/>
      <w:szCs w:val="20"/>
    </w:rPr>
  </w:style>
  <w:style w:type="paragraph" w:styleId="6">
    <w:name w:val="annotation text"/>
    <w:basedOn w:val="1"/>
    <w:qFormat/>
    <w:uiPriority w:val="0"/>
    <w:pPr>
      <w:jc w:val="left"/>
    </w:pPr>
  </w:style>
  <w:style w:type="paragraph" w:styleId="7">
    <w:name w:val="Plain Text"/>
    <w:basedOn w:val="1"/>
    <w:qFormat/>
    <w:uiPriority w:val="0"/>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toc 1"/>
    <w:basedOn w:val="1"/>
    <w:next w:val="1"/>
    <w:qFormat/>
    <w:uiPriority w:val="0"/>
  </w:style>
  <w:style w:type="paragraph" w:styleId="11">
    <w:name w:val="toc 2"/>
    <w:basedOn w:val="1"/>
    <w:next w:val="1"/>
    <w:qFormat/>
    <w:uiPriority w:val="0"/>
    <w:pPr>
      <w:tabs>
        <w:tab w:val="right" w:leader="dot" w:pos="8302"/>
      </w:tabs>
      <w:snapToGrid w:val="0"/>
      <w:spacing w:line="360" w:lineRule="auto"/>
      <w:ind w:left="525" w:hanging="4"/>
    </w:pPr>
    <w:rPr>
      <w:sz w:val="24"/>
      <w:szCs w:val="20"/>
    </w:rPr>
  </w:style>
  <w:style w:type="paragraph" w:styleId="12">
    <w:name w:val="Title"/>
    <w:basedOn w:val="1"/>
    <w:next w:val="1"/>
    <w:qFormat/>
    <w:uiPriority w:val="0"/>
    <w:pPr>
      <w:spacing w:before="240" w:after="60"/>
      <w:jc w:val="center"/>
      <w:outlineLvl w:val="0"/>
    </w:pPr>
    <w:rPr>
      <w:rFonts w:ascii="Cambria" w:hAnsi="Cambria"/>
      <w:b/>
      <w:bCs/>
      <w:sz w:val="32"/>
      <w:szCs w:val="32"/>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Hyperlink"/>
    <w:basedOn w:val="15"/>
    <w:qFormat/>
    <w:uiPriority w:val="0"/>
  </w:style>
  <w:style w:type="paragraph" w:customStyle="1" w:styleId="17">
    <w:name w:val="标题1"/>
    <w:basedOn w:val="4"/>
    <w:next w:val="1"/>
    <w:qFormat/>
    <w:uiPriority w:val="0"/>
    <w:pPr>
      <w:numPr>
        <w:ilvl w:val="0"/>
        <w:numId w:val="1"/>
      </w:numPr>
    </w:pPr>
    <w:rPr>
      <w:rFonts w:hAnsi="黑体"/>
    </w:rPr>
  </w:style>
  <w:style w:type="paragraph" w:customStyle="1" w:styleId="18">
    <w:name w:val="首页项目名称"/>
    <w:link w:val="20"/>
    <w:qFormat/>
    <w:uiPriority w:val="0"/>
    <w:pPr>
      <w:jc w:val="center"/>
    </w:pPr>
    <w:rPr>
      <w:rFonts w:ascii="Times New Roman" w:hAnsi="Times New Roman" w:eastAsia="隶书" w:cs="Times New Roman"/>
      <w:sz w:val="52"/>
      <w:lang w:val="en-US" w:eastAsia="zh-CN" w:bidi="ar-SA"/>
    </w:rPr>
  </w:style>
  <w:style w:type="paragraph" w:customStyle="1" w:styleId="19">
    <w:name w:val="首页日期"/>
    <w:basedOn w:val="1"/>
    <w:link w:val="21"/>
    <w:qFormat/>
    <w:uiPriority w:val="0"/>
    <w:pPr>
      <w:jc w:val="center"/>
    </w:pPr>
    <w:rPr>
      <w:rFonts w:eastAsia="楷体"/>
      <w:sz w:val="32"/>
    </w:rPr>
  </w:style>
  <w:style w:type="character" w:customStyle="1" w:styleId="20">
    <w:name w:val="首页项目名称 Char"/>
    <w:link w:val="18"/>
    <w:qFormat/>
    <w:uiPriority w:val="0"/>
    <w:rPr>
      <w:rFonts w:ascii="Times New Roman" w:hAnsi="Times New Roman" w:eastAsia="隶书"/>
      <w:sz w:val="52"/>
    </w:rPr>
  </w:style>
  <w:style w:type="character" w:customStyle="1" w:styleId="21">
    <w:name w:val="首页日期 Char"/>
    <w:link w:val="19"/>
    <w:qFormat/>
    <w:uiPriority w:val="0"/>
    <w:rPr>
      <w:rFonts w:ascii="Times New Roman" w:hAnsi="Times New Roman" w:eastAsia="楷体"/>
      <w:sz w:val="32"/>
    </w:rPr>
  </w:style>
  <w:style w:type="paragraph" w:customStyle="1" w:styleId="22">
    <w:name w:val="一标题"/>
    <w:link w:val="23"/>
    <w:qFormat/>
    <w:uiPriority w:val="0"/>
    <w:pPr>
      <w:spacing w:before="100" w:beforeLines="100" w:line="360" w:lineRule="auto"/>
    </w:pPr>
    <w:rPr>
      <w:rFonts w:ascii="宋体" w:hAnsi="宋体" w:eastAsia="宋体" w:cs="Times New Roman"/>
      <w:b/>
      <w:sz w:val="24"/>
      <w:lang w:val="en-US" w:eastAsia="zh-CN" w:bidi="ar-SA"/>
    </w:rPr>
  </w:style>
  <w:style w:type="character" w:customStyle="1" w:styleId="23">
    <w:name w:val="一标题 Char"/>
    <w:link w:val="22"/>
    <w:qFormat/>
    <w:uiPriority w:val="0"/>
    <w:rPr>
      <w:rFonts w:ascii="宋体" w:hAnsi="宋体" w:eastAsia="宋体" w:cs="Times New Roman"/>
      <w:b/>
      <w:sz w:val="24"/>
    </w:rPr>
  </w:style>
  <w:style w:type="paragraph" w:customStyle="1" w:styleId="24">
    <w:name w:val="_Style 0"/>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3149</Words>
  <Characters>1347</Characters>
  <Lines>11</Lines>
  <Paragraphs>8</Paragraphs>
  <TotalTime>5</TotalTime>
  <ScaleCrop>false</ScaleCrop>
  <LinksUpToDate>false</LinksUpToDate>
  <CharactersWithSpaces>4488</CharactersWithSpaces>
  <Application>WPS Office_12.8.2.19795_F1E327BC-269C-435d-A152-05C5408002CA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2020-01-03T09:39:00Z</dcterms:created>
  <dc:creator>shenpeiyi</dc:creator>
  <cp:lastModifiedBy>张琪玥</cp:lastModifiedBy>
  <dcterms:modified xsi:type="dcterms:W3CDTF">2026-07-21T09:23:21Z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2052-12.8.2.19795</vt:lpwstr>
  </property>
  <property fmtid="{D5CDD505-2E9C-101B-9397-08002B2CF9AE}" pid="3" name="ICV">
    <vt:lpwstr>472A66621F4642A299F1AE83F4ACD0F2_13</vt:lpwstr>
  </property>
</Properties>
</file>